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8A623" w14:textId="77777777" w:rsidR="00CF2157" w:rsidRPr="00EC4FE0" w:rsidRDefault="00CF2157" w:rsidP="00CF2157">
      <w:pPr>
        <w:jc w:val="center"/>
        <w:rPr>
          <w:b/>
        </w:rPr>
      </w:pPr>
      <w:r w:rsidRPr="00EC4FE0">
        <w:rPr>
          <w:b/>
        </w:rPr>
        <w:t xml:space="preserve"> </w:t>
      </w:r>
      <w:r w:rsidRPr="00EC4FE0">
        <w:rPr>
          <w:noProof/>
        </w:rPr>
        <w:drawing>
          <wp:inline distT="0" distB="0" distL="0" distR="0" wp14:anchorId="2C90637E" wp14:editId="3A459D8F">
            <wp:extent cx="962025" cy="685800"/>
            <wp:effectExtent l="0" t="0" r="0" b="0"/>
            <wp:docPr id="4" name="Picture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85800"/>
                    </a:xfrm>
                    <a:prstGeom prst="rect">
                      <a:avLst/>
                    </a:prstGeom>
                    <a:noFill/>
                    <a:ln>
                      <a:noFill/>
                    </a:ln>
                  </pic:spPr>
                </pic:pic>
              </a:graphicData>
            </a:graphic>
          </wp:inline>
        </w:drawing>
      </w:r>
    </w:p>
    <w:p w14:paraId="59DA4223" w14:textId="77777777" w:rsidR="00CF2157" w:rsidRPr="00EC4FE0" w:rsidRDefault="00CF2157" w:rsidP="00CF2157">
      <w:pPr>
        <w:jc w:val="center"/>
        <w:rPr>
          <w:b/>
        </w:rPr>
      </w:pPr>
    </w:p>
    <w:p w14:paraId="2528261D" w14:textId="77777777" w:rsidR="00CF2157" w:rsidRPr="00701756" w:rsidRDefault="00CF2157" w:rsidP="00CF2157">
      <w:pPr>
        <w:pStyle w:val="Heading7"/>
        <w:jc w:val="center"/>
        <w:rPr>
          <w:b/>
          <w:smallCaps/>
          <w:sz w:val="44"/>
          <w:szCs w:val="44"/>
        </w:rPr>
      </w:pPr>
      <w:r w:rsidRPr="00701756">
        <w:rPr>
          <w:b/>
          <w:smallCaps/>
          <w:sz w:val="44"/>
          <w:szCs w:val="44"/>
        </w:rPr>
        <w:t>КОМИСИЯ ЗА ФИНАНСОВ НАДЗОР</w:t>
      </w:r>
    </w:p>
    <w:p w14:paraId="104AE182" w14:textId="77777777" w:rsidR="00CF2157" w:rsidRPr="00701756" w:rsidRDefault="00CF2157" w:rsidP="00CF2157">
      <w:pPr>
        <w:jc w:val="both"/>
        <w:rPr>
          <w:smallCaps/>
          <w:sz w:val="32"/>
          <w:szCs w:val="32"/>
        </w:rPr>
      </w:pPr>
    </w:p>
    <w:p w14:paraId="23B9E9D5" w14:textId="77777777" w:rsidR="00CF2157" w:rsidRPr="00701756" w:rsidRDefault="00CF2157" w:rsidP="00CF2157">
      <w:pPr>
        <w:jc w:val="both"/>
        <w:rPr>
          <w:smallCaps/>
          <w:sz w:val="32"/>
          <w:szCs w:val="32"/>
        </w:rPr>
      </w:pPr>
    </w:p>
    <w:p w14:paraId="2E4C4D4C" w14:textId="77777777" w:rsidR="00CF2157" w:rsidRPr="00701756" w:rsidRDefault="00CF2157" w:rsidP="00CF2157">
      <w:pPr>
        <w:jc w:val="both"/>
        <w:rPr>
          <w:smallCaps/>
          <w:sz w:val="32"/>
          <w:szCs w:val="32"/>
        </w:rPr>
      </w:pPr>
    </w:p>
    <w:p w14:paraId="403E29F0" w14:textId="77777777" w:rsidR="00CF2157" w:rsidRPr="00701756" w:rsidRDefault="00CF2157" w:rsidP="00CF2157">
      <w:pPr>
        <w:jc w:val="both"/>
        <w:rPr>
          <w:smallCaps/>
          <w:sz w:val="32"/>
          <w:szCs w:val="32"/>
        </w:rPr>
      </w:pPr>
    </w:p>
    <w:p w14:paraId="2BDBA10C" w14:textId="77777777" w:rsidR="00CF2157" w:rsidRPr="006F4C87" w:rsidRDefault="00CF2157" w:rsidP="00CF2157">
      <w:pPr>
        <w:pStyle w:val="Title"/>
        <w:tabs>
          <w:tab w:val="left" w:pos="8398"/>
        </w:tabs>
        <w:spacing w:line="276" w:lineRule="auto"/>
        <w:ind w:left="-52" w:right="201"/>
        <w:jc w:val="center"/>
        <w:rPr>
          <w:rFonts w:cs="Times New Roman"/>
          <w:b/>
          <w:bCs w:val="0"/>
          <w:color w:val="auto"/>
          <w:sz w:val="40"/>
          <w:szCs w:val="40"/>
        </w:rPr>
      </w:pPr>
    </w:p>
    <w:p w14:paraId="23BE206E" w14:textId="77777777" w:rsidR="00B4730A" w:rsidRPr="006F4C87" w:rsidRDefault="00B4730A" w:rsidP="00CF2157">
      <w:pPr>
        <w:pStyle w:val="Title"/>
        <w:tabs>
          <w:tab w:val="left" w:pos="8398"/>
        </w:tabs>
        <w:spacing w:line="276" w:lineRule="auto"/>
        <w:ind w:left="-52" w:right="201"/>
        <w:jc w:val="center"/>
        <w:rPr>
          <w:rFonts w:cs="Times New Roman"/>
          <w:b/>
          <w:bCs w:val="0"/>
          <w:color w:val="auto"/>
          <w:sz w:val="40"/>
          <w:szCs w:val="40"/>
        </w:rPr>
      </w:pPr>
    </w:p>
    <w:p w14:paraId="4FEED1FC" w14:textId="77777777" w:rsidR="00CF2157" w:rsidRPr="00B4730A" w:rsidRDefault="00CF2157" w:rsidP="00CF2157">
      <w:pPr>
        <w:pStyle w:val="Title"/>
        <w:tabs>
          <w:tab w:val="left" w:pos="8398"/>
        </w:tabs>
        <w:spacing w:line="276" w:lineRule="auto"/>
        <w:ind w:left="-52" w:right="201"/>
        <w:jc w:val="center"/>
        <w:rPr>
          <w:rFonts w:cs="Times New Roman"/>
          <w:b/>
          <w:bCs w:val="0"/>
          <w:color w:val="auto"/>
          <w:sz w:val="44"/>
          <w:szCs w:val="44"/>
        </w:rPr>
      </w:pPr>
      <w:r w:rsidRPr="00B4730A">
        <w:rPr>
          <w:rFonts w:cs="Times New Roman"/>
          <w:b/>
          <w:bCs w:val="0"/>
          <w:color w:val="auto"/>
          <w:sz w:val="44"/>
          <w:szCs w:val="44"/>
        </w:rPr>
        <w:t xml:space="preserve">ОТЧЕТ </w:t>
      </w:r>
    </w:p>
    <w:p w14:paraId="17FA88F7" w14:textId="77777777" w:rsidR="00CF2157" w:rsidRPr="00B4730A" w:rsidRDefault="00CF2157" w:rsidP="00CF2157">
      <w:pPr>
        <w:pStyle w:val="Title"/>
        <w:tabs>
          <w:tab w:val="left" w:pos="8398"/>
        </w:tabs>
        <w:spacing w:line="276" w:lineRule="auto"/>
        <w:ind w:left="-52" w:right="201"/>
        <w:jc w:val="center"/>
        <w:rPr>
          <w:rFonts w:cs="Times New Roman"/>
          <w:b/>
          <w:bCs w:val="0"/>
          <w:color w:val="auto"/>
          <w:sz w:val="44"/>
          <w:szCs w:val="44"/>
        </w:rPr>
      </w:pPr>
      <w:r w:rsidRPr="00B4730A">
        <w:rPr>
          <w:rFonts w:cs="Times New Roman"/>
          <w:b/>
          <w:bCs w:val="0"/>
          <w:color w:val="auto"/>
          <w:sz w:val="44"/>
          <w:szCs w:val="44"/>
        </w:rPr>
        <w:t>ЗА ИЗПЪЛНЕНИЕТО НА</w:t>
      </w:r>
    </w:p>
    <w:p w14:paraId="01652C19" w14:textId="77777777" w:rsidR="00CF2157" w:rsidRPr="00B4730A" w:rsidRDefault="00CF2157" w:rsidP="00CF2157">
      <w:pPr>
        <w:pStyle w:val="Title"/>
        <w:tabs>
          <w:tab w:val="left" w:pos="8398"/>
        </w:tabs>
        <w:spacing w:line="276" w:lineRule="auto"/>
        <w:ind w:left="-52" w:right="201"/>
        <w:jc w:val="center"/>
        <w:rPr>
          <w:rFonts w:cs="Times New Roman"/>
          <w:b/>
          <w:bCs w:val="0"/>
          <w:color w:val="auto"/>
          <w:sz w:val="44"/>
          <w:szCs w:val="44"/>
        </w:rPr>
      </w:pPr>
      <w:r w:rsidRPr="00B4730A">
        <w:rPr>
          <w:rFonts w:cs="Times New Roman"/>
          <w:b/>
          <w:bCs w:val="0"/>
          <w:color w:val="auto"/>
          <w:sz w:val="44"/>
          <w:szCs w:val="44"/>
        </w:rPr>
        <w:t xml:space="preserve">ПРОГРАМНИЯ БЮДЖЕТ НА </w:t>
      </w:r>
    </w:p>
    <w:p w14:paraId="21596FAF" w14:textId="77777777" w:rsidR="00CF2157" w:rsidRPr="00B4730A" w:rsidRDefault="00CF2157" w:rsidP="00CF2157">
      <w:pPr>
        <w:pStyle w:val="Title"/>
        <w:tabs>
          <w:tab w:val="left" w:pos="8398"/>
        </w:tabs>
        <w:spacing w:line="276" w:lineRule="auto"/>
        <w:ind w:left="-51" w:right="198"/>
        <w:jc w:val="center"/>
        <w:rPr>
          <w:rFonts w:cs="Times New Roman"/>
          <w:b/>
          <w:bCs w:val="0"/>
          <w:color w:val="auto"/>
          <w:sz w:val="44"/>
          <w:szCs w:val="44"/>
        </w:rPr>
      </w:pPr>
      <w:r w:rsidRPr="00B4730A">
        <w:rPr>
          <w:rFonts w:cs="Times New Roman"/>
          <w:b/>
          <w:bCs w:val="0"/>
          <w:color w:val="auto"/>
          <w:sz w:val="44"/>
          <w:szCs w:val="44"/>
        </w:rPr>
        <w:t>КОМИСИЯТА ЗА ФИНАНСОВ НАДЗОР</w:t>
      </w:r>
    </w:p>
    <w:p w14:paraId="7F1E53AE" w14:textId="0AFBEAA6" w:rsidR="00CF2157" w:rsidRPr="00B4730A" w:rsidRDefault="00742B94" w:rsidP="00CF2157">
      <w:pPr>
        <w:pStyle w:val="Title"/>
        <w:tabs>
          <w:tab w:val="left" w:pos="8398"/>
        </w:tabs>
        <w:spacing w:line="276" w:lineRule="auto"/>
        <w:ind w:left="-52" w:right="201"/>
        <w:jc w:val="center"/>
        <w:rPr>
          <w:b/>
          <w:i/>
          <w:color w:val="auto"/>
          <w:sz w:val="44"/>
          <w:szCs w:val="44"/>
        </w:rPr>
      </w:pPr>
      <w:r>
        <w:rPr>
          <w:rFonts w:cs="Times New Roman"/>
          <w:b/>
          <w:bCs w:val="0"/>
          <w:color w:val="auto"/>
          <w:sz w:val="44"/>
          <w:szCs w:val="44"/>
        </w:rPr>
        <w:t xml:space="preserve">ЗА ПЪРВОТО </w:t>
      </w:r>
      <w:r w:rsidR="00CF2157" w:rsidRPr="00B4730A">
        <w:rPr>
          <w:rFonts w:cs="Times New Roman"/>
          <w:b/>
          <w:bCs w:val="0"/>
          <w:color w:val="auto"/>
          <w:sz w:val="44"/>
          <w:szCs w:val="44"/>
        </w:rPr>
        <w:t>ПОЛУГОДИЕ НА 202</w:t>
      </w:r>
      <w:r w:rsidR="00340146">
        <w:rPr>
          <w:rFonts w:cs="Times New Roman"/>
          <w:b/>
          <w:bCs w:val="0"/>
          <w:color w:val="auto"/>
          <w:sz w:val="44"/>
          <w:szCs w:val="44"/>
          <w:lang w:val="en-US"/>
        </w:rPr>
        <w:t>5</w:t>
      </w:r>
      <w:r w:rsidR="00CF2157" w:rsidRPr="00B4730A">
        <w:rPr>
          <w:rFonts w:cs="Times New Roman"/>
          <w:b/>
          <w:bCs w:val="0"/>
          <w:color w:val="auto"/>
          <w:sz w:val="44"/>
          <w:szCs w:val="44"/>
        </w:rPr>
        <w:t xml:space="preserve"> г.</w:t>
      </w:r>
    </w:p>
    <w:p w14:paraId="497D2E03" w14:textId="77777777" w:rsidR="00CF2157" w:rsidRPr="00701756" w:rsidRDefault="00CF2157" w:rsidP="00CF2157">
      <w:pPr>
        <w:jc w:val="both"/>
        <w:rPr>
          <w:smallCaps/>
          <w:sz w:val="32"/>
          <w:szCs w:val="32"/>
        </w:rPr>
      </w:pPr>
    </w:p>
    <w:p w14:paraId="625B0B9E" w14:textId="77777777" w:rsidR="00CF2157" w:rsidRPr="00701756" w:rsidRDefault="00CF2157" w:rsidP="00CF2157">
      <w:pPr>
        <w:jc w:val="both"/>
        <w:rPr>
          <w:smallCaps/>
          <w:sz w:val="32"/>
          <w:szCs w:val="32"/>
        </w:rPr>
      </w:pPr>
    </w:p>
    <w:p w14:paraId="59D9A721" w14:textId="77777777" w:rsidR="00CF2157" w:rsidRPr="00701756" w:rsidRDefault="00CF2157" w:rsidP="00CF2157">
      <w:pPr>
        <w:jc w:val="both"/>
        <w:rPr>
          <w:smallCaps/>
          <w:sz w:val="32"/>
          <w:szCs w:val="32"/>
        </w:rPr>
      </w:pPr>
    </w:p>
    <w:p w14:paraId="0DED8B10" w14:textId="77777777" w:rsidR="00CF2157" w:rsidRPr="00701756" w:rsidRDefault="00CF2157" w:rsidP="00CF2157">
      <w:pPr>
        <w:jc w:val="both"/>
        <w:rPr>
          <w:smallCaps/>
          <w:sz w:val="32"/>
          <w:szCs w:val="32"/>
        </w:rPr>
      </w:pPr>
    </w:p>
    <w:p w14:paraId="6CFC91C4" w14:textId="77777777" w:rsidR="00CF2157" w:rsidRPr="00701756" w:rsidRDefault="00CF2157" w:rsidP="00CF2157">
      <w:pPr>
        <w:jc w:val="both"/>
        <w:rPr>
          <w:smallCaps/>
          <w:sz w:val="32"/>
          <w:szCs w:val="32"/>
        </w:rPr>
      </w:pPr>
    </w:p>
    <w:p w14:paraId="30710BCF" w14:textId="77777777" w:rsidR="00CF2157" w:rsidRPr="00701756" w:rsidRDefault="00CF2157" w:rsidP="00CF2157">
      <w:pPr>
        <w:jc w:val="both"/>
        <w:rPr>
          <w:smallCaps/>
          <w:sz w:val="32"/>
          <w:szCs w:val="32"/>
        </w:rPr>
      </w:pPr>
    </w:p>
    <w:p w14:paraId="7BDEC48F" w14:textId="77777777" w:rsidR="00CF2157" w:rsidRPr="00701756" w:rsidRDefault="00CF2157" w:rsidP="00CF2157">
      <w:pPr>
        <w:jc w:val="both"/>
        <w:rPr>
          <w:smallCaps/>
          <w:sz w:val="32"/>
          <w:szCs w:val="32"/>
        </w:rPr>
      </w:pPr>
    </w:p>
    <w:p w14:paraId="2C27A347" w14:textId="77777777" w:rsidR="00CF2157" w:rsidRDefault="00CF2157" w:rsidP="00CF2157">
      <w:pPr>
        <w:jc w:val="both"/>
        <w:rPr>
          <w:smallCaps/>
          <w:sz w:val="32"/>
          <w:szCs w:val="32"/>
        </w:rPr>
      </w:pPr>
    </w:p>
    <w:p w14:paraId="07AFA20E" w14:textId="77777777" w:rsidR="00B4730A" w:rsidRPr="00701756" w:rsidRDefault="00B4730A" w:rsidP="00CF2157">
      <w:pPr>
        <w:jc w:val="both"/>
        <w:rPr>
          <w:smallCaps/>
          <w:sz w:val="32"/>
          <w:szCs w:val="32"/>
        </w:rPr>
      </w:pPr>
    </w:p>
    <w:p w14:paraId="77E89C98" w14:textId="77777777" w:rsidR="00CF2157" w:rsidRPr="00137452" w:rsidRDefault="00CF2157" w:rsidP="00346CAF">
      <w:pPr>
        <w:tabs>
          <w:tab w:val="left" w:pos="8100"/>
          <w:tab w:val="left" w:pos="8280"/>
        </w:tabs>
        <w:jc w:val="both"/>
        <w:rPr>
          <w:b/>
          <w:sz w:val="20"/>
          <w:szCs w:val="20"/>
        </w:rPr>
      </w:pPr>
      <w:r w:rsidRPr="00137452">
        <w:rPr>
          <w:b/>
          <w:sz w:val="20"/>
          <w:szCs w:val="20"/>
        </w:rPr>
        <w:lastRenderedPageBreak/>
        <w:t>Списък на използваните съкращения</w:t>
      </w:r>
    </w:p>
    <w:p w14:paraId="31CC6530" w14:textId="77777777" w:rsidR="00E116E6" w:rsidRPr="00137452" w:rsidRDefault="00E116E6" w:rsidP="00346CAF">
      <w:pPr>
        <w:tabs>
          <w:tab w:val="left" w:pos="8100"/>
          <w:tab w:val="left" w:pos="8280"/>
        </w:tabs>
        <w:jc w:val="both"/>
        <w:rPr>
          <w:b/>
          <w:sz w:val="20"/>
          <w:szCs w:val="20"/>
          <w:lang w:val="ru-RU"/>
        </w:rPr>
      </w:pPr>
    </w:p>
    <w:p w14:paraId="0952A08F"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АДСИЦ - акционерно дружество със специална инвестиционна цел</w:t>
      </w:r>
    </w:p>
    <w:p w14:paraId="41E63151"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АИФ - алтернативен инвестиционен фонд</w:t>
      </w:r>
    </w:p>
    <w:p w14:paraId="36FEC013"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АУАН - акт за установяване на административни нарушения</w:t>
      </w:r>
    </w:p>
    <w:p w14:paraId="661B75F6"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БАДДПО - Българска асоциация на дружествата за допълнително пенсионно осигуряване</w:t>
      </w:r>
    </w:p>
    <w:p w14:paraId="46894F22"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ДПФ - доброволен пенсионен фонд</w:t>
      </w:r>
    </w:p>
    <w:p w14:paraId="1CADB35B"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ДПФПС - доброволен пенсионен фонд по професионални схеми</w:t>
      </w:r>
    </w:p>
    <w:p w14:paraId="4EC66208"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ДФ - договорен фонд</w:t>
      </w:r>
    </w:p>
    <w:p w14:paraId="5DBEDEC5" w14:textId="4CEB9B57" w:rsidR="000562CD" w:rsidRPr="00137452" w:rsidRDefault="000562CD" w:rsidP="00346CAF">
      <w:pPr>
        <w:tabs>
          <w:tab w:val="left" w:pos="0"/>
        </w:tabs>
        <w:jc w:val="both"/>
        <w:rPr>
          <w:bCs/>
          <w:color w:val="000000"/>
          <w:sz w:val="20"/>
          <w:szCs w:val="20"/>
        </w:rPr>
      </w:pPr>
      <w:r w:rsidRPr="000562CD">
        <w:rPr>
          <w:bCs/>
          <w:color w:val="000000"/>
          <w:sz w:val="20"/>
          <w:szCs w:val="20"/>
        </w:rPr>
        <w:t>ЕБО – Европейски банков орган</w:t>
      </w:r>
    </w:p>
    <w:p w14:paraId="7159F3E1"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ЕК - Европейска комисия</w:t>
      </w:r>
    </w:p>
    <w:p w14:paraId="22EDE372"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ЕО - Европейска общност</w:t>
      </w:r>
    </w:p>
    <w:p w14:paraId="1B3B44B0"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ЕП - Европейски парламент</w:t>
      </w:r>
    </w:p>
    <w:p w14:paraId="4BC6D739"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ЕС - Европейски съюз</w:t>
      </w:r>
    </w:p>
    <w:p w14:paraId="4725BA4E" w14:textId="77777777" w:rsidR="00172919" w:rsidRPr="00137452" w:rsidRDefault="00172919" w:rsidP="00346CAF">
      <w:pPr>
        <w:tabs>
          <w:tab w:val="left" w:pos="0"/>
        </w:tabs>
        <w:jc w:val="both"/>
        <w:rPr>
          <w:bCs/>
          <w:color w:val="000000"/>
          <w:sz w:val="20"/>
          <w:szCs w:val="20"/>
        </w:rPr>
      </w:pPr>
      <w:r w:rsidRPr="00137452">
        <w:rPr>
          <w:bCs/>
          <w:color w:val="000000"/>
          <w:sz w:val="20"/>
          <w:szCs w:val="20"/>
        </w:rPr>
        <w:t>ЕОЦКП - Европейски орган за ценни книжа и пазари</w:t>
      </w:r>
    </w:p>
    <w:p w14:paraId="0D692A1D" w14:textId="77777777" w:rsidR="00172919" w:rsidRPr="00137452" w:rsidRDefault="00172919" w:rsidP="00346CAF">
      <w:pPr>
        <w:tabs>
          <w:tab w:val="left" w:pos="0"/>
        </w:tabs>
        <w:jc w:val="both"/>
        <w:rPr>
          <w:bCs/>
          <w:color w:val="000000"/>
          <w:sz w:val="20"/>
          <w:szCs w:val="20"/>
        </w:rPr>
      </w:pPr>
      <w:r w:rsidRPr="00137452">
        <w:rPr>
          <w:bCs/>
          <w:color w:val="000000"/>
          <w:sz w:val="20"/>
          <w:szCs w:val="20"/>
        </w:rPr>
        <w:t>ЕОЗППО - Европейски орган за застраховане и професионално пенсионно осигуряване</w:t>
      </w:r>
    </w:p>
    <w:p w14:paraId="263B83E5"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ЗВПКИИП - Закон за възстановяване и преструктуриране на кредитни институции и инвестиционни посредници</w:t>
      </w:r>
    </w:p>
    <w:p w14:paraId="543FA808" w14:textId="77777777" w:rsidR="00CF2157" w:rsidRPr="00137452" w:rsidRDefault="00CF2157" w:rsidP="00346CAF">
      <w:pPr>
        <w:tabs>
          <w:tab w:val="left" w:pos="0"/>
        </w:tabs>
        <w:jc w:val="both"/>
        <w:rPr>
          <w:bCs/>
          <w:color w:val="000000"/>
          <w:sz w:val="20"/>
          <w:szCs w:val="20"/>
        </w:rPr>
      </w:pPr>
      <w:r w:rsidRPr="00137452">
        <w:rPr>
          <w:bCs/>
          <w:color w:val="000000"/>
          <w:sz w:val="20"/>
          <w:szCs w:val="20"/>
        </w:rPr>
        <w:t xml:space="preserve">ЗДКИСДПКИ - Закон за дейността на колективните инвестиционни схеми и други предприятия за колективно инвестиране </w:t>
      </w:r>
    </w:p>
    <w:p w14:paraId="291E0B75"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ЗДСИЦ</w:t>
      </w:r>
      <w:r w:rsidR="00AA0F05" w:rsidRPr="00137452">
        <w:rPr>
          <w:bCs/>
          <w:color w:val="000000"/>
          <w:sz w:val="20"/>
          <w:szCs w:val="20"/>
        </w:rPr>
        <w:t>ДС</w:t>
      </w:r>
      <w:r w:rsidRPr="00137452">
        <w:rPr>
          <w:bCs/>
          <w:color w:val="000000"/>
          <w:sz w:val="20"/>
          <w:szCs w:val="20"/>
        </w:rPr>
        <w:t xml:space="preserve"> - Закон за дружествата със специална инвестиционна цел</w:t>
      </w:r>
      <w:r w:rsidR="00AA0F05" w:rsidRPr="00137452">
        <w:rPr>
          <w:bCs/>
          <w:color w:val="000000"/>
          <w:sz w:val="20"/>
          <w:szCs w:val="20"/>
        </w:rPr>
        <w:t xml:space="preserve"> и за дружествата за секюритизация</w:t>
      </w:r>
    </w:p>
    <w:p w14:paraId="00AA4519"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ЗКФН - Закон за Комисията за финансов надзор</w:t>
      </w:r>
    </w:p>
    <w:p w14:paraId="6CBF8936" w14:textId="77777777" w:rsidR="00346CAF" w:rsidRPr="00137452" w:rsidRDefault="00CF2157" w:rsidP="00346CAF">
      <w:pPr>
        <w:tabs>
          <w:tab w:val="left" w:pos="0"/>
        </w:tabs>
        <w:jc w:val="both"/>
        <w:rPr>
          <w:bCs/>
          <w:color w:val="000000"/>
          <w:sz w:val="20"/>
          <w:szCs w:val="20"/>
        </w:rPr>
      </w:pPr>
      <w:r w:rsidRPr="00137452">
        <w:rPr>
          <w:bCs/>
          <w:color w:val="000000"/>
          <w:sz w:val="20"/>
          <w:szCs w:val="20"/>
        </w:rPr>
        <w:t>ЗМИП - Закон за мерките срещу изпирането на пари</w:t>
      </w:r>
    </w:p>
    <w:p w14:paraId="25F4D676" w14:textId="77777777" w:rsidR="002C1A36" w:rsidRDefault="00CF2157" w:rsidP="00346CAF">
      <w:pPr>
        <w:tabs>
          <w:tab w:val="left" w:pos="0"/>
        </w:tabs>
        <w:jc w:val="both"/>
        <w:rPr>
          <w:bCs/>
          <w:color w:val="000000"/>
          <w:sz w:val="20"/>
          <w:szCs w:val="20"/>
        </w:rPr>
      </w:pPr>
      <w:r w:rsidRPr="00137452">
        <w:rPr>
          <w:bCs/>
          <w:color w:val="000000"/>
          <w:sz w:val="20"/>
          <w:szCs w:val="20"/>
        </w:rPr>
        <w:t>ЗМФТ</w:t>
      </w:r>
      <w:r w:rsidR="002C1A36">
        <w:rPr>
          <w:bCs/>
          <w:color w:val="000000"/>
          <w:sz w:val="20"/>
          <w:szCs w:val="20"/>
        </w:rPr>
        <w:t>РОМУ</w:t>
      </w:r>
      <w:r w:rsidRPr="00137452">
        <w:rPr>
          <w:bCs/>
          <w:color w:val="000000"/>
          <w:sz w:val="20"/>
          <w:szCs w:val="20"/>
        </w:rPr>
        <w:t xml:space="preserve"> - </w:t>
      </w:r>
      <w:r w:rsidR="002C1A36">
        <w:rPr>
          <w:bCs/>
          <w:color w:val="000000"/>
          <w:sz w:val="20"/>
          <w:szCs w:val="20"/>
        </w:rPr>
        <w:t>З</w:t>
      </w:r>
      <w:r w:rsidR="002C1A36" w:rsidRPr="002C1A36">
        <w:rPr>
          <w:bCs/>
          <w:color w:val="000000"/>
          <w:sz w:val="20"/>
          <w:szCs w:val="20"/>
        </w:rPr>
        <w:t>акон за мерките срещу финансирането на тероризма и на разпространението на оръжия за масово унищожение</w:t>
      </w:r>
      <w:r w:rsidR="002C1A36" w:rsidRPr="002C1A36" w:rsidDel="002C1A36">
        <w:rPr>
          <w:bCs/>
          <w:color w:val="000000"/>
          <w:sz w:val="20"/>
          <w:szCs w:val="20"/>
        </w:rPr>
        <w:t xml:space="preserve"> </w:t>
      </w:r>
    </w:p>
    <w:p w14:paraId="0BF11B76" w14:textId="2171CDE7" w:rsidR="002C1A36" w:rsidRPr="00137452" w:rsidRDefault="002C1A36" w:rsidP="00346CAF">
      <w:pPr>
        <w:tabs>
          <w:tab w:val="left" w:pos="0"/>
        </w:tabs>
        <w:jc w:val="both"/>
        <w:rPr>
          <w:bCs/>
          <w:color w:val="000000"/>
          <w:sz w:val="20"/>
          <w:szCs w:val="20"/>
        </w:rPr>
      </w:pPr>
      <w:r>
        <w:rPr>
          <w:bCs/>
          <w:color w:val="000000"/>
          <w:sz w:val="20"/>
          <w:szCs w:val="20"/>
        </w:rPr>
        <w:t>ЗЗО – Закон за здравното осигуряване</w:t>
      </w:r>
    </w:p>
    <w:p w14:paraId="75B3D160" w14:textId="033F9E1F" w:rsidR="00CF2157" w:rsidRPr="00137452" w:rsidRDefault="00CF2157" w:rsidP="00346CAF">
      <w:pPr>
        <w:tabs>
          <w:tab w:val="left" w:pos="0"/>
        </w:tabs>
        <w:jc w:val="both"/>
        <w:rPr>
          <w:bCs/>
          <w:color w:val="000000"/>
          <w:sz w:val="20"/>
          <w:szCs w:val="20"/>
        </w:rPr>
      </w:pPr>
      <w:r w:rsidRPr="00137452">
        <w:rPr>
          <w:bCs/>
          <w:color w:val="000000"/>
          <w:sz w:val="20"/>
          <w:szCs w:val="20"/>
        </w:rPr>
        <w:t>ЗП</w:t>
      </w:r>
      <w:r w:rsidR="00346CAF" w:rsidRPr="00137452">
        <w:rPr>
          <w:bCs/>
          <w:color w:val="000000"/>
          <w:sz w:val="20"/>
          <w:szCs w:val="20"/>
        </w:rPr>
        <w:t>КА</w:t>
      </w:r>
      <w:r w:rsidR="00346CAF" w:rsidRPr="00137452">
        <w:rPr>
          <w:sz w:val="20"/>
          <w:szCs w:val="20"/>
        </w:rPr>
        <w:t xml:space="preserve"> - </w:t>
      </w:r>
      <w:r w:rsidR="00346CAF" w:rsidRPr="00137452">
        <w:rPr>
          <w:bCs/>
          <w:color w:val="000000"/>
          <w:sz w:val="20"/>
          <w:szCs w:val="20"/>
        </w:rPr>
        <w:t>Закон за пазарите на криптоактиви</w:t>
      </w:r>
    </w:p>
    <w:p w14:paraId="0E744195"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ЗПМПЗФИ - Закон за прилагане на мерките срещу пазарните злоупотреби с финансови инструменти</w:t>
      </w:r>
    </w:p>
    <w:p w14:paraId="1D04AA00"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ЗППЦК - Закон за публичното предлагане на ценни книжа</w:t>
      </w:r>
    </w:p>
    <w:p w14:paraId="56FA96AB"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ЗПФИ - Закон за пазарите на финансови инструменти</w:t>
      </w:r>
    </w:p>
    <w:p w14:paraId="667301B3"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ИД - инвестиционно дружество</w:t>
      </w:r>
    </w:p>
    <w:p w14:paraId="6515193A"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ИП - инвестиционен посредник</w:t>
      </w:r>
    </w:p>
    <w:p w14:paraId="7575A0CE"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КЗ - Кодекс за застраховането</w:t>
      </w:r>
    </w:p>
    <w:p w14:paraId="3CA6FDC4"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КИС - колективни инвестиционни схеми</w:t>
      </w:r>
    </w:p>
    <w:p w14:paraId="6D6216A7" w14:textId="77777777" w:rsidR="00CF2157" w:rsidRPr="00137452" w:rsidRDefault="00CF2157" w:rsidP="00346CAF">
      <w:pPr>
        <w:tabs>
          <w:tab w:val="left" w:pos="0"/>
        </w:tabs>
        <w:jc w:val="both"/>
        <w:rPr>
          <w:bCs/>
          <w:color w:val="000000"/>
          <w:sz w:val="20"/>
          <w:szCs w:val="20"/>
          <w:lang w:val="en-US"/>
        </w:rPr>
      </w:pPr>
      <w:r w:rsidRPr="00137452">
        <w:rPr>
          <w:bCs/>
          <w:color w:val="000000"/>
          <w:sz w:val="20"/>
          <w:szCs w:val="20"/>
        </w:rPr>
        <w:t>КСО - Кодекс за социално осигуряване</w:t>
      </w:r>
    </w:p>
    <w:p w14:paraId="670BE553" w14:textId="083004F8" w:rsidR="00CF2157" w:rsidRDefault="00CF2157" w:rsidP="00346CAF">
      <w:pPr>
        <w:tabs>
          <w:tab w:val="left" w:pos="0"/>
        </w:tabs>
        <w:jc w:val="both"/>
        <w:rPr>
          <w:bCs/>
          <w:color w:val="000000"/>
          <w:sz w:val="20"/>
          <w:szCs w:val="20"/>
        </w:rPr>
      </w:pPr>
      <w:r w:rsidRPr="00137452">
        <w:rPr>
          <w:bCs/>
          <w:color w:val="000000"/>
          <w:sz w:val="20"/>
          <w:szCs w:val="20"/>
        </w:rPr>
        <w:t>КФН</w:t>
      </w:r>
      <w:r w:rsidR="00B66ADE" w:rsidRPr="00137452">
        <w:rPr>
          <w:bCs/>
          <w:color w:val="000000"/>
          <w:sz w:val="20"/>
          <w:szCs w:val="20"/>
        </w:rPr>
        <w:t>, Комисията</w:t>
      </w:r>
      <w:r w:rsidRPr="00137452">
        <w:rPr>
          <w:bCs/>
          <w:color w:val="000000"/>
          <w:sz w:val="20"/>
          <w:szCs w:val="20"/>
        </w:rPr>
        <w:t xml:space="preserve"> - Комисия за финансов надзор</w:t>
      </w:r>
    </w:p>
    <w:p w14:paraId="5532253E" w14:textId="58814692" w:rsidR="00710780" w:rsidRPr="00710780" w:rsidRDefault="00710780" w:rsidP="00346CAF">
      <w:pPr>
        <w:tabs>
          <w:tab w:val="left" w:pos="0"/>
        </w:tabs>
        <w:jc w:val="both"/>
        <w:rPr>
          <w:bCs/>
          <w:color w:val="000000"/>
          <w:sz w:val="20"/>
          <w:szCs w:val="20"/>
        </w:rPr>
      </w:pPr>
      <w:r w:rsidRPr="00710780">
        <w:rPr>
          <w:bCs/>
          <w:color w:val="000000"/>
          <w:sz w:val="20"/>
          <w:szCs w:val="20"/>
        </w:rPr>
        <w:t xml:space="preserve">МВФ - Международен валутен фонд </w:t>
      </w:r>
    </w:p>
    <w:p w14:paraId="353B4E46" w14:textId="70F3D4A8" w:rsidR="005166CC" w:rsidRPr="00137452" w:rsidRDefault="005166CC" w:rsidP="00346CAF">
      <w:pPr>
        <w:tabs>
          <w:tab w:val="left" w:pos="0"/>
        </w:tabs>
        <w:jc w:val="both"/>
        <w:rPr>
          <w:bCs/>
          <w:color w:val="000000"/>
          <w:sz w:val="20"/>
          <w:szCs w:val="20"/>
        </w:rPr>
      </w:pPr>
      <w:r>
        <w:rPr>
          <w:bCs/>
          <w:color w:val="000000"/>
          <w:sz w:val="20"/>
          <w:szCs w:val="20"/>
        </w:rPr>
        <w:t>МФ – Министерство на финансите</w:t>
      </w:r>
    </w:p>
    <w:p w14:paraId="4E698747"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НП - наказателно постановление</w:t>
      </w:r>
    </w:p>
    <w:p w14:paraId="41779EBC"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ПАМ - принудителна административна мярка</w:t>
      </w:r>
    </w:p>
    <w:p w14:paraId="02B7E296"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ПОД - пенсионноосигурително дружество</w:t>
      </w:r>
    </w:p>
    <w:p w14:paraId="637C36CF" w14:textId="77777777" w:rsidR="00CF2157" w:rsidRPr="00137452" w:rsidRDefault="00CF2157" w:rsidP="00346CAF">
      <w:pPr>
        <w:tabs>
          <w:tab w:val="left" w:pos="0"/>
        </w:tabs>
        <w:jc w:val="both"/>
        <w:rPr>
          <w:bCs/>
          <w:color w:val="000000"/>
          <w:sz w:val="20"/>
          <w:szCs w:val="20"/>
        </w:rPr>
      </w:pPr>
      <w:r w:rsidRPr="00137452">
        <w:rPr>
          <w:bCs/>
          <w:color w:val="000000"/>
          <w:sz w:val="20"/>
          <w:szCs w:val="20"/>
        </w:rPr>
        <w:t>ППФ - професионален пенсионен фонд</w:t>
      </w:r>
    </w:p>
    <w:p w14:paraId="2F4F8463" w14:textId="77777777" w:rsidR="00CF2157" w:rsidRPr="00137452" w:rsidRDefault="00CF2157" w:rsidP="00346CAF">
      <w:pPr>
        <w:tabs>
          <w:tab w:val="left" w:pos="0"/>
        </w:tabs>
        <w:jc w:val="both"/>
        <w:rPr>
          <w:bCs/>
          <w:color w:val="000000"/>
          <w:sz w:val="20"/>
          <w:szCs w:val="20"/>
        </w:rPr>
      </w:pPr>
      <w:r w:rsidRPr="00137452">
        <w:rPr>
          <w:bCs/>
          <w:color w:val="000000"/>
          <w:sz w:val="20"/>
          <w:szCs w:val="20"/>
        </w:rPr>
        <w:t xml:space="preserve">УД - управляващо дружество </w:t>
      </w:r>
    </w:p>
    <w:p w14:paraId="189684A3" w14:textId="77777777" w:rsidR="00CF2157" w:rsidRPr="00137452" w:rsidRDefault="00CF2157" w:rsidP="00346CAF">
      <w:pPr>
        <w:tabs>
          <w:tab w:val="left" w:pos="0"/>
        </w:tabs>
        <w:jc w:val="both"/>
        <w:rPr>
          <w:bCs/>
          <w:color w:val="000000"/>
          <w:sz w:val="20"/>
          <w:szCs w:val="20"/>
        </w:rPr>
      </w:pPr>
      <w:r w:rsidRPr="00137452">
        <w:rPr>
          <w:bCs/>
          <w:color w:val="000000"/>
          <w:sz w:val="20"/>
          <w:szCs w:val="20"/>
        </w:rPr>
        <w:t>УПФ - универсален пенсионен фонд</w:t>
      </w:r>
    </w:p>
    <w:p w14:paraId="616B1D4E" w14:textId="77777777" w:rsidR="00CF2157" w:rsidRPr="00137452" w:rsidRDefault="00CF2157" w:rsidP="00346CAF">
      <w:pPr>
        <w:tabs>
          <w:tab w:val="left" w:pos="0"/>
        </w:tabs>
        <w:jc w:val="both"/>
        <w:rPr>
          <w:bCs/>
          <w:color w:val="000000"/>
          <w:sz w:val="20"/>
          <w:szCs w:val="20"/>
        </w:rPr>
      </w:pPr>
      <w:r w:rsidRPr="00137452">
        <w:rPr>
          <w:bCs/>
          <w:color w:val="000000"/>
          <w:sz w:val="20"/>
          <w:szCs w:val="20"/>
        </w:rPr>
        <w:t>ФДДПО - фонд за допълнително доброволно пенсионно осигуряване</w:t>
      </w:r>
    </w:p>
    <w:p w14:paraId="65502D19" w14:textId="77777777" w:rsidR="00CF2157" w:rsidRPr="00137452" w:rsidRDefault="00CF2157" w:rsidP="00346CAF">
      <w:pPr>
        <w:tabs>
          <w:tab w:val="left" w:pos="0"/>
        </w:tabs>
        <w:jc w:val="both"/>
        <w:rPr>
          <w:bCs/>
          <w:color w:val="000000"/>
          <w:sz w:val="20"/>
          <w:szCs w:val="20"/>
        </w:rPr>
      </w:pPr>
      <w:r w:rsidRPr="00137452">
        <w:rPr>
          <w:bCs/>
          <w:color w:val="000000"/>
          <w:sz w:val="20"/>
          <w:szCs w:val="20"/>
        </w:rPr>
        <w:t>ФДЗПО - фонд за допълнително задължително пенсионно осигуряване</w:t>
      </w:r>
    </w:p>
    <w:p w14:paraId="4FDF0A46" w14:textId="77777777" w:rsidR="00CF2157" w:rsidRPr="00137452" w:rsidRDefault="00CF2157" w:rsidP="00346CAF">
      <w:pPr>
        <w:tabs>
          <w:tab w:val="left" w:pos="0"/>
        </w:tabs>
        <w:jc w:val="both"/>
        <w:rPr>
          <w:bCs/>
          <w:color w:val="000000"/>
          <w:sz w:val="20"/>
          <w:szCs w:val="20"/>
        </w:rPr>
      </w:pPr>
      <w:r w:rsidRPr="00137452">
        <w:rPr>
          <w:bCs/>
          <w:color w:val="000000"/>
          <w:sz w:val="20"/>
          <w:szCs w:val="20"/>
        </w:rPr>
        <w:t>ФДПО - фонд за допълнително пенсионно осигуряване</w:t>
      </w:r>
    </w:p>
    <w:p w14:paraId="3A99F260" w14:textId="77777777" w:rsidR="00423B03" w:rsidRPr="00137452" w:rsidRDefault="00423B03" w:rsidP="00346CAF">
      <w:pPr>
        <w:tabs>
          <w:tab w:val="left" w:pos="0"/>
        </w:tabs>
        <w:jc w:val="both"/>
        <w:rPr>
          <w:bCs/>
          <w:color w:val="000000"/>
          <w:sz w:val="20"/>
          <w:szCs w:val="20"/>
        </w:rPr>
      </w:pPr>
      <w:r w:rsidRPr="00137452">
        <w:rPr>
          <w:bCs/>
          <w:color w:val="000000"/>
          <w:sz w:val="20"/>
          <w:szCs w:val="20"/>
        </w:rPr>
        <w:t>ФИПП – фонд за изплащане на пожизнени пенсии</w:t>
      </w:r>
    </w:p>
    <w:p w14:paraId="3EF429A3" w14:textId="77777777" w:rsidR="00423B03" w:rsidRPr="00137452" w:rsidRDefault="00423B03" w:rsidP="00346CAF">
      <w:pPr>
        <w:tabs>
          <w:tab w:val="left" w:pos="0"/>
        </w:tabs>
        <w:jc w:val="both"/>
        <w:rPr>
          <w:bCs/>
          <w:color w:val="000000"/>
          <w:sz w:val="20"/>
          <w:szCs w:val="20"/>
        </w:rPr>
      </w:pPr>
      <w:r w:rsidRPr="00137452">
        <w:rPr>
          <w:bCs/>
          <w:color w:val="000000"/>
          <w:sz w:val="20"/>
          <w:szCs w:val="20"/>
        </w:rPr>
        <w:t>ФРП – фонд за разсрочено плащане</w:t>
      </w:r>
    </w:p>
    <w:p w14:paraId="37EE271C" w14:textId="77777777" w:rsidR="00423B03" w:rsidRPr="00137452" w:rsidRDefault="00423B03" w:rsidP="00346CAF">
      <w:pPr>
        <w:tabs>
          <w:tab w:val="left" w:pos="0"/>
        </w:tabs>
        <w:jc w:val="both"/>
        <w:rPr>
          <w:bCs/>
          <w:color w:val="000000"/>
          <w:sz w:val="20"/>
          <w:szCs w:val="20"/>
        </w:rPr>
      </w:pPr>
      <w:r w:rsidRPr="00137452">
        <w:rPr>
          <w:bCs/>
          <w:color w:val="000000"/>
          <w:sz w:val="20"/>
          <w:szCs w:val="20"/>
        </w:rPr>
        <w:t>ФИП – фондове за извършване на плащания</w:t>
      </w:r>
    </w:p>
    <w:p w14:paraId="625BC624" w14:textId="77777777" w:rsidR="00CF2157" w:rsidRPr="00137452" w:rsidRDefault="00CF2157" w:rsidP="00346CAF">
      <w:pPr>
        <w:tabs>
          <w:tab w:val="left" w:pos="0"/>
        </w:tabs>
        <w:jc w:val="both"/>
        <w:rPr>
          <w:bCs/>
          <w:color w:val="000000"/>
          <w:sz w:val="20"/>
          <w:szCs w:val="20"/>
        </w:rPr>
      </w:pPr>
      <w:r w:rsidRPr="00137452">
        <w:rPr>
          <w:bCs/>
          <w:color w:val="000000"/>
          <w:sz w:val="20"/>
          <w:szCs w:val="20"/>
        </w:rPr>
        <w:t xml:space="preserve">ESFS - </w:t>
      </w:r>
      <w:r w:rsidRPr="00137452">
        <w:rPr>
          <w:sz w:val="20"/>
          <w:szCs w:val="20"/>
        </w:rPr>
        <w:t xml:space="preserve">Европейска система за финансов надзор </w:t>
      </w:r>
    </w:p>
    <w:p w14:paraId="75CD2B6A" w14:textId="77777777" w:rsidR="00CF2157" w:rsidRPr="00137452" w:rsidRDefault="00CF2157" w:rsidP="00346CAF">
      <w:pPr>
        <w:tabs>
          <w:tab w:val="left" w:pos="0"/>
        </w:tabs>
        <w:jc w:val="both"/>
        <w:rPr>
          <w:bCs/>
          <w:color w:val="000000"/>
          <w:sz w:val="20"/>
          <w:szCs w:val="20"/>
        </w:rPr>
      </w:pPr>
      <w:r w:rsidRPr="00137452">
        <w:rPr>
          <w:bCs/>
          <w:color w:val="000000"/>
          <w:sz w:val="20"/>
          <w:szCs w:val="20"/>
        </w:rPr>
        <w:t>ESRB - Европейски съвет за системен риск</w:t>
      </w:r>
    </w:p>
    <w:p w14:paraId="5B0787A1" w14:textId="77777777" w:rsidR="00E36D94" w:rsidRPr="00137452" w:rsidRDefault="006C2EFF" w:rsidP="00346CAF">
      <w:pPr>
        <w:tabs>
          <w:tab w:val="left" w:pos="0"/>
        </w:tabs>
        <w:jc w:val="both"/>
        <w:rPr>
          <w:bCs/>
          <w:color w:val="000000"/>
          <w:sz w:val="20"/>
          <w:szCs w:val="20"/>
        </w:rPr>
      </w:pPr>
      <w:r w:rsidRPr="00137452">
        <w:rPr>
          <w:bCs/>
          <w:color w:val="000000"/>
          <w:sz w:val="20"/>
          <w:szCs w:val="20"/>
        </w:rPr>
        <w:t xml:space="preserve">ПМС </w:t>
      </w:r>
      <w:r w:rsidR="00E116E6" w:rsidRPr="00137452">
        <w:rPr>
          <w:bCs/>
          <w:color w:val="000000"/>
          <w:sz w:val="20"/>
          <w:szCs w:val="20"/>
        </w:rPr>
        <w:t xml:space="preserve">- </w:t>
      </w:r>
      <w:r w:rsidRPr="00137452">
        <w:rPr>
          <w:bCs/>
          <w:color w:val="000000"/>
          <w:sz w:val="20"/>
          <w:szCs w:val="20"/>
        </w:rPr>
        <w:t>Постановление на Министерския съвет</w:t>
      </w:r>
    </w:p>
    <w:p w14:paraId="36072FE0" w14:textId="77777777" w:rsidR="00E36D94" w:rsidRPr="00137452" w:rsidRDefault="00E116E6" w:rsidP="00346CAF">
      <w:pPr>
        <w:tabs>
          <w:tab w:val="left" w:pos="0"/>
        </w:tabs>
        <w:jc w:val="both"/>
        <w:rPr>
          <w:bCs/>
          <w:color w:val="000000"/>
          <w:sz w:val="20"/>
          <w:szCs w:val="20"/>
        </w:rPr>
      </w:pPr>
      <w:r w:rsidRPr="00137452">
        <w:rPr>
          <w:bCs/>
          <w:color w:val="000000"/>
          <w:sz w:val="20"/>
          <w:szCs w:val="20"/>
        </w:rPr>
        <w:t>ПРБ  - Първостепенен разпоредител с бюджет</w:t>
      </w:r>
    </w:p>
    <w:p w14:paraId="4CC487F4" w14:textId="77777777" w:rsidR="00B32537" w:rsidRPr="00137452" w:rsidRDefault="00B32537" w:rsidP="00346CAF">
      <w:pPr>
        <w:tabs>
          <w:tab w:val="left" w:pos="0"/>
        </w:tabs>
        <w:jc w:val="both"/>
        <w:rPr>
          <w:bCs/>
          <w:color w:val="000000"/>
          <w:sz w:val="20"/>
          <w:szCs w:val="20"/>
        </w:rPr>
      </w:pPr>
      <w:r w:rsidRPr="00137452">
        <w:rPr>
          <w:bCs/>
          <w:color w:val="000000"/>
          <w:sz w:val="20"/>
          <w:szCs w:val="20"/>
        </w:rPr>
        <w:t>ФПИП</w:t>
      </w:r>
      <w:r w:rsidR="00490197" w:rsidRPr="00137452">
        <w:rPr>
          <w:bCs/>
          <w:color w:val="000000"/>
          <w:sz w:val="20"/>
          <w:szCs w:val="20"/>
        </w:rPr>
        <w:t xml:space="preserve">  - Фонд за преструктуриране на инвестиционни посредници</w:t>
      </w:r>
    </w:p>
    <w:p w14:paraId="4394D8B8" w14:textId="77777777" w:rsidR="00A14CA7" w:rsidRDefault="00A14CA7" w:rsidP="00CF2157">
      <w:pPr>
        <w:tabs>
          <w:tab w:val="left" w:pos="0"/>
        </w:tabs>
        <w:jc w:val="both"/>
        <w:rPr>
          <w:bCs/>
          <w:color w:val="000000"/>
          <w:sz w:val="18"/>
          <w:szCs w:val="18"/>
        </w:rPr>
      </w:pPr>
    </w:p>
    <w:sdt>
      <w:sdtPr>
        <w:rPr>
          <w:rFonts w:eastAsia="Times New Roman" w:cs="Times New Roman"/>
          <w:color w:val="auto"/>
          <w:sz w:val="24"/>
          <w:szCs w:val="24"/>
          <w:lang w:val="bg-BG" w:eastAsia="bg-BG"/>
        </w:rPr>
        <w:id w:val="679554515"/>
        <w:docPartObj>
          <w:docPartGallery w:val="Table of Contents"/>
          <w:docPartUnique/>
        </w:docPartObj>
      </w:sdtPr>
      <w:sdtEndPr>
        <w:rPr>
          <w:b/>
          <w:bCs/>
          <w:noProof/>
        </w:rPr>
      </w:sdtEndPr>
      <w:sdtContent>
        <w:p w14:paraId="404AEB80" w14:textId="77777777" w:rsidR="0026128B" w:rsidRPr="00F00C05" w:rsidRDefault="0026128B">
          <w:pPr>
            <w:pStyle w:val="TOCHeading"/>
            <w:rPr>
              <w:lang w:val="bg-BG"/>
            </w:rPr>
          </w:pPr>
          <w:r>
            <w:rPr>
              <w:lang w:val="bg-BG"/>
            </w:rPr>
            <w:t>Съдържание:</w:t>
          </w:r>
          <w:r w:rsidR="00C53BE5">
            <w:rPr>
              <w:lang w:val="bg-BG"/>
            </w:rPr>
            <w:t xml:space="preserve"> </w:t>
          </w:r>
        </w:p>
        <w:p w14:paraId="7423CD80" w14:textId="578479A7" w:rsidR="00CA46B2" w:rsidRDefault="0026128B">
          <w:pPr>
            <w:pStyle w:val="TOC1"/>
            <w:rPr>
              <w:rFonts w:asciiTheme="minorHAnsi" w:eastAsiaTheme="minorEastAsia" w:hAnsiTheme="minorHAnsi" w:cstheme="minorBidi"/>
              <w:b w:val="0"/>
              <w:noProof/>
              <w:szCs w:val="22"/>
              <w:lang w:eastAsia="bg-BG"/>
            </w:rPr>
          </w:pPr>
          <w:r>
            <w:fldChar w:fldCharType="begin"/>
          </w:r>
          <w:r>
            <w:instrText xml:space="preserve"> TOC \o "1-3" \h \z \u </w:instrText>
          </w:r>
          <w:r>
            <w:fldChar w:fldCharType="separate"/>
          </w:r>
          <w:hyperlink w:anchor="_Toc206148612" w:history="1">
            <w:r w:rsidR="00CA46B2" w:rsidRPr="00582F9F">
              <w:rPr>
                <w:rStyle w:val="Hyperlink"/>
                <w:rFonts w:eastAsiaTheme="majorEastAsia" w:cstheme="majorBidi"/>
                <w:bCs/>
                <w:noProof/>
              </w:rPr>
              <w:t>1. ОТЧЕТ НА ОСНОВНИТЕ ПАРАМЕТРИ НА БЮДЖЕТА</w:t>
            </w:r>
            <w:r w:rsidR="00CA46B2">
              <w:rPr>
                <w:noProof/>
                <w:webHidden/>
              </w:rPr>
              <w:tab/>
            </w:r>
            <w:r w:rsidR="00CA46B2">
              <w:rPr>
                <w:noProof/>
                <w:webHidden/>
              </w:rPr>
              <w:fldChar w:fldCharType="begin"/>
            </w:r>
            <w:r w:rsidR="00CA46B2">
              <w:rPr>
                <w:noProof/>
                <w:webHidden/>
              </w:rPr>
              <w:instrText xml:space="preserve"> PAGEREF _Toc206148612 \h </w:instrText>
            </w:r>
            <w:r w:rsidR="00CA46B2">
              <w:rPr>
                <w:noProof/>
                <w:webHidden/>
              </w:rPr>
            </w:r>
            <w:r w:rsidR="00CA46B2">
              <w:rPr>
                <w:noProof/>
                <w:webHidden/>
              </w:rPr>
              <w:fldChar w:fldCharType="separate"/>
            </w:r>
            <w:r w:rsidR="00CA46B2">
              <w:rPr>
                <w:noProof/>
                <w:webHidden/>
              </w:rPr>
              <w:t>5</w:t>
            </w:r>
            <w:r w:rsidR="00CA46B2">
              <w:rPr>
                <w:noProof/>
                <w:webHidden/>
              </w:rPr>
              <w:fldChar w:fldCharType="end"/>
            </w:r>
          </w:hyperlink>
        </w:p>
        <w:p w14:paraId="1C8FA8AE" w14:textId="1788E4D8" w:rsidR="00CA46B2" w:rsidRDefault="00097454">
          <w:pPr>
            <w:pStyle w:val="TOC2"/>
            <w:rPr>
              <w:rFonts w:asciiTheme="minorHAnsi" w:eastAsiaTheme="minorEastAsia" w:hAnsiTheme="minorHAnsi" w:cstheme="minorBidi"/>
              <w:noProof/>
              <w:szCs w:val="22"/>
              <w:lang w:eastAsia="bg-BG"/>
            </w:rPr>
          </w:pPr>
          <w:hyperlink w:anchor="_Toc206148613" w:history="1">
            <w:r w:rsidR="00CA46B2" w:rsidRPr="00582F9F">
              <w:rPr>
                <w:rStyle w:val="Hyperlink"/>
                <w:rFonts w:eastAsiaTheme="majorEastAsia" w:cstheme="majorBidi"/>
                <w:b/>
                <w:bCs/>
                <w:noProof/>
              </w:rPr>
              <w:t>а) Отчет на приходите по бюджета на КФН</w:t>
            </w:r>
            <w:r w:rsidR="00CA46B2">
              <w:rPr>
                <w:noProof/>
                <w:webHidden/>
              </w:rPr>
              <w:tab/>
            </w:r>
            <w:r w:rsidR="00CA46B2">
              <w:rPr>
                <w:noProof/>
                <w:webHidden/>
              </w:rPr>
              <w:fldChar w:fldCharType="begin"/>
            </w:r>
            <w:r w:rsidR="00CA46B2">
              <w:rPr>
                <w:noProof/>
                <w:webHidden/>
              </w:rPr>
              <w:instrText xml:space="preserve"> PAGEREF _Toc206148613 \h </w:instrText>
            </w:r>
            <w:r w:rsidR="00CA46B2">
              <w:rPr>
                <w:noProof/>
                <w:webHidden/>
              </w:rPr>
            </w:r>
            <w:r w:rsidR="00CA46B2">
              <w:rPr>
                <w:noProof/>
                <w:webHidden/>
              </w:rPr>
              <w:fldChar w:fldCharType="separate"/>
            </w:r>
            <w:r w:rsidR="00CA46B2">
              <w:rPr>
                <w:noProof/>
                <w:webHidden/>
              </w:rPr>
              <w:t>5</w:t>
            </w:r>
            <w:r w:rsidR="00CA46B2">
              <w:rPr>
                <w:noProof/>
                <w:webHidden/>
              </w:rPr>
              <w:fldChar w:fldCharType="end"/>
            </w:r>
          </w:hyperlink>
        </w:p>
        <w:p w14:paraId="4E46D461" w14:textId="509D813C" w:rsidR="00CA46B2" w:rsidRDefault="00097454">
          <w:pPr>
            <w:pStyle w:val="TOC2"/>
            <w:rPr>
              <w:rFonts w:asciiTheme="minorHAnsi" w:eastAsiaTheme="minorEastAsia" w:hAnsiTheme="minorHAnsi" w:cstheme="minorBidi"/>
              <w:noProof/>
              <w:szCs w:val="22"/>
              <w:lang w:eastAsia="bg-BG"/>
            </w:rPr>
          </w:pPr>
          <w:hyperlink w:anchor="_Toc206148614" w:history="1">
            <w:r w:rsidR="00CA46B2" w:rsidRPr="00582F9F">
              <w:rPr>
                <w:rStyle w:val="Hyperlink"/>
                <w:rFonts w:eastAsiaTheme="majorEastAsia" w:cstheme="majorBidi"/>
                <w:b/>
                <w:bCs/>
                <w:noProof/>
              </w:rPr>
              <w:t>б) Отчет на разходите по бюджета на КФН</w:t>
            </w:r>
            <w:r w:rsidR="00CA46B2">
              <w:rPr>
                <w:noProof/>
                <w:webHidden/>
              </w:rPr>
              <w:tab/>
            </w:r>
            <w:r w:rsidR="00CA46B2">
              <w:rPr>
                <w:noProof/>
                <w:webHidden/>
              </w:rPr>
              <w:fldChar w:fldCharType="begin"/>
            </w:r>
            <w:r w:rsidR="00CA46B2">
              <w:rPr>
                <w:noProof/>
                <w:webHidden/>
              </w:rPr>
              <w:instrText xml:space="preserve"> PAGEREF _Toc206148614 \h </w:instrText>
            </w:r>
            <w:r w:rsidR="00CA46B2">
              <w:rPr>
                <w:noProof/>
                <w:webHidden/>
              </w:rPr>
            </w:r>
            <w:r w:rsidR="00CA46B2">
              <w:rPr>
                <w:noProof/>
                <w:webHidden/>
              </w:rPr>
              <w:fldChar w:fldCharType="separate"/>
            </w:r>
            <w:r w:rsidR="00CA46B2">
              <w:rPr>
                <w:noProof/>
                <w:webHidden/>
              </w:rPr>
              <w:t>6</w:t>
            </w:r>
            <w:r w:rsidR="00CA46B2">
              <w:rPr>
                <w:noProof/>
                <w:webHidden/>
              </w:rPr>
              <w:fldChar w:fldCharType="end"/>
            </w:r>
          </w:hyperlink>
        </w:p>
        <w:p w14:paraId="0E4E7DC9" w14:textId="1EAA2681" w:rsidR="00CA46B2" w:rsidRDefault="00097454">
          <w:pPr>
            <w:pStyle w:val="TOC2"/>
            <w:rPr>
              <w:rFonts w:asciiTheme="minorHAnsi" w:eastAsiaTheme="minorEastAsia" w:hAnsiTheme="minorHAnsi" w:cstheme="minorBidi"/>
              <w:noProof/>
              <w:szCs w:val="22"/>
              <w:lang w:eastAsia="bg-BG"/>
            </w:rPr>
          </w:pPr>
          <w:hyperlink w:anchor="_Toc206148615" w:history="1">
            <w:r w:rsidR="00CA46B2" w:rsidRPr="00582F9F">
              <w:rPr>
                <w:rStyle w:val="Hyperlink"/>
                <w:rFonts w:eastAsiaTheme="majorEastAsia" w:cstheme="majorBidi"/>
                <w:b/>
                <w:bCs/>
                <w:noProof/>
              </w:rPr>
              <w:t>Финансиране на консолидираните разходи</w:t>
            </w:r>
            <w:r w:rsidR="00CA46B2">
              <w:rPr>
                <w:noProof/>
                <w:webHidden/>
              </w:rPr>
              <w:tab/>
            </w:r>
            <w:r w:rsidR="00CA46B2">
              <w:rPr>
                <w:noProof/>
                <w:webHidden/>
              </w:rPr>
              <w:fldChar w:fldCharType="begin"/>
            </w:r>
            <w:r w:rsidR="00CA46B2">
              <w:rPr>
                <w:noProof/>
                <w:webHidden/>
              </w:rPr>
              <w:instrText xml:space="preserve"> PAGEREF _Toc206148615 \h </w:instrText>
            </w:r>
            <w:r w:rsidR="00CA46B2">
              <w:rPr>
                <w:noProof/>
                <w:webHidden/>
              </w:rPr>
            </w:r>
            <w:r w:rsidR="00CA46B2">
              <w:rPr>
                <w:noProof/>
                <w:webHidden/>
              </w:rPr>
              <w:fldChar w:fldCharType="separate"/>
            </w:r>
            <w:r w:rsidR="00CA46B2">
              <w:rPr>
                <w:noProof/>
                <w:webHidden/>
              </w:rPr>
              <w:t>9</w:t>
            </w:r>
            <w:r w:rsidR="00CA46B2">
              <w:rPr>
                <w:noProof/>
                <w:webHidden/>
              </w:rPr>
              <w:fldChar w:fldCharType="end"/>
            </w:r>
          </w:hyperlink>
        </w:p>
        <w:p w14:paraId="743C34C0" w14:textId="45E0C4AD" w:rsidR="00CA46B2" w:rsidRDefault="00097454">
          <w:pPr>
            <w:pStyle w:val="TOC1"/>
            <w:rPr>
              <w:rFonts w:asciiTheme="minorHAnsi" w:eastAsiaTheme="minorEastAsia" w:hAnsiTheme="minorHAnsi" w:cstheme="minorBidi"/>
              <w:b w:val="0"/>
              <w:noProof/>
              <w:szCs w:val="22"/>
              <w:lang w:eastAsia="bg-BG"/>
            </w:rPr>
          </w:pPr>
          <w:hyperlink w:anchor="_Toc206148616" w:history="1">
            <w:r w:rsidR="00CA46B2" w:rsidRPr="00582F9F">
              <w:rPr>
                <w:rStyle w:val="Hyperlink"/>
                <w:rFonts w:eastAsiaTheme="majorEastAsia" w:cstheme="majorBidi"/>
                <w:bCs/>
                <w:noProof/>
              </w:rPr>
              <w:t>2. ПРЕГЛЕД НА НАСТЪПИЛИТЕ ПРЕЗ ОТЧЕТНИЯ ПЕРИОД ПРОМЕНИ НА ПОКАЗАТЕЛИТЕ ПО БЮДЖЕТА ПО РЕДА НА ЗАКОНА ЗА ПУБЛИЧНИТЕ ФИНАНСИ</w:t>
            </w:r>
            <w:r w:rsidR="00CA46B2">
              <w:rPr>
                <w:noProof/>
                <w:webHidden/>
              </w:rPr>
              <w:tab/>
            </w:r>
            <w:r w:rsidR="00CA46B2">
              <w:rPr>
                <w:noProof/>
                <w:webHidden/>
              </w:rPr>
              <w:fldChar w:fldCharType="begin"/>
            </w:r>
            <w:r w:rsidR="00CA46B2">
              <w:rPr>
                <w:noProof/>
                <w:webHidden/>
              </w:rPr>
              <w:instrText xml:space="preserve"> PAGEREF _Toc206148616 \h </w:instrText>
            </w:r>
            <w:r w:rsidR="00CA46B2">
              <w:rPr>
                <w:noProof/>
                <w:webHidden/>
              </w:rPr>
            </w:r>
            <w:r w:rsidR="00CA46B2">
              <w:rPr>
                <w:noProof/>
                <w:webHidden/>
              </w:rPr>
              <w:fldChar w:fldCharType="separate"/>
            </w:r>
            <w:r w:rsidR="00CA46B2">
              <w:rPr>
                <w:noProof/>
                <w:webHidden/>
              </w:rPr>
              <w:t>9</w:t>
            </w:r>
            <w:r w:rsidR="00CA46B2">
              <w:rPr>
                <w:noProof/>
                <w:webHidden/>
              </w:rPr>
              <w:fldChar w:fldCharType="end"/>
            </w:r>
          </w:hyperlink>
        </w:p>
        <w:p w14:paraId="44C09473" w14:textId="605A8A93" w:rsidR="00CA46B2" w:rsidRDefault="00097454">
          <w:pPr>
            <w:pStyle w:val="TOC1"/>
            <w:rPr>
              <w:rFonts w:asciiTheme="minorHAnsi" w:eastAsiaTheme="minorEastAsia" w:hAnsiTheme="minorHAnsi" w:cstheme="minorBidi"/>
              <w:b w:val="0"/>
              <w:noProof/>
              <w:szCs w:val="22"/>
              <w:lang w:eastAsia="bg-BG"/>
            </w:rPr>
          </w:pPr>
          <w:hyperlink w:anchor="_Toc206148617" w:history="1">
            <w:r w:rsidR="00CA46B2" w:rsidRPr="00582F9F">
              <w:rPr>
                <w:rStyle w:val="Hyperlink"/>
                <w:bCs/>
                <w:noProof/>
              </w:rPr>
              <w:t>3. ПРЕГЛЕД НА НАСТЪПИЛИТЕ ПРЕЗ ОТЧЕТНИЯ ПЕРИОД ПРОМЕНИ В ОРГАНИЗАЦИОННАТА СТРУКТУРА</w:t>
            </w:r>
            <w:r w:rsidR="00CA46B2">
              <w:rPr>
                <w:noProof/>
                <w:webHidden/>
              </w:rPr>
              <w:tab/>
            </w:r>
            <w:r w:rsidR="00CA46B2">
              <w:rPr>
                <w:noProof/>
                <w:webHidden/>
              </w:rPr>
              <w:fldChar w:fldCharType="begin"/>
            </w:r>
            <w:r w:rsidR="00CA46B2">
              <w:rPr>
                <w:noProof/>
                <w:webHidden/>
              </w:rPr>
              <w:instrText xml:space="preserve"> PAGEREF _Toc206148617 \h </w:instrText>
            </w:r>
            <w:r w:rsidR="00CA46B2">
              <w:rPr>
                <w:noProof/>
                <w:webHidden/>
              </w:rPr>
            </w:r>
            <w:r w:rsidR="00CA46B2">
              <w:rPr>
                <w:noProof/>
                <w:webHidden/>
              </w:rPr>
              <w:fldChar w:fldCharType="separate"/>
            </w:r>
            <w:r w:rsidR="00CA46B2">
              <w:rPr>
                <w:noProof/>
                <w:webHidden/>
              </w:rPr>
              <w:t>10</w:t>
            </w:r>
            <w:r w:rsidR="00CA46B2">
              <w:rPr>
                <w:noProof/>
                <w:webHidden/>
              </w:rPr>
              <w:fldChar w:fldCharType="end"/>
            </w:r>
          </w:hyperlink>
        </w:p>
        <w:p w14:paraId="2B0BCC6E" w14:textId="69CA507F" w:rsidR="00CA46B2" w:rsidRDefault="00097454">
          <w:pPr>
            <w:pStyle w:val="TOC1"/>
            <w:rPr>
              <w:rFonts w:asciiTheme="minorHAnsi" w:eastAsiaTheme="minorEastAsia" w:hAnsiTheme="minorHAnsi" w:cstheme="minorBidi"/>
              <w:b w:val="0"/>
              <w:noProof/>
              <w:szCs w:val="22"/>
              <w:lang w:eastAsia="bg-BG"/>
            </w:rPr>
          </w:pPr>
          <w:hyperlink w:anchor="_Toc206148618" w:history="1">
            <w:r w:rsidR="00CA46B2" w:rsidRPr="00582F9F">
              <w:rPr>
                <w:rStyle w:val="Hyperlink"/>
                <w:bCs/>
                <w:noProof/>
              </w:rPr>
              <w:t>4. ПРЕГЛЕД НА ФУНКЦИОНАЛНА ОБЛАСТ „РЕГУЛАЦИЯ И НАДЗОР НА НЕБАНКОВИЯ ФИНАНСОВ СЕКТОР“</w:t>
            </w:r>
            <w:r w:rsidR="00CA46B2">
              <w:rPr>
                <w:noProof/>
                <w:webHidden/>
              </w:rPr>
              <w:tab/>
            </w:r>
            <w:r w:rsidR="00CA46B2">
              <w:rPr>
                <w:noProof/>
                <w:webHidden/>
              </w:rPr>
              <w:fldChar w:fldCharType="begin"/>
            </w:r>
            <w:r w:rsidR="00CA46B2">
              <w:rPr>
                <w:noProof/>
                <w:webHidden/>
              </w:rPr>
              <w:instrText xml:space="preserve"> PAGEREF _Toc206148618 \h </w:instrText>
            </w:r>
            <w:r w:rsidR="00CA46B2">
              <w:rPr>
                <w:noProof/>
                <w:webHidden/>
              </w:rPr>
            </w:r>
            <w:r w:rsidR="00CA46B2">
              <w:rPr>
                <w:noProof/>
                <w:webHidden/>
              </w:rPr>
              <w:fldChar w:fldCharType="separate"/>
            </w:r>
            <w:r w:rsidR="00CA46B2">
              <w:rPr>
                <w:noProof/>
                <w:webHidden/>
              </w:rPr>
              <w:t>11</w:t>
            </w:r>
            <w:r w:rsidR="00CA46B2">
              <w:rPr>
                <w:noProof/>
                <w:webHidden/>
              </w:rPr>
              <w:fldChar w:fldCharType="end"/>
            </w:r>
          </w:hyperlink>
        </w:p>
        <w:p w14:paraId="7EAE6AD4" w14:textId="00F25A9C" w:rsidR="00CA46B2" w:rsidRDefault="00097454">
          <w:pPr>
            <w:pStyle w:val="TOC2"/>
            <w:rPr>
              <w:rFonts w:asciiTheme="minorHAnsi" w:eastAsiaTheme="minorEastAsia" w:hAnsiTheme="minorHAnsi" w:cstheme="minorBidi"/>
              <w:noProof/>
              <w:szCs w:val="22"/>
              <w:lang w:eastAsia="bg-BG"/>
            </w:rPr>
          </w:pPr>
          <w:hyperlink w:anchor="_Toc206148619" w:history="1">
            <w:r w:rsidR="00CA46B2" w:rsidRPr="00582F9F">
              <w:rPr>
                <w:rStyle w:val="Hyperlink"/>
                <w:noProof/>
              </w:rPr>
              <w:t>а) Описание на степента на изпълнение на заложените стратегически и оперативни цели, допринасящи за нейното постигане.</w:t>
            </w:r>
            <w:r w:rsidR="00CA46B2">
              <w:rPr>
                <w:noProof/>
                <w:webHidden/>
              </w:rPr>
              <w:tab/>
            </w:r>
            <w:r w:rsidR="00CA46B2">
              <w:rPr>
                <w:noProof/>
                <w:webHidden/>
              </w:rPr>
              <w:fldChar w:fldCharType="begin"/>
            </w:r>
            <w:r w:rsidR="00CA46B2">
              <w:rPr>
                <w:noProof/>
                <w:webHidden/>
              </w:rPr>
              <w:instrText xml:space="preserve"> PAGEREF _Toc206148619 \h </w:instrText>
            </w:r>
            <w:r w:rsidR="00CA46B2">
              <w:rPr>
                <w:noProof/>
                <w:webHidden/>
              </w:rPr>
            </w:r>
            <w:r w:rsidR="00CA46B2">
              <w:rPr>
                <w:noProof/>
                <w:webHidden/>
              </w:rPr>
              <w:fldChar w:fldCharType="separate"/>
            </w:r>
            <w:r w:rsidR="00CA46B2">
              <w:rPr>
                <w:noProof/>
                <w:webHidden/>
              </w:rPr>
              <w:t>11</w:t>
            </w:r>
            <w:r w:rsidR="00CA46B2">
              <w:rPr>
                <w:noProof/>
                <w:webHidden/>
              </w:rPr>
              <w:fldChar w:fldCharType="end"/>
            </w:r>
          </w:hyperlink>
        </w:p>
        <w:p w14:paraId="0445432D" w14:textId="78C951B1" w:rsidR="00CA46B2" w:rsidRDefault="00097454">
          <w:pPr>
            <w:pStyle w:val="TOC3"/>
            <w:tabs>
              <w:tab w:val="right" w:pos="9394"/>
            </w:tabs>
            <w:rPr>
              <w:rFonts w:asciiTheme="minorHAnsi" w:eastAsiaTheme="minorEastAsia" w:hAnsiTheme="minorHAnsi" w:cstheme="minorBidi"/>
              <w:noProof/>
              <w:sz w:val="22"/>
              <w:szCs w:val="22"/>
            </w:rPr>
          </w:pPr>
          <w:hyperlink w:anchor="_Toc206148620" w:history="1">
            <w:r w:rsidR="00CA46B2" w:rsidRPr="00582F9F">
              <w:rPr>
                <w:rStyle w:val="Hyperlink"/>
                <w:b/>
                <w:noProof/>
              </w:rPr>
              <w:t>Приоритет 4: Създаване на условия за преход към устойчиво финансиране</w:t>
            </w:r>
            <w:r w:rsidR="00CA46B2">
              <w:rPr>
                <w:noProof/>
                <w:webHidden/>
              </w:rPr>
              <w:tab/>
            </w:r>
            <w:r w:rsidR="00CA46B2">
              <w:rPr>
                <w:noProof/>
                <w:webHidden/>
              </w:rPr>
              <w:fldChar w:fldCharType="begin"/>
            </w:r>
            <w:r w:rsidR="00CA46B2">
              <w:rPr>
                <w:noProof/>
                <w:webHidden/>
              </w:rPr>
              <w:instrText xml:space="preserve"> PAGEREF _Toc206148620 \h </w:instrText>
            </w:r>
            <w:r w:rsidR="00CA46B2">
              <w:rPr>
                <w:noProof/>
                <w:webHidden/>
              </w:rPr>
            </w:r>
            <w:r w:rsidR="00CA46B2">
              <w:rPr>
                <w:noProof/>
                <w:webHidden/>
              </w:rPr>
              <w:fldChar w:fldCharType="separate"/>
            </w:r>
            <w:r w:rsidR="00CA46B2">
              <w:rPr>
                <w:noProof/>
                <w:webHidden/>
              </w:rPr>
              <w:t>16</w:t>
            </w:r>
            <w:r w:rsidR="00CA46B2">
              <w:rPr>
                <w:noProof/>
                <w:webHidden/>
              </w:rPr>
              <w:fldChar w:fldCharType="end"/>
            </w:r>
          </w:hyperlink>
        </w:p>
        <w:p w14:paraId="702EC812" w14:textId="087222AC" w:rsidR="00CA46B2" w:rsidRDefault="00097454">
          <w:pPr>
            <w:pStyle w:val="TOC2"/>
            <w:rPr>
              <w:rFonts w:asciiTheme="minorHAnsi" w:eastAsiaTheme="minorEastAsia" w:hAnsiTheme="minorHAnsi" w:cstheme="minorBidi"/>
              <w:noProof/>
              <w:szCs w:val="22"/>
              <w:lang w:eastAsia="bg-BG"/>
            </w:rPr>
          </w:pPr>
          <w:hyperlink w:anchor="_Toc206148621" w:history="1">
            <w:r w:rsidR="00CA46B2" w:rsidRPr="00582F9F">
              <w:rPr>
                <w:rStyle w:val="Hyperlink"/>
                <w:noProof/>
              </w:rPr>
              <w:t>б) Отговорност за изпълнение на целите в съответната функционална област</w:t>
            </w:r>
            <w:r w:rsidR="00CA46B2">
              <w:rPr>
                <w:noProof/>
                <w:webHidden/>
              </w:rPr>
              <w:tab/>
            </w:r>
            <w:r w:rsidR="00CA46B2">
              <w:rPr>
                <w:noProof/>
                <w:webHidden/>
              </w:rPr>
              <w:fldChar w:fldCharType="begin"/>
            </w:r>
            <w:r w:rsidR="00CA46B2">
              <w:rPr>
                <w:noProof/>
                <w:webHidden/>
              </w:rPr>
              <w:instrText xml:space="preserve"> PAGEREF _Toc206148621 \h </w:instrText>
            </w:r>
            <w:r w:rsidR="00CA46B2">
              <w:rPr>
                <w:noProof/>
                <w:webHidden/>
              </w:rPr>
            </w:r>
            <w:r w:rsidR="00CA46B2">
              <w:rPr>
                <w:noProof/>
                <w:webHidden/>
              </w:rPr>
              <w:fldChar w:fldCharType="separate"/>
            </w:r>
            <w:r w:rsidR="00CA46B2">
              <w:rPr>
                <w:noProof/>
                <w:webHidden/>
              </w:rPr>
              <w:t>29</w:t>
            </w:r>
            <w:r w:rsidR="00CA46B2">
              <w:rPr>
                <w:noProof/>
                <w:webHidden/>
              </w:rPr>
              <w:fldChar w:fldCharType="end"/>
            </w:r>
          </w:hyperlink>
        </w:p>
        <w:p w14:paraId="4DBE599E" w14:textId="32CF4020" w:rsidR="00CA46B2" w:rsidRDefault="00097454">
          <w:pPr>
            <w:pStyle w:val="TOC2"/>
            <w:rPr>
              <w:rFonts w:asciiTheme="minorHAnsi" w:eastAsiaTheme="minorEastAsia" w:hAnsiTheme="minorHAnsi" w:cstheme="minorBidi"/>
              <w:noProof/>
              <w:szCs w:val="22"/>
              <w:lang w:eastAsia="bg-BG"/>
            </w:rPr>
          </w:pPr>
          <w:hyperlink w:anchor="_Toc206148622" w:history="1">
            <w:r w:rsidR="00CA46B2" w:rsidRPr="00582F9F">
              <w:rPr>
                <w:rStyle w:val="Hyperlink"/>
                <w:noProof/>
              </w:rPr>
              <w:t>в</w:t>
            </w:r>
            <w:r w:rsidR="00CA46B2" w:rsidRPr="00582F9F">
              <w:rPr>
                <w:rStyle w:val="Hyperlink"/>
                <w:noProof/>
                <w:lang w:val="ru-RU"/>
              </w:rPr>
              <w:t xml:space="preserve">) </w:t>
            </w:r>
            <w:r w:rsidR="00CA46B2" w:rsidRPr="00582F9F">
              <w:rPr>
                <w:rStyle w:val="Hyperlink"/>
                <w:noProof/>
              </w:rPr>
              <w:t>Преглед на настъпили промени на нормативната уредба през отчетния период</w:t>
            </w:r>
            <w:r w:rsidR="00CA46B2">
              <w:rPr>
                <w:noProof/>
                <w:webHidden/>
              </w:rPr>
              <w:tab/>
            </w:r>
            <w:r w:rsidR="00CA46B2">
              <w:rPr>
                <w:noProof/>
                <w:webHidden/>
              </w:rPr>
              <w:fldChar w:fldCharType="begin"/>
            </w:r>
            <w:r w:rsidR="00CA46B2">
              <w:rPr>
                <w:noProof/>
                <w:webHidden/>
              </w:rPr>
              <w:instrText xml:space="preserve"> PAGEREF _Toc206148622 \h </w:instrText>
            </w:r>
            <w:r w:rsidR="00CA46B2">
              <w:rPr>
                <w:noProof/>
                <w:webHidden/>
              </w:rPr>
            </w:r>
            <w:r w:rsidR="00CA46B2">
              <w:rPr>
                <w:noProof/>
                <w:webHidden/>
              </w:rPr>
              <w:fldChar w:fldCharType="separate"/>
            </w:r>
            <w:r w:rsidR="00CA46B2">
              <w:rPr>
                <w:noProof/>
                <w:webHidden/>
              </w:rPr>
              <w:t>29</w:t>
            </w:r>
            <w:r w:rsidR="00CA46B2">
              <w:rPr>
                <w:noProof/>
                <w:webHidden/>
              </w:rPr>
              <w:fldChar w:fldCharType="end"/>
            </w:r>
          </w:hyperlink>
        </w:p>
        <w:p w14:paraId="1A80DEA3" w14:textId="45C7CFCD" w:rsidR="00CA46B2" w:rsidRDefault="00097454">
          <w:pPr>
            <w:pStyle w:val="TOC1"/>
            <w:rPr>
              <w:rFonts w:asciiTheme="minorHAnsi" w:eastAsiaTheme="minorEastAsia" w:hAnsiTheme="minorHAnsi" w:cstheme="minorBidi"/>
              <w:b w:val="0"/>
              <w:noProof/>
              <w:szCs w:val="22"/>
              <w:lang w:eastAsia="bg-BG"/>
            </w:rPr>
          </w:pPr>
          <w:hyperlink w:anchor="_Toc206148623" w:history="1">
            <w:r w:rsidR="00CA46B2" w:rsidRPr="00582F9F">
              <w:rPr>
                <w:rStyle w:val="Hyperlink"/>
                <w:bCs/>
                <w:noProof/>
              </w:rPr>
              <w:t>5. ПРЕГЛЕД НА ИЗПЪЛНЕНИЕТО НА БЮДЖЕТНА ПРОГРАМА „ПОДОБРЯВАНЕ НА РЕГУЛАЦИЯТА И НАДЗОРА НА НЕБАНКОВИЯ ФИНАНСОВ СЕКТОР“</w:t>
            </w:r>
            <w:r w:rsidR="00CA46B2">
              <w:rPr>
                <w:noProof/>
                <w:webHidden/>
              </w:rPr>
              <w:tab/>
            </w:r>
            <w:r w:rsidR="00CA46B2">
              <w:rPr>
                <w:noProof/>
                <w:webHidden/>
              </w:rPr>
              <w:fldChar w:fldCharType="begin"/>
            </w:r>
            <w:r w:rsidR="00CA46B2">
              <w:rPr>
                <w:noProof/>
                <w:webHidden/>
              </w:rPr>
              <w:instrText xml:space="preserve"> PAGEREF _Toc206148623 \h </w:instrText>
            </w:r>
            <w:r w:rsidR="00CA46B2">
              <w:rPr>
                <w:noProof/>
                <w:webHidden/>
              </w:rPr>
            </w:r>
            <w:r w:rsidR="00CA46B2">
              <w:rPr>
                <w:noProof/>
                <w:webHidden/>
              </w:rPr>
              <w:fldChar w:fldCharType="separate"/>
            </w:r>
            <w:r w:rsidR="00CA46B2">
              <w:rPr>
                <w:noProof/>
                <w:webHidden/>
              </w:rPr>
              <w:t>36</w:t>
            </w:r>
            <w:r w:rsidR="00CA46B2">
              <w:rPr>
                <w:noProof/>
                <w:webHidden/>
              </w:rPr>
              <w:fldChar w:fldCharType="end"/>
            </w:r>
          </w:hyperlink>
        </w:p>
        <w:p w14:paraId="5CE9DDB1" w14:textId="5846032F" w:rsidR="00CA46B2" w:rsidRDefault="00097454">
          <w:pPr>
            <w:pStyle w:val="TOC2"/>
            <w:rPr>
              <w:rFonts w:asciiTheme="minorHAnsi" w:eastAsiaTheme="minorEastAsia" w:hAnsiTheme="minorHAnsi" w:cstheme="minorBidi"/>
              <w:noProof/>
              <w:szCs w:val="22"/>
              <w:lang w:eastAsia="bg-BG"/>
            </w:rPr>
          </w:pPr>
          <w:hyperlink w:anchor="_Toc206148624" w:history="1">
            <w:r w:rsidR="00CA46B2" w:rsidRPr="00582F9F">
              <w:rPr>
                <w:rStyle w:val="Hyperlink"/>
                <w:noProof/>
              </w:rPr>
              <w:t>а) Описание на степента на изпълнение на заложените в програмата цели</w:t>
            </w:r>
            <w:r w:rsidR="00CA46B2">
              <w:rPr>
                <w:noProof/>
                <w:webHidden/>
              </w:rPr>
              <w:tab/>
            </w:r>
            <w:r w:rsidR="00CA46B2">
              <w:rPr>
                <w:noProof/>
                <w:webHidden/>
              </w:rPr>
              <w:fldChar w:fldCharType="begin"/>
            </w:r>
            <w:r w:rsidR="00CA46B2">
              <w:rPr>
                <w:noProof/>
                <w:webHidden/>
              </w:rPr>
              <w:instrText xml:space="preserve"> PAGEREF _Toc206148624 \h </w:instrText>
            </w:r>
            <w:r w:rsidR="00CA46B2">
              <w:rPr>
                <w:noProof/>
                <w:webHidden/>
              </w:rPr>
            </w:r>
            <w:r w:rsidR="00CA46B2">
              <w:rPr>
                <w:noProof/>
                <w:webHidden/>
              </w:rPr>
              <w:fldChar w:fldCharType="separate"/>
            </w:r>
            <w:r w:rsidR="00CA46B2">
              <w:rPr>
                <w:noProof/>
                <w:webHidden/>
              </w:rPr>
              <w:t>38</w:t>
            </w:r>
            <w:r w:rsidR="00CA46B2">
              <w:rPr>
                <w:noProof/>
                <w:webHidden/>
              </w:rPr>
              <w:fldChar w:fldCharType="end"/>
            </w:r>
          </w:hyperlink>
        </w:p>
        <w:p w14:paraId="12EABE46" w14:textId="3A99A05D" w:rsidR="00CA46B2" w:rsidRDefault="00097454">
          <w:pPr>
            <w:pStyle w:val="TOC2"/>
            <w:rPr>
              <w:rFonts w:asciiTheme="minorHAnsi" w:eastAsiaTheme="minorEastAsia" w:hAnsiTheme="minorHAnsi" w:cstheme="minorBidi"/>
              <w:noProof/>
              <w:szCs w:val="22"/>
              <w:lang w:eastAsia="bg-BG"/>
            </w:rPr>
          </w:pPr>
          <w:hyperlink w:anchor="_Toc206148625" w:history="1">
            <w:r w:rsidR="00CA46B2" w:rsidRPr="00582F9F">
              <w:rPr>
                <w:rStyle w:val="Hyperlink"/>
                <w:noProof/>
              </w:rPr>
              <w:t>б) Продукти/услуги, предоставени по програмата – описание на постигнатите резултати и изпълнените дейности за тяхното постигане</w:t>
            </w:r>
            <w:r w:rsidR="00CA46B2">
              <w:rPr>
                <w:noProof/>
                <w:webHidden/>
              </w:rPr>
              <w:tab/>
            </w:r>
            <w:r w:rsidR="00CA46B2">
              <w:rPr>
                <w:noProof/>
                <w:webHidden/>
              </w:rPr>
              <w:fldChar w:fldCharType="begin"/>
            </w:r>
            <w:r w:rsidR="00CA46B2">
              <w:rPr>
                <w:noProof/>
                <w:webHidden/>
              </w:rPr>
              <w:instrText xml:space="preserve"> PAGEREF _Toc206148625 \h </w:instrText>
            </w:r>
            <w:r w:rsidR="00CA46B2">
              <w:rPr>
                <w:noProof/>
                <w:webHidden/>
              </w:rPr>
            </w:r>
            <w:r w:rsidR="00CA46B2">
              <w:rPr>
                <w:noProof/>
                <w:webHidden/>
              </w:rPr>
              <w:fldChar w:fldCharType="separate"/>
            </w:r>
            <w:r w:rsidR="00CA46B2">
              <w:rPr>
                <w:noProof/>
                <w:webHidden/>
              </w:rPr>
              <w:t>38</w:t>
            </w:r>
            <w:r w:rsidR="00CA46B2">
              <w:rPr>
                <w:noProof/>
                <w:webHidden/>
              </w:rPr>
              <w:fldChar w:fldCharType="end"/>
            </w:r>
          </w:hyperlink>
        </w:p>
        <w:p w14:paraId="52923747" w14:textId="3693347E" w:rsidR="00CA46B2" w:rsidRDefault="00097454">
          <w:pPr>
            <w:pStyle w:val="TOC2"/>
            <w:rPr>
              <w:rFonts w:asciiTheme="minorHAnsi" w:eastAsiaTheme="minorEastAsia" w:hAnsiTheme="minorHAnsi" w:cstheme="minorBidi"/>
              <w:noProof/>
              <w:szCs w:val="22"/>
              <w:lang w:eastAsia="bg-BG"/>
            </w:rPr>
          </w:pPr>
          <w:hyperlink w:anchor="_Toc206148626" w:history="1">
            <w:r w:rsidR="00CA46B2" w:rsidRPr="00582F9F">
              <w:rPr>
                <w:rStyle w:val="Hyperlink"/>
                <w:noProof/>
              </w:rPr>
              <w:t>в) Отчет за показателите на изпълнение на програмата (количествени, качествени, времеви)</w:t>
            </w:r>
            <w:r w:rsidR="00CA46B2">
              <w:rPr>
                <w:noProof/>
                <w:webHidden/>
              </w:rPr>
              <w:tab/>
            </w:r>
            <w:r w:rsidR="00CA46B2">
              <w:rPr>
                <w:noProof/>
                <w:webHidden/>
              </w:rPr>
              <w:fldChar w:fldCharType="begin"/>
            </w:r>
            <w:r w:rsidR="00CA46B2">
              <w:rPr>
                <w:noProof/>
                <w:webHidden/>
              </w:rPr>
              <w:instrText xml:space="preserve"> PAGEREF _Toc206148626 \h </w:instrText>
            </w:r>
            <w:r w:rsidR="00CA46B2">
              <w:rPr>
                <w:noProof/>
                <w:webHidden/>
              </w:rPr>
            </w:r>
            <w:r w:rsidR="00CA46B2">
              <w:rPr>
                <w:noProof/>
                <w:webHidden/>
              </w:rPr>
              <w:fldChar w:fldCharType="separate"/>
            </w:r>
            <w:r w:rsidR="00CA46B2">
              <w:rPr>
                <w:noProof/>
                <w:webHidden/>
              </w:rPr>
              <w:t>40</w:t>
            </w:r>
            <w:r w:rsidR="00CA46B2">
              <w:rPr>
                <w:noProof/>
                <w:webHidden/>
              </w:rPr>
              <w:fldChar w:fldCharType="end"/>
            </w:r>
          </w:hyperlink>
        </w:p>
        <w:p w14:paraId="4E5F934E" w14:textId="3007017E" w:rsidR="00CA46B2" w:rsidRDefault="00097454">
          <w:pPr>
            <w:pStyle w:val="TOC2"/>
            <w:rPr>
              <w:rFonts w:asciiTheme="minorHAnsi" w:eastAsiaTheme="minorEastAsia" w:hAnsiTheme="minorHAnsi" w:cstheme="minorBidi"/>
              <w:noProof/>
              <w:szCs w:val="22"/>
              <w:lang w:eastAsia="bg-BG"/>
            </w:rPr>
          </w:pPr>
          <w:hyperlink w:anchor="_Toc206148627" w:history="1">
            <w:r w:rsidR="00CA46B2" w:rsidRPr="00582F9F">
              <w:rPr>
                <w:rStyle w:val="Hyperlink"/>
                <w:noProof/>
              </w:rPr>
              <w:t>г) Описание на факторите и причините, оказали въздействие върху непостигането на планираните/заявените целеви стойности</w:t>
            </w:r>
            <w:r w:rsidR="00CA46B2">
              <w:rPr>
                <w:noProof/>
                <w:webHidden/>
              </w:rPr>
              <w:tab/>
            </w:r>
            <w:r w:rsidR="00CA46B2">
              <w:rPr>
                <w:noProof/>
                <w:webHidden/>
              </w:rPr>
              <w:fldChar w:fldCharType="begin"/>
            </w:r>
            <w:r w:rsidR="00CA46B2">
              <w:rPr>
                <w:noProof/>
                <w:webHidden/>
              </w:rPr>
              <w:instrText xml:space="preserve"> PAGEREF _Toc206148627 \h </w:instrText>
            </w:r>
            <w:r w:rsidR="00CA46B2">
              <w:rPr>
                <w:noProof/>
                <w:webHidden/>
              </w:rPr>
            </w:r>
            <w:r w:rsidR="00CA46B2">
              <w:rPr>
                <w:noProof/>
                <w:webHidden/>
              </w:rPr>
              <w:fldChar w:fldCharType="separate"/>
            </w:r>
            <w:r w:rsidR="00CA46B2">
              <w:rPr>
                <w:noProof/>
                <w:webHidden/>
              </w:rPr>
              <w:t>76</w:t>
            </w:r>
            <w:r w:rsidR="00CA46B2">
              <w:rPr>
                <w:noProof/>
                <w:webHidden/>
              </w:rPr>
              <w:fldChar w:fldCharType="end"/>
            </w:r>
          </w:hyperlink>
        </w:p>
        <w:p w14:paraId="43A3027C" w14:textId="35CBA593" w:rsidR="00CA46B2" w:rsidRDefault="00097454">
          <w:pPr>
            <w:pStyle w:val="TOC2"/>
            <w:rPr>
              <w:rFonts w:asciiTheme="minorHAnsi" w:eastAsiaTheme="minorEastAsia" w:hAnsiTheme="minorHAnsi" w:cstheme="minorBidi"/>
              <w:noProof/>
              <w:szCs w:val="22"/>
              <w:lang w:eastAsia="bg-BG"/>
            </w:rPr>
          </w:pPr>
          <w:hyperlink w:anchor="_Toc206148628" w:history="1">
            <w:r w:rsidR="00CA46B2" w:rsidRPr="00582F9F">
              <w:rPr>
                <w:rStyle w:val="Hyperlink"/>
                <w:noProof/>
              </w:rPr>
              <w:t>За периода, при изпълнението на поставените цели не са идентифицирани фактори и причини, влияещи върху неизпълнението им.</w:t>
            </w:r>
            <w:r w:rsidR="00CA46B2">
              <w:rPr>
                <w:noProof/>
                <w:webHidden/>
              </w:rPr>
              <w:tab/>
            </w:r>
            <w:r w:rsidR="00CA46B2">
              <w:rPr>
                <w:noProof/>
                <w:webHidden/>
              </w:rPr>
              <w:fldChar w:fldCharType="begin"/>
            </w:r>
            <w:r w:rsidR="00CA46B2">
              <w:rPr>
                <w:noProof/>
                <w:webHidden/>
              </w:rPr>
              <w:instrText xml:space="preserve"> PAGEREF _Toc206148628 \h </w:instrText>
            </w:r>
            <w:r w:rsidR="00CA46B2">
              <w:rPr>
                <w:noProof/>
                <w:webHidden/>
              </w:rPr>
            </w:r>
            <w:r w:rsidR="00CA46B2">
              <w:rPr>
                <w:noProof/>
                <w:webHidden/>
              </w:rPr>
              <w:fldChar w:fldCharType="separate"/>
            </w:r>
            <w:r w:rsidR="00CA46B2">
              <w:rPr>
                <w:noProof/>
                <w:webHidden/>
              </w:rPr>
              <w:t>76</w:t>
            </w:r>
            <w:r w:rsidR="00CA46B2">
              <w:rPr>
                <w:noProof/>
                <w:webHidden/>
              </w:rPr>
              <w:fldChar w:fldCharType="end"/>
            </w:r>
          </w:hyperlink>
        </w:p>
        <w:p w14:paraId="5FA31F25" w14:textId="4DAB5E4C" w:rsidR="00CA46B2" w:rsidRDefault="00097454">
          <w:pPr>
            <w:pStyle w:val="TOC2"/>
            <w:rPr>
              <w:rFonts w:asciiTheme="minorHAnsi" w:eastAsiaTheme="minorEastAsia" w:hAnsiTheme="minorHAnsi" w:cstheme="minorBidi"/>
              <w:noProof/>
              <w:szCs w:val="22"/>
              <w:lang w:eastAsia="bg-BG"/>
            </w:rPr>
          </w:pPr>
          <w:hyperlink w:anchor="_Toc206148629" w:history="1">
            <w:r w:rsidR="00CA46B2" w:rsidRPr="00582F9F">
              <w:rPr>
                <w:rStyle w:val="Hyperlink"/>
                <w:noProof/>
              </w:rPr>
              <w:t>д) Отчет на разходите по бюджетна програма „Подобряване на регулацията и надзора на небанковия финансов сектор“</w:t>
            </w:r>
            <w:r w:rsidR="00CA46B2">
              <w:rPr>
                <w:noProof/>
                <w:webHidden/>
              </w:rPr>
              <w:tab/>
            </w:r>
            <w:r w:rsidR="00CA46B2">
              <w:rPr>
                <w:noProof/>
                <w:webHidden/>
              </w:rPr>
              <w:fldChar w:fldCharType="begin"/>
            </w:r>
            <w:r w:rsidR="00CA46B2">
              <w:rPr>
                <w:noProof/>
                <w:webHidden/>
              </w:rPr>
              <w:instrText xml:space="preserve"> PAGEREF _Toc206148629 \h </w:instrText>
            </w:r>
            <w:r w:rsidR="00CA46B2">
              <w:rPr>
                <w:noProof/>
                <w:webHidden/>
              </w:rPr>
            </w:r>
            <w:r w:rsidR="00CA46B2">
              <w:rPr>
                <w:noProof/>
                <w:webHidden/>
              </w:rPr>
              <w:fldChar w:fldCharType="separate"/>
            </w:r>
            <w:r w:rsidR="00CA46B2">
              <w:rPr>
                <w:noProof/>
                <w:webHidden/>
              </w:rPr>
              <w:t>76</w:t>
            </w:r>
            <w:r w:rsidR="00CA46B2">
              <w:rPr>
                <w:noProof/>
                <w:webHidden/>
              </w:rPr>
              <w:fldChar w:fldCharType="end"/>
            </w:r>
          </w:hyperlink>
        </w:p>
        <w:p w14:paraId="0FEEAEF4" w14:textId="74A862A0" w:rsidR="00CA46B2" w:rsidRDefault="00097454">
          <w:pPr>
            <w:pStyle w:val="TOC2"/>
            <w:rPr>
              <w:rFonts w:asciiTheme="minorHAnsi" w:eastAsiaTheme="minorEastAsia" w:hAnsiTheme="minorHAnsi" w:cstheme="minorBidi"/>
              <w:noProof/>
              <w:szCs w:val="22"/>
              <w:lang w:eastAsia="bg-BG"/>
            </w:rPr>
          </w:pPr>
          <w:hyperlink w:anchor="_Toc206148630" w:history="1">
            <w:r w:rsidR="00CA46B2" w:rsidRPr="00582F9F">
              <w:rPr>
                <w:rStyle w:val="Hyperlink"/>
                <w:noProof/>
              </w:rPr>
              <w:t>е) Отговорност за изпълнение на програмата</w:t>
            </w:r>
            <w:r w:rsidR="00CA46B2">
              <w:rPr>
                <w:noProof/>
                <w:webHidden/>
              </w:rPr>
              <w:tab/>
            </w:r>
            <w:r w:rsidR="00CA46B2">
              <w:rPr>
                <w:noProof/>
                <w:webHidden/>
              </w:rPr>
              <w:fldChar w:fldCharType="begin"/>
            </w:r>
            <w:r w:rsidR="00CA46B2">
              <w:rPr>
                <w:noProof/>
                <w:webHidden/>
              </w:rPr>
              <w:instrText xml:space="preserve"> PAGEREF _Toc206148630 \h </w:instrText>
            </w:r>
            <w:r w:rsidR="00CA46B2">
              <w:rPr>
                <w:noProof/>
                <w:webHidden/>
              </w:rPr>
            </w:r>
            <w:r w:rsidR="00CA46B2">
              <w:rPr>
                <w:noProof/>
                <w:webHidden/>
              </w:rPr>
              <w:fldChar w:fldCharType="separate"/>
            </w:r>
            <w:r w:rsidR="00CA46B2">
              <w:rPr>
                <w:noProof/>
                <w:webHidden/>
              </w:rPr>
              <w:t>77</w:t>
            </w:r>
            <w:r w:rsidR="00CA46B2">
              <w:rPr>
                <w:noProof/>
                <w:webHidden/>
              </w:rPr>
              <w:fldChar w:fldCharType="end"/>
            </w:r>
          </w:hyperlink>
        </w:p>
        <w:p w14:paraId="55A1E7A5" w14:textId="1BB7C596" w:rsidR="0026128B" w:rsidRDefault="0026128B" w:rsidP="005C18F8">
          <w:pPr>
            <w:tabs>
              <w:tab w:val="right" w:pos="8789"/>
              <w:tab w:val="right" w:pos="9214"/>
            </w:tabs>
            <w:ind w:right="48"/>
          </w:pPr>
          <w:r>
            <w:rPr>
              <w:b/>
              <w:bCs/>
              <w:noProof/>
            </w:rPr>
            <w:fldChar w:fldCharType="end"/>
          </w:r>
        </w:p>
      </w:sdtContent>
    </w:sdt>
    <w:p w14:paraId="3F408DD7" w14:textId="77777777" w:rsidR="00AA0F05" w:rsidRDefault="00AA0F05" w:rsidP="00CF2157">
      <w:pPr>
        <w:tabs>
          <w:tab w:val="left" w:pos="0"/>
        </w:tabs>
        <w:jc w:val="both"/>
        <w:rPr>
          <w:bCs/>
          <w:color w:val="000000"/>
          <w:sz w:val="18"/>
          <w:szCs w:val="18"/>
        </w:rPr>
      </w:pPr>
    </w:p>
    <w:p w14:paraId="2A8E5656" w14:textId="77777777" w:rsidR="0026128B" w:rsidRPr="00F00C05" w:rsidRDefault="0026128B">
      <w:pPr>
        <w:spacing w:after="160" w:line="259" w:lineRule="auto"/>
        <w:rPr>
          <w:bCs/>
          <w:color w:val="000000"/>
          <w:sz w:val="18"/>
          <w:szCs w:val="18"/>
          <w:lang w:val="en-US"/>
        </w:rPr>
      </w:pPr>
      <w:r>
        <w:rPr>
          <w:bCs/>
          <w:color w:val="000000"/>
          <w:sz w:val="18"/>
          <w:szCs w:val="18"/>
        </w:rPr>
        <w:br w:type="page"/>
      </w:r>
    </w:p>
    <w:p w14:paraId="3192E3EE" w14:textId="77777777" w:rsidR="00E36D94" w:rsidRDefault="00E36D94" w:rsidP="00CF2157">
      <w:pPr>
        <w:tabs>
          <w:tab w:val="left" w:pos="0"/>
        </w:tabs>
        <w:jc w:val="both"/>
        <w:rPr>
          <w:bCs/>
          <w:color w:val="000000"/>
          <w:sz w:val="18"/>
          <w:szCs w:val="18"/>
        </w:rPr>
      </w:pPr>
    </w:p>
    <w:p w14:paraId="6B3EEE43" w14:textId="77777777" w:rsidR="006048BC" w:rsidRPr="00A14CA7" w:rsidRDefault="006048BC" w:rsidP="00F00C05">
      <w:pPr>
        <w:rPr>
          <w:rStyle w:val="Strong"/>
          <w:bCs w:val="0"/>
          <w:sz w:val="28"/>
          <w:szCs w:val="28"/>
        </w:rPr>
      </w:pPr>
      <w:bookmarkStart w:id="0" w:name="_Toc269317924"/>
      <w:bookmarkStart w:id="1" w:name="_Toc269318038"/>
      <w:r w:rsidRPr="00A14CA7">
        <w:rPr>
          <w:rStyle w:val="Strong"/>
          <w:sz w:val="28"/>
          <w:szCs w:val="28"/>
        </w:rPr>
        <w:t>Въведение</w:t>
      </w:r>
      <w:bookmarkEnd w:id="0"/>
      <w:bookmarkEnd w:id="1"/>
    </w:p>
    <w:p w14:paraId="68476125" w14:textId="77777777" w:rsidR="00113DEE" w:rsidRPr="00C441FC" w:rsidRDefault="00113DEE" w:rsidP="00F00C05">
      <w:pPr>
        <w:rPr>
          <w:rStyle w:val="Strong"/>
          <w:sz w:val="28"/>
          <w:szCs w:val="28"/>
        </w:rPr>
      </w:pPr>
    </w:p>
    <w:p w14:paraId="0275EBB5" w14:textId="2E38449C" w:rsidR="000638FA" w:rsidRPr="0032635C" w:rsidRDefault="000638FA" w:rsidP="000638FA">
      <w:pPr>
        <w:spacing w:line="276" w:lineRule="auto"/>
        <w:ind w:firstLine="708"/>
        <w:jc w:val="both"/>
      </w:pPr>
      <w:r w:rsidRPr="0032635C">
        <w:t>Комисията за финансов надзор е независим регулаторен орган, който упражнява правомощия и изпълнява функции и задачи, уредени в Закона за Комисията за финансов надзор. Основни приоритети на Комисията са поддържането на стабилност и прозрачност на небанковия финансов сектор в България, подобряване начина му на функциониране и поведението на участниците в него, в услуга на потребителите, бизнеса, икономиката и обществото като цяло.</w:t>
      </w:r>
    </w:p>
    <w:p w14:paraId="00E01EFA" w14:textId="77777777" w:rsidR="000638FA" w:rsidRPr="0032635C" w:rsidRDefault="000638FA" w:rsidP="000638FA">
      <w:pPr>
        <w:spacing w:line="276" w:lineRule="auto"/>
        <w:ind w:firstLine="708"/>
        <w:jc w:val="both"/>
        <w:rPr>
          <w:b/>
          <w:szCs w:val="32"/>
        </w:rPr>
      </w:pPr>
      <w:r w:rsidRPr="0032635C">
        <w:rPr>
          <w:szCs w:val="32"/>
        </w:rPr>
        <w:t>Съгласно т. 35 на Приложение № 1 към чл. 1 от Постановление на Министерски съвет (ПМС) № 28 от 16 април 2025 г. за изпълнението на държавния бюджет на Република България за 2025 г., програмният формат на бюджет на КФН за 20</w:t>
      </w:r>
      <w:r w:rsidRPr="0032635C">
        <w:rPr>
          <w:szCs w:val="32"/>
          <w:lang w:val="ru-RU"/>
        </w:rPr>
        <w:t>25</w:t>
      </w:r>
      <w:r w:rsidRPr="0032635C">
        <w:rPr>
          <w:szCs w:val="32"/>
        </w:rPr>
        <w:t xml:space="preserve"> г. е структуриран във </w:t>
      </w:r>
      <w:r w:rsidRPr="0032635C">
        <w:rPr>
          <w:b/>
          <w:szCs w:val="32"/>
        </w:rPr>
        <w:t>функционална област „Регулация и надзор на небанковия финансов сектор“ и бюджетна програма „Подобряване на регулацията и надзора на небанковия финансов сектор“.</w:t>
      </w:r>
    </w:p>
    <w:p w14:paraId="31111459" w14:textId="77777777" w:rsidR="000638FA" w:rsidRPr="000638FA" w:rsidRDefault="000638FA" w:rsidP="000638FA">
      <w:pPr>
        <w:spacing w:line="276" w:lineRule="auto"/>
        <w:ind w:firstLine="709"/>
        <w:jc w:val="both"/>
        <w:rPr>
          <w:snapToGrid w:val="0"/>
        </w:rPr>
      </w:pPr>
      <w:r w:rsidRPr="0032635C">
        <w:rPr>
          <w:szCs w:val="32"/>
        </w:rPr>
        <w:t>Структурата на отчета е съобразена с примерната структура, съгласно Указанията на министъра на финансите (БЮ № 2 от 09.07.2025 г.) за формата,</w:t>
      </w:r>
      <w:r w:rsidRPr="0032635C">
        <w:rPr>
          <w:szCs w:val="32"/>
          <w:lang w:val="ru-RU"/>
        </w:rPr>
        <w:t xml:space="preserve"> </w:t>
      </w:r>
      <w:r w:rsidRPr="0032635C">
        <w:rPr>
          <w:szCs w:val="32"/>
        </w:rPr>
        <w:t>съдържанието и сроковете за съставянето и представянето на подробен отчет към полугодието и за годината за изпълнението на програмните бюджети за 2025 г. от първостепенните разпоредители с бюджет, които прилагат програмен формат на бюджет. Отчетът съдържа информация за първото полугодие на 2025 г. за степента на изпълнение на заложените цели във функционална област „Регулация и надзор на небанковия финансов сектор“,</w:t>
      </w:r>
      <w:r w:rsidRPr="0032635C">
        <w:rPr>
          <w:snapToGrid w:val="0"/>
        </w:rPr>
        <w:t xml:space="preserve"> както и за изпълнението на бюджетната програма</w:t>
      </w:r>
      <w:r w:rsidRPr="0032635C">
        <w:rPr>
          <w:szCs w:val="32"/>
        </w:rPr>
        <w:t xml:space="preserve"> „Подобряване на регулацията и надзора на небанковия финансов сектор“</w:t>
      </w:r>
      <w:r w:rsidRPr="0032635C">
        <w:rPr>
          <w:snapToGrid w:val="0"/>
        </w:rPr>
        <w:t xml:space="preserve">, в т.ч. за предоставяните продукти/услуги, измерени чрез показателите за изпълнение. Включена е информация за </w:t>
      </w:r>
      <w:r w:rsidRPr="0032635C">
        <w:rPr>
          <w:szCs w:val="32"/>
        </w:rPr>
        <w:t xml:space="preserve">разходите, извършени по програмата и за приходите, отчетени по бюджета на Комисията. Отчетът на разходите по програми съответства на тримесечната информация за разходите по бюджетни програми към 30.06.2025 г., представена на основание чл. </w:t>
      </w:r>
      <w:r w:rsidRPr="0032635C">
        <w:rPr>
          <w:szCs w:val="32"/>
          <w:lang w:val="ru-RU"/>
        </w:rPr>
        <w:t>45</w:t>
      </w:r>
      <w:r w:rsidRPr="0032635C">
        <w:rPr>
          <w:szCs w:val="32"/>
        </w:rPr>
        <w:t xml:space="preserve">, ал. 1 от </w:t>
      </w:r>
      <w:r w:rsidRPr="0032635C">
        <w:rPr>
          <w:snapToGrid w:val="0"/>
        </w:rPr>
        <w:t xml:space="preserve">ПМС № 28 от 16 април 2025 г. и съгласно Указанията на министъра на финансите (БЮ № 1 от 09.04.2025 г.) за </w:t>
      </w:r>
      <w:hyperlink r:id="rId9" w:history="1">
        <w:r w:rsidRPr="0032635C">
          <w:rPr>
            <w:snapToGrid w:val="0"/>
          </w:rPr>
          <w:t>определяне на формата, съдържанието и сроковете за съставянето и представянето на тримесечна информация за разходите по бюджетни програми за 2025 г. от първостепенните разпоредители с бюджет, които прилагат програмен формат на бюджет</w:t>
        </w:r>
      </w:hyperlink>
      <w:r w:rsidRPr="0032635C">
        <w:rPr>
          <w:snapToGrid w:val="0"/>
        </w:rPr>
        <w:t>.</w:t>
      </w:r>
    </w:p>
    <w:p w14:paraId="140E87E4" w14:textId="77777777" w:rsidR="001A61F9" w:rsidRDefault="001A61F9" w:rsidP="008E2743">
      <w:pPr>
        <w:spacing w:line="276" w:lineRule="auto"/>
      </w:pPr>
    </w:p>
    <w:p w14:paraId="0C80051B" w14:textId="77777777" w:rsidR="001A61F9" w:rsidRDefault="001A61F9" w:rsidP="008E2743">
      <w:pPr>
        <w:spacing w:line="276" w:lineRule="auto"/>
      </w:pPr>
    </w:p>
    <w:p w14:paraId="26509708" w14:textId="77777777" w:rsidR="001A61F9" w:rsidRDefault="001A61F9" w:rsidP="008E2743">
      <w:pPr>
        <w:spacing w:line="276" w:lineRule="auto"/>
      </w:pPr>
    </w:p>
    <w:p w14:paraId="7CBEC68C" w14:textId="77777777" w:rsidR="001A61F9" w:rsidRDefault="001A61F9" w:rsidP="008E2743">
      <w:pPr>
        <w:spacing w:line="276" w:lineRule="auto"/>
      </w:pPr>
    </w:p>
    <w:p w14:paraId="3DD3F55A" w14:textId="77777777" w:rsidR="001A61F9" w:rsidRDefault="001A61F9" w:rsidP="008E2743">
      <w:pPr>
        <w:spacing w:line="276" w:lineRule="auto"/>
      </w:pPr>
    </w:p>
    <w:p w14:paraId="0778475B" w14:textId="77777777" w:rsidR="001A61F9" w:rsidRPr="00F15489" w:rsidRDefault="001A61F9" w:rsidP="008E2743">
      <w:pPr>
        <w:spacing w:line="276" w:lineRule="auto"/>
      </w:pPr>
    </w:p>
    <w:p w14:paraId="2C561061" w14:textId="77777777" w:rsidR="001A61F9" w:rsidRPr="000E41A7" w:rsidRDefault="001A61F9" w:rsidP="008E2743">
      <w:pPr>
        <w:keepNext/>
        <w:keepLines/>
        <w:spacing w:before="240" w:line="276" w:lineRule="auto"/>
        <w:jc w:val="both"/>
        <w:outlineLvl w:val="0"/>
        <w:rPr>
          <w:rFonts w:eastAsiaTheme="majorEastAsia"/>
          <w:b/>
          <w:bCs/>
          <w:szCs w:val="32"/>
        </w:rPr>
      </w:pPr>
      <w:bookmarkStart w:id="2" w:name="_Toc206148612"/>
      <w:bookmarkStart w:id="3" w:name="_Toc48917626"/>
      <w:r w:rsidRPr="000E41A7">
        <w:rPr>
          <w:rFonts w:eastAsiaTheme="majorEastAsia" w:cstheme="majorBidi"/>
          <w:b/>
          <w:bCs/>
          <w:color w:val="2E74B5" w:themeColor="accent1" w:themeShade="BF"/>
          <w:sz w:val="32"/>
          <w:szCs w:val="32"/>
        </w:rPr>
        <w:lastRenderedPageBreak/>
        <w:t>1. ОТЧЕТ НА ОСНОВНИТЕ ПАРАМЕТРИ НА БЮДЖЕТА</w:t>
      </w:r>
      <w:bookmarkEnd w:id="2"/>
    </w:p>
    <w:p w14:paraId="7CBF140E" w14:textId="77777777" w:rsidR="001A61F9" w:rsidRPr="000E41A7" w:rsidRDefault="001A61F9" w:rsidP="008E2743">
      <w:pPr>
        <w:keepNext/>
        <w:keepLines/>
        <w:spacing w:before="200" w:line="276" w:lineRule="auto"/>
        <w:outlineLvl w:val="1"/>
        <w:rPr>
          <w:rFonts w:eastAsiaTheme="majorEastAsia"/>
          <w:color w:val="000000"/>
          <w:szCs w:val="26"/>
        </w:rPr>
      </w:pPr>
      <w:bookmarkStart w:id="4" w:name="_Toc78466423"/>
      <w:bookmarkStart w:id="5" w:name="_Toc206148613"/>
      <w:r w:rsidRPr="000E41A7">
        <w:rPr>
          <w:rFonts w:eastAsiaTheme="majorEastAsia" w:cstheme="majorBidi"/>
          <w:b/>
          <w:bCs/>
          <w:color w:val="5B9BD5" w:themeColor="accent1"/>
          <w:sz w:val="26"/>
          <w:szCs w:val="26"/>
        </w:rPr>
        <w:t>а) Отчет на приходите по бюджета на КФН</w:t>
      </w:r>
      <w:bookmarkEnd w:id="4"/>
      <w:bookmarkEnd w:id="5"/>
    </w:p>
    <w:p w14:paraId="6C57FCA0" w14:textId="77777777" w:rsidR="004A7916" w:rsidRPr="0032635C" w:rsidRDefault="004A7916" w:rsidP="004A7916">
      <w:pPr>
        <w:spacing w:line="276" w:lineRule="auto"/>
        <w:ind w:firstLine="708"/>
        <w:jc w:val="both"/>
        <w:rPr>
          <w:szCs w:val="32"/>
        </w:rPr>
      </w:pPr>
      <w:r w:rsidRPr="0032635C">
        <w:rPr>
          <w:szCs w:val="32"/>
        </w:rPr>
        <w:t xml:space="preserve">Приходната част на бюджета на </w:t>
      </w:r>
      <w:r w:rsidRPr="0032635C">
        <w:t>Комисията</w:t>
      </w:r>
      <w:r w:rsidRPr="0032635C">
        <w:rPr>
          <w:szCs w:val="32"/>
        </w:rPr>
        <w:t xml:space="preserve"> се формира основно от неданъчни приходи от такси, съгласно чл. 27, ал. 1 от Закона за Комисията за финансов надзор (ЗКФН), глоби и имуществени санкции и наказателни лихви. Постъпленията от наложени глоби и имуществени санкции постъпват по бюджета на </w:t>
      </w:r>
      <w:r w:rsidRPr="0032635C">
        <w:t>Комисията</w:t>
      </w:r>
      <w:r w:rsidRPr="0032635C">
        <w:rPr>
          <w:szCs w:val="32"/>
        </w:rPr>
        <w:t xml:space="preserve">, но съгласно чл. 28, ал. 4 от ЗКФН се отчитат като вноска в Централния бюджет. </w:t>
      </w:r>
    </w:p>
    <w:p w14:paraId="06837459" w14:textId="77777777" w:rsidR="004A7916" w:rsidRPr="0032635C" w:rsidRDefault="004A7916" w:rsidP="004A7916">
      <w:pPr>
        <w:spacing w:line="276" w:lineRule="auto"/>
        <w:ind w:firstLine="720"/>
        <w:jc w:val="both"/>
      </w:pPr>
      <w:r w:rsidRPr="0032635C">
        <w:t>Към 30.06.2025 г. отчетените приходи по бюджета на Комисията са в размер на 17 726 525 лв. Изпълнението спрямо годишния план е 68,44 %. Приходите са разпределени, както следва:</w:t>
      </w:r>
    </w:p>
    <w:p w14:paraId="7C13354C" w14:textId="77777777" w:rsidR="004A7916" w:rsidRPr="0032635C" w:rsidRDefault="004A7916" w:rsidP="004A7916">
      <w:pPr>
        <w:numPr>
          <w:ilvl w:val="0"/>
          <w:numId w:val="1"/>
        </w:numPr>
        <w:spacing w:before="120" w:after="240" w:line="276" w:lineRule="auto"/>
        <w:contextualSpacing/>
        <w:jc w:val="both"/>
      </w:pPr>
      <w:r w:rsidRPr="0032635C">
        <w:t xml:space="preserve">„Държавни такси” – в размер на 16 891 109 лв. от постъпили такси </w:t>
      </w:r>
      <w:r w:rsidRPr="0032635C">
        <w:rPr>
          <w:szCs w:val="20"/>
        </w:rPr>
        <w:t>съгласно Тарифа, определена в приложение към ЗКФН</w:t>
      </w:r>
      <w:r w:rsidRPr="0032635C">
        <w:t>, (отменена от 01.07.2025 г.), като  в посочената сума са отразени и приходи от такси на основание постъпили разпореждания за събрани суми от Национална агенция за приходите (НАП) – 8 734 лв. Най-голям относителен дял (97,66 %) в отчетените такси има годишната такса за осъществяване на общ финансов надзор – 16 495 319 лв. Получените такси за издаване на лицензи и разрешения за извършване на дейност и други разрешения и одобрения, общо са в размер на 395 790 лв.;</w:t>
      </w:r>
    </w:p>
    <w:p w14:paraId="07F0A2F1" w14:textId="4CBF4B4A" w:rsidR="004A7916" w:rsidRPr="0032635C" w:rsidRDefault="004A7916" w:rsidP="004A7916">
      <w:pPr>
        <w:numPr>
          <w:ilvl w:val="0"/>
          <w:numId w:val="8"/>
        </w:numPr>
        <w:spacing w:after="160" w:line="276" w:lineRule="auto"/>
        <w:contextualSpacing/>
        <w:jc w:val="both"/>
      </w:pPr>
      <w:r w:rsidRPr="0032635C">
        <w:t>„Глоби, санкции и наказателни лихви</w:t>
      </w:r>
      <w:r w:rsidRPr="0032635C">
        <w:rPr>
          <w:lang w:val="ru-RU"/>
        </w:rPr>
        <w:t>”</w:t>
      </w:r>
      <w:r w:rsidRPr="0032635C">
        <w:rPr>
          <w:b/>
        </w:rPr>
        <w:t>–</w:t>
      </w:r>
      <w:r w:rsidRPr="0032635C">
        <w:t xml:space="preserve"> в размер на 874 242 лв., от</w:t>
      </w:r>
      <w:r w:rsidRPr="0032635C">
        <w:rPr>
          <w:lang w:val="en-US"/>
        </w:rPr>
        <w:t xml:space="preserve"> </w:t>
      </w:r>
      <w:r w:rsidRPr="0032635C">
        <w:t>постъпили приходи</w:t>
      </w:r>
      <w:r w:rsidRPr="0032635C">
        <w:rPr>
          <w:b/>
        </w:rPr>
        <w:t xml:space="preserve"> </w:t>
      </w:r>
      <w:r w:rsidRPr="0032635C">
        <w:t>от глоби и имуществени санкции по влезли в сила наказателни постановления и постановления по чл. 287 от АПК, лихви за просрочие на неплатените в законоустановения срок годишни такси за общ финансов надзор и НП, неустойка по договор. В об</w:t>
      </w:r>
      <w:r w:rsidR="00F20EC8">
        <w:t>щ</w:t>
      </w:r>
      <w:r w:rsidRPr="0032635C">
        <w:t>ия размер на тези приходи са отразени и събрани суми от НАП  - 39 938 лв. на основание постъпили справки и разпореждания;</w:t>
      </w:r>
    </w:p>
    <w:p w14:paraId="35A7B49E" w14:textId="77777777" w:rsidR="004A7916" w:rsidRPr="0032635C" w:rsidRDefault="004A7916" w:rsidP="004A7916">
      <w:pPr>
        <w:numPr>
          <w:ilvl w:val="0"/>
          <w:numId w:val="8"/>
        </w:numPr>
        <w:tabs>
          <w:tab w:val="left" w:pos="5529"/>
        </w:tabs>
        <w:spacing w:after="160" w:line="276" w:lineRule="auto"/>
        <w:contextualSpacing/>
        <w:jc w:val="both"/>
      </w:pPr>
      <w:r w:rsidRPr="0032635C">
        <w:t>„Други неданъчни приходи” в размер на „минус“ 38 826 лв., които представляват: възстановени юрисконсултски възнаграждения, отразени със знак „плюс“ 9 893 лв.; събраните от НАП публични вземания на Комисията със знак „минус“ 48 672 лв. и отрицателна курсова разлика със знак „минус“ 47 лв.</w:t>
      </w:r>
    </w:p>
    <w:p w14:paraId="21D48541" w14:textId="77777777" w:rsidR="001A61F9" w:rsidRPr="0032635C" w:rsidRDefault="001A61F9" w:rsidP="008E2743">
      <w:pPr>
        <w:spacing w:after="120" w:line="276" w:lineRule="auto"/>
        <w:ind w:left="360"/>
        <w:contextualSpacing/>
        <w:jc w:val="both"/>
        <w:rPr>
          <w:b/>
          <w:sz w:val="12"/>
          <w:szCs w:val="12"/>
        </w:rPr>
      </w:pPr>
    </w:p>
    <w:p w14:paraId="3B8DBDA3" w14:textId="77777777" w:rsidR="004A7916" w:rsidRPr="0032635C" w:rsidRDefault="004A7916" w:rsidP="004A7916">
      <w:pPr>
        <w:spacing w:after="120" w:line="276" w:lineRule="auto"/>
        <w:ind w:left="360"/>
        <w:contextualSpacing/>
        <w:jc w:val="both"/>
        <w:rPr>
          <w:b/>
        </w:rPr>
      </w:pPr>
      <w:bookmarkStart w:id="6" w:name="_Toc48917624"/>
      <w:bookmarkStart w:id="7" w:name="_Toc78466425"/>
    </w:p>
    <w:p w14:paraId="23640E42" w14:textId="77777777" w:rsidR="004A7916" w:rsidRPr="0032635C" w:rsidRDefault="004A7916" w:rsidP="004A7916">
      <w:pPr>
        <w:spacing w:after="120" w:line="276" w:lineRule="auto"/>
        <w:ind w:left="360"/>
        <w:contextualSpacing/>
        <w:jc w:val="both"/>
        <w:rPr>
          <w:b/>
        </w:rPr>
      </w:pPr>
    </w:p>
    <w:p w14:paraId="350AAD8A" w14:textId="77777777" w:rsidR="004A7916" w:rsidRPr="0032635C" w:rsidRDefault="004A7916" w:rsidP="004A7916">
      <w:pPr>
        <w:spacing w:after="120" w:line="276" w:lineRule="auto"/>
        <w:ind w:left="360"/>
        <w:contextualSpacing/>
        <w:jc w:val="both"/>
        <w:rPr>
          <w:b/>
        </w:rPr>
      </w:pPr>
    </w:p>
    <w:p w14:paraId="189C1E61" w14:textId="77777777" w:rsidR="004A7916" w:rsidRPr="0032635C" w:rsidRDefault="004A7916" w:rsidP="004A7916">
      <w:pPr>
        <w:spacing w:after="120" w:line="276" w:lineRule="auto"/>
        <w:ind w:left="360"/>
        <w:contextualSpacing/>
        <w:jc w:val="both"/>
        <w:rPr>
          <w:b/>
        </w:rPr>
      </w:pPr>
    </w:p>
    <w:p w14:paraId="008D6D24" w14:textId="77777777" w:rsidR="004A7916" w:rsidRPr="0032635C" w:rsidRDefault="004A7916" w:rsidP="004A7916">
      <w:pPr>
        <w:spacing w:after="120" w:line="276" w:lineRule="auto"/>
        <w:ind w:left="360"/>
        <w:contextualSpacing/>
        <w:jc w:val="both"/>
        <w:rPr>
          <w:b/>
        </w:rPr>
      </w:pPr>
    </w:p>
    <w:p w14:paraId="2E8EEE3A" w14:textId="77777777" w:rsidR="004A7916" w:rsidRPr="0032635C" w:rsidRDefault="004A7916" w:rsidP="004A7916">
      <w:pPr>
        <w:spacing w:after="120" w:line="276" w:lineRule="auto"/>
        <w:ind w:left="360"/>
        <w:contextualSpacing/>
        <w:jc w:val="both"/>
        <w:rPr>
          <w:b/>
        </w:rPr>
      </w:pPr>
    </w:p>
    <w:p w14:paraId="04B39DF5" w14:textId="77777777" w:rsidR="004A7916" w:rsidRPr="0032635C" w:rsidRDefault="004A7916" w:rsidP="004A7916">
      <w:pPr>
        <w:spacing w:after="120" w:line="276" w:lineRule="auto"/>
        <w:ind w:left="360"/>
        <w:contextualSpacing/>
        <w:jc w:val="both"/>
        <w:rPr>
          <w:b/>
        </w:rPr>
      </w:pPr>
    </w:p>
    <w:p w14:paraId="744B0B8C" w14:textId="77777777" w:rsidR="004A7916" w:rsidRPr="0032635C" w:rsidRDefault="004A7916" w:rsidP="004A7916">
      <w:pPr>
        <w:spacing w:after="120" w:line="276" w:lineRule="auto"/>
        <w:ind w:left="360"/>
        <w:contextualSpacing/>
        <w:jc w:val="both"/>
        <w:rPr>
          <w:b/>
        </w:rPr>
      </w:pPr>
    </w:p>
    <w:p w14:paraId="4368E5BE" w14:textId="77777777" w:rsidR="004A7916" w:rsidRPr="0032635C" w:rsidRDefault="004A7916" w:rsidP="004A7916">
      <w:pPr>
        <w:spacing w:after="120" w:line="276" w:lineRule="auto"/>
        <w:ind w:left="360"/>
        <w:contextualSpacing/>
        <w:jc w:val="both"/>
        <w:rPr>
          <w:b/>
        </w:rPr>
      </w:pPr>
    </w:p>
    <w:p w14:paraId="321A3D82" w14:textId="77777777" w:rsidR="004A7916" w:rsidRPr="0032635C" w:rsidRDefault="004A7916" w:rsidP="004A7916">
      <w:pPr>
        <w:spacing w:after="120" w:line="276" w:lineRule="auto"/>
        <w:ind w:left="360"/>
        <w:contextualSpacing/>
        <w:jc w:val="both"/>
        <w:rPr>
          <w:b/>
        </w:rPr>
      </w:pPr>
    </w:p>
    <w:p w14:paraId="135B0F54" w14:textId="77777777" w:rsidR="004A7916" w:rsidRPr="0032635C" w:rsidRDefault="004A7916" w:rsidP="004A7916">
      <w:pPr>
        <w:spacing w:after="120" w:line="276" w:lineRule="auto"/>
        <w:ind w:left="360"/>
        <w:contextualSpacing/>
        <w:jc w:val="both"/>
        <w:rPr>
          <w:b/>
        </w:rPr>
      </w:pPr>
    </w:p>
    <w:p w14:paraId="35A6045C" w14:textId="74C70D6D" w:rsidR="004A7916" w:rsidRPr="0032635C" w:rsidRDefault="004A7916" w:rsidP="004A7916">
      <w:pPr>
        <w:spacing w:after="120" w:line="276" w:lineRule="auto"/>
        <w:ind w:left="360"/>
        <w:contextualSpacing/>
        <w:jc w:val="both"/>
        <w:rPr>
          <w:b/>
        </w:rPr>
      </w:pPr>
      <w:r w:rsidRPr="0032635C">
        <w:rPr>
          <w:b/>
        </w:rPr>
        <w:lastRenderedPageBreak/>
        <w:t>Приложение № 1 – Отчет на приходите по бюджета на КФН към 30.06.2025 г.</w:t>
      </w:r>
    </w:p>
    <w:tbl>
      <w:tblPr>
        <w:tblW w:w="9351" w:type="dxa"/>
        <w:tblLook w:val="04A0" w:firstRow="1" w:lastRow="0" w:firstColumn="1" w:lastColumn="0" w:noHBand="0" w:noVBand="1"/>
      </w:tblPr>
      <w:tblGrid>
        <w:gridCol w:w="4673"/>
        <w:gridCol w:w="1559"/>
        <w:gridCol w:w="1560"/>
        <w:gridCol w:w="1559"/>
      </w:tblGrid>
      <w:tr w:rsidR="004A7916" w:rsidRPr="0032635C" w14:paraId="3A4B0D0C" w14:textId="77777777" w:rsidTr="00010E75">
        <w:trPr>
          <w:trHeight w:val="630"/>
        </w:trPr>
        <w:tc>
          <w:tcPr>
            <w:tcW w:w="4673" w:type="dxa"/>
            <w:tcBorders>
              <w:top w:val="single" w:sz="4" w:space="0" w:color="auto"/>
              <w:left w:val="single" w:sz="4" w:space="0" w:color="auto"/>
              <w:bottom w:val="single" w:sz="4" w:space="0" w:color="auto"/>
              <w:right w:val="single" w:sz="4" w:space="0" w:color="auto"/>
            </w:tcBorders>
            <w:shd w:val="clear" w:color="D9D9D9" w:fill="E6E6E6"/>
            <w:vAlign w:val="center"/>
            <w:hideMark/>
          </w:tcPr>
          <w:p w14:paraId="3D022054" w14:textId="77777777" w:rsidR="004A7916" w:rsidRPr="0032635C" w:rsidRDefault="004A7916" w:rsidP="004A7916">
            <w:pPr>
              <w:spacing w:line="276" w:lineRule="auto"/>
              <w:jc w:val="center"/>
              <w:rPr>
                <w:b/>
                <w:bCs/>
              </w:rPr>
            </w:pPr>
            <w:r w:rsidRPr="0032635C">
              <w:rPr>
                <w:b/>
                <w:bCs/>
              </w:rPr>
              <w:t>ПРИХОДИ</w:t>
            </w:r>
            <w:r w:rsidRPr="0032635C">
              <w:rPr>
                <w:b/>
                <w:bCs/>
              </w:rPr>
              <w:br/>
              <w:t>(в лева)</w:t>
            </w:r>
          </w:p>
        </w:tc>
        <w:tc>
          <w:tcPr>
            <w:tcW w:w="1559" w:type="dxa"/>
            <w:tcBorders>
              <w:top w:val="single" w:sz="4" w:space="0" w:color="auto"/>
              <w:left w:val="nil"/>
              <w:bottom w:val="single" w:sz="4" w:space="0" w:color="auto"/>
              <w:right w:val="single" w:sz="4" w:space="0" w:color="auto"/>
            </w:tcBorders>
            <w:shd w:val="clear" w:color="D9D9D9" w:fill="E6E6E6"/>
            <w:noWrap/>
            <w:vAlign w:val="center"/>
            <w:hideMark/>
          </w:tcPr>
          <w:p w14:paraId="159F075E" w14:textId="77777777" w:rsidR="004A7916" w:rsidRPr="0032635C" w:rsidRDefault="004A7916" w:rsidP="004A7916">
            <w:pPr>
              <w:spacing w:line="276" w:lineRule="auto"/>
              <w:jc w:val="center"/>
              <w:rPr>
                <w:b/>
                <w:bCs/>
              </w:rPr>
            </w:pPr>
            <w:r w:rsidRPr="0032635C">
              <w:rPr>
                <w:b/>
                <w:bCs/>
              </w:rPr>
              <w:t>Закон</w:t>
            </w:r>
          </w:p>
        </w:tc>
        <w:tc>
          <w:tcPr>
            <w:tcW w:w="1560" w:type="dxa"/>
            <w:tcBorders>
              <w:top w:val="single" w:sz="4" w:space="0" w:color="auto"/>
              <w:left w:val="nil"/>
              <w:bottom w:val="single" w:sz="4" w:space="0" w:color="auto"/>
              <w:right w:val="single" w:sz="4" w:space="0" w:color="auto"/>
            </w:tcBorders>
            <w:shd w:val="clear" w:color="D9D9D9" w:fill="E6E6E6"/>
            <w:vAlign w:val="center"/>
            <w:hideMark/>
          </w:tcPr>
          <w:p w14:paraId="10EA5441" w14:textId="77777777" w:rsidR="004A7916" w:rsidRPr="0032635C" w:rsidRDefault="004A7916" w:rsidP="004A7916">
            <w:pPr>
              <w:spacing w:line="276" w:lineRule="auto"/>
              <w:jc w:val="center"/>
              <w:rPr>
                <w:b/>
                <w:bCs/>
              </w:rPr>
            </w:pPr>
            <w:r w:rsidRPr="0032635C">
              <w:rPr>
                <w:b/>
                <w:bCs/>
              </w:rPr>
              <w:t>Уточнен план</w:t>
            </w:r>
          </w:p>
        </w:tc>
        <w:tc>
          <w:tcPr>
            <w:tcW w:w="1559" w:type="dxa"/>
            <w:tcBorders>
              <w:top w:val="single" w:sz="4" w:space="0" w:color="auto"/>
              <w:left w:val="nil"/>
              <w:bottom w:val="single" w:sz="4" w:space="0" w:color="auto"/>
              <w:right w:val="single" w:sz="4" w:space="0" w:color="auto"/>
            </w:tcBorders>
            <w:shd w:val="clear" w:color="D9D9D9" w:fill="E6E6E6"/>
            <w:noWrap/>
            <w:vAlign w:val="center"/>
            <w:hideMark/>
          </w:tcPr>
          <w:p w14:paraId="08AEF072" w14:textId="77777777" w:rsidR="004A7916" w:rsidRPr="0032635C" w:rsidRDefault="004A7916" w:rsidP="004A7916">
            <w:pPr>
              <w:spacing w:line="276" w:lineRule="auto"/>
              <w:jc w:val="center"/>
              <w:rPr>
                <w:b/>
                <w:bCs/>
              </w:rPr>
            </w:pPr>
            <w:r w:rsidRPr="0032635C">
              <w:rPr>
                <w:b/>
                <w:bCs/>
              </w:rPr>
              <w:t>Отчет</w:t>
            </w:r>
          </w:p>
        </w:tc>
      </w:tr>
      <w:tr w:rsidR="004A7916" w:rsidRPr="0032635C" w14:paraId="6287D191" w14:textId="77777777" w:rsidTr="00010E75">
        <w:trPr>
          <w:trHeight w:val="315"/>
        </w:trPr>
        <w:tc>
          <w:tcPr>
            <w:tcW w:w="4673" w:type="dxa"/>
            <w:tcBorders>
              <w:top w:val="nil"/>
              <w:left w:val="single" w:sz="4" w:space="0" w:color="auto"/>
              <w:bottom w:val="single" w:sz="4" w:space="0" w:color="auto"/>
              <w:right w:val="single" w:sz="4" w:space="0" w:color="auto"/>
            </w:tcBorders>
            <w:shd w:val="clear" w:color="D9D9D9" w:fill="E6E6E6"/>
            <w:noWrap/>
            <w:vAlign w:val="bottom"/>
            <w:hideMark/>
          </w:tcPr>
          <w:p w14:paraId="6C4051B5" w14:textId="77777777" w:rsidR="004A7916" w:rsidRPr="0032635C" w:rsidRDefault="004A7916" w:rsidP="004A7916">
            <w:pPr>
              <w:spacing w:line="276" w:lineRule="auto"/>
              <w:rPr>
                <w:b/>
                <w:bCs/>
              </w:rPr>
            </w:pPr>
            <w:r w:rsidRPr="0032635C">
              <w:rPr>
                <w:b/>
                <w:bCs/>
              </w:rPr>
              <w:t>Общо приходи:</w:t>
            </w:r>
          </w:p>
        </w:tc>
        <w:tc>
          <w:tcPr>
            <w:tcW w:w="1559" w:type="dxa"/>
            <w:tcBorders>
              <w:top w:val="nil"/>
              <w:left w:val="nil"/>
              <w:bottom w:val="single" w:sz="4" w:space="0" w:color="auto"/>
              <w:right w:val="single" w:sz="4" w:space="0" w:color="auto"/>
            </w:tcBorders>
            <w:shd w:val="clear" w:color="D9D9D9" w:fill="E6E6E6"/>
            <w:noWrap/>
            <w:vAlign w:val="bottom"/>
            <w:hideMark/>
          </w:tcPr>
          <w:p w14:paraId="7A8B9079" w14:textId="77777777" w:rsidR="004A7916" w:rsidRPr="0032635C" w:rsidRDefault="004A7916" w:rsidP="004A7916">
            <w:pPr>
              <w:spacing w:line="276" w:lineRule="auto"/>
              <w:jc w:val="right"/>
              <w:rPr>
                <w:b/>
                <w:bCs/>
                <w:color w:val="000000"/>
              </w:rPr>
            </w:pPr>
            <w:r w:rsidRPr="0032635C">
              <w:rPr>
                <w:b/>
                <w:bCs/>
                <w:color w:val="000000"/>
              </w:rPr>
              <w:t>25 900 000</w:t>
            </w:r>
          </w:p>
        </w:tc>
        <w:tc>
          <w:tcPr>
            <w:tcW w:w="1560" w:type="dxa"/>
            <w:tcBorders>
              <w:top w:val="nil"/>
              <w:left w:val="nil"/>
              <w:bottom w:val="single" w:sz="4" w:space="0" w:color="auto"/>
              <w:right w:val="single" w:sz="4" w:space="0" w:color="auto"/>
            </w:tcBorders>
            <w:shd w:val="clear" w:color="D9D9D9" w:fill="E6E6E6"/>
            <w:noWrap/>
            <w:vAlign w:val="bottom"/>
            <w:hideMark/>
          </w:tcPr>
          <w:p w14:paraId="57327EBF" w14:textId="77777777" w:rsidR="004A7916" w:rsidRPr="0032635C" w:rsidRDefault="004A7916" w:rsidP="004A7916">
            <w:pPr>
              <w:spacing w:line="276" w:lineRule="auto"/>
              <w:jc w:val="right"/>
              <w:rPr>
                <w:b/>
                <w:bCs/>
                <w:color w:val="000000"/>
              </w:rPr>
            </w:pPr>
            <w:r w:rsidRPr="0032635C">
              <w:rPr>
                <w:b/>
                <w:bCs/>
                <w:color w:val="000000"/>
              </w:rPr>
              <w:t>25 900 000</w:t>
            </w:r>
          </w:p>
        </w:tc>
        <w:tc>
          <w:tcPr>
            <w:tcW w:w="1559" w:type="dxa"/>
            <w:tcBorders>
              <w:top w:val="nil"/>
              <w:left w:val="nil"/>
              <w:bottom w:val="single" w:sz="4" w:space="0" w:color="auto"/>
              <w:right w:val="single" w:sz="4" w:space="0" w:color="auto"/>
            </w:tcBorders>
            <w:shd w:val="clear" w:color="D9D9D9" w:fill="E6E6E6"/>
            <w:noWrap/>
            <w:vAlign w:val="bottom"/>
            <w:hideMark/>
          </w:tcPr>
          <w:p w14:paraId="47354AEA" w14:textId="77777777" w:rsidR="004A7916" w:rsidRPr="0032635C" w:rsidRDefault="004A7916" w:rsidP="004A7916">
            <w:pPr>
              <w:spacing w:line="276" w:lineRule="auto"/>
              <w:jc w:val="right"/>
              <w:rPr>
                <w:b/>
                <w:bCs/>
                <w:color w:val="000000"/>
              </w:rPr>
            </w:pPr>
            <w:r w:rsidRPr="0032635C">
              <w:rPr>
                <w:b/>
                <w:bCs/>
                <w:color w:val="000000"/>
              </w:rPr>
              <w:t>17 726 525</w:t>
            </w:r>
          </w:p>
        </w:tc>
      </w:tr>
      <w:tr w:rsidR="004A7916" w:rsidRPr="0032635C" w14:paraId="752C6D01" w14:textId="77777777" w:rsidTr="00010E75">
        <w:trPr>
          <w:trHeight w:val="31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F7F8A5C" w14:textId="77777777" w:rsidR="004A7916" w:rsidRPr="0032635C" w:rsidRDefault="004A7916" w:rsidP="004A7916">
            <w:pPr>
              <w:spacing w:line="276" w:lineRule="auto"/>
              <w:jc w:val="both"/>
              <w:rPr>
                <w:i/>
                <w:iCs/>
              </w:rPr>
            </w:pPr>
            <w:r w:rsidRPr="0032635C">
              <w:rPr>
                <w:i/>
                <w:iCs/>
              </w:rPr>
              <w:t>Данъчни приходи</w:t>
            </w:r>
          </w:p>
        </w:tc>
        <w:tc>
          <w:tcPr>
            <w:tcW w:w="1559" w:type="dxa"/>
            <w:tcBorders>
              <w:top w:val="nil"/>
              <w:left w:val="nil"/>
              <w:bottom w:val="single" w:sz="4" w:space="0" w:color="auto"/>
              <w:right w:val="single" w:sz="4" w:space="0" w:color="auto"/>
            </w:tcBorders>
            <w:shd w:val="clear" w:color="auto" w:fill="auto"/>
            <w:noWrap/>
            <w:vAlign w:val="bottom"/>
            <w:hideMark/>
          </w:tcPr>
          <w:p w14:paraId="2AEBA75E" w14:textId="77777777" w:rsidR="004A7916" w:rsidRPr="0032635C" w:rsidRDefault="004A7916" w:rsidP="004A7916">
            <w:pPr>
              <w:spacing w:line="276" w:lineRule="auto"/>
              <w:jc w:val="right"/>
            </w:pPr>
            <w:r w:rsidRPr="0032635C">
              <w:t> </w:t>
            </w:r>
          </w:p>
        </w:tc>
        <w:tc>
          <w:tcPr>
            <w:tcW w:w="1560" w:type="dxa"/>
            <w:tcBorders>
              <w:top w:val="nil"/>
              <w:left w:val="nil"/>
              <w:bottom w:val="single" w:sz="4" w:space="0" w:color="auto"/>
              <w:right w:val="single" w:sz="4" w:space="0" w:color="auto"/>
            </w:tcBorders>
            <w:shd w:val="clear" w:color="auto" w:fill="auto"/>
            <w:noWrap/>
            <w:vAlign w:val="bottom"/>
            <w:hideMark/>
          </w:tcPr>
          <w:p w14:paraId="2D80809D" w14:textId="77777777" w:rsidR="004A7916" w:rsidRPr="0032635C" w:rsidRDefault="004A7916" w:rsidP="004A7916">
            <w:pPr>
              <w:spacing w:line="276" w:lineRule="auto"/>
              <w:jc w:val="right"/>
            </w:pPr>
          </w:p>
        </w:tc>
        <w:tc>
          <w:tcPr>
            <w:tcW w:w="1559" w:type="dxa"/>
            <w:tcBorders>
              <w:top w:val="nil"/>
              <w:left w:val="nil"/>
              <w:bottom w:val="single" w:sz="4" w:space="0" w:color="auto"/>
              <w:right w:val="single" w:sz="4" w:space="0" w:color="auto"/>
            </w:tcBorders>
            <w:shd w:val="clear" w:color="auto" w:fill="auto"/>
            <w:noWrap/>
            <w:vAlign w:val="bottom"/>
            <w:hideMark/>
          </w:tcPr>
          <w:p w14:paraId="35D2DB1B" w14:textId="77777777" w:rsidR="004A7916" w:rsidRPr="0032635C" w:rsidRDefault="004A7916" w:rsidP="004A7916">
            <w:pPr>
              <w:spacing w:line="276" w:lineRule="auto"/>
              <w:jc w:val="right"/>
            </w:pPr>
          </w:p>
        </w:tc>
      </w:tr>
      <w:tr w:rsidR="004A7916" w:rsidRPr="0032635C" w14:paraId="1348F20C" w14:textId="77777777" w:rsidTr="00010E75">
        <w:trPr>
          <w:trHeight w:val="31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45EA32B" w14:textId="77777777" w:rsidR="004A7916" w:rsidRPr="0032635C" w:rsidRDefault="004A7916" w:rsidP="004A7916">
            <w:pPr>
              <w:spacing w:line="276" w:lineRule="auto"/>
              <w:jc w:val="both"/>
              <w:rPr>
                <w:b/>
                <w:bCs/>
                <w:i/>
                <w:iCs/>
              </w:rPr>
            </w:pPr>
            <w:r w:rsidRPr="0032635C">
              <w:rPr>
                <w:b/>
                <w:bCs/>
                <w:i/>
                <w:iCs/>
              </w:rPr>
              <w:t>Неданъчни приходи</w:t>
            </w:r>
          </w:p>
        </w:tc>
        <w:tc>
          <w:tcPr>
            <w:tcW w:w="1559" w:type="dxa"/>
            <w:tcBorders>
              <w:top w:val="nil"/>
              <w:left w:val="nil"/>
              <w:bottom w:val="single" w:sz="4" w:space="0" w:color="auto"/>
              <w:right w:val="single" w:sz="4" w:space="0" w:color="auto"/>
            </w:tcBorders>
            <w:shd w:val="clear" w:color="auto" w:fill="auto"/>
            <w:noWrap/>
            <w:vAlign w:val="bottom"/>
            <w:hideMark/>
          </w:tcPr>
          <w:p w14:paraId="7DA6805C" w14:textId="77777777" w:rsidR="004A7916" w:rsidRPr="0032635C" w:rsidRDefault="004A7916" w:rsidP="004A7916">
            <w:pPr>
              <w:spacing w:line="276" w:lineRule="auto"/>
              <w:jc w:val="right"/>
              <w:rPr>
                <w:b/>
                <w:bCs/>
                <w:color w:val="000000"/>
              </w:rPr>
            </w:pPr>
            <w:r w:rsidRPr="0032635C">
              <w:rPr>
                <w:b/>
                <w:bCs/>
                <w:color w:val="000000"/>
              </w:rPr>
              <w:t>25 900 000</w:t>
            </w:r>
          </w:p>
        </w:tc>
        <w:tc>
          <w:tcPr>
            <w:tcW w:w="1560" w:type="dxa"/>
            <w:tcBorders>
              <w:top w:val="nil"/>
              <w:left w:val="nil"/>
              <w:bottom w:val="single" w:sz="4" w:space="0" w:color="auto"/>
              <w:right w:val="single" w:sz="4" w:space="0" w:color="auto"/>
            </w:tcBorders>
            <w:shd w:val="clear" w:color="auto" w:fill="auto"/>
            <w:noWrap/>
            <w:vAlign w:val="bottom"/>
            <w:hideMark/>
          </w:tcPr>
          <w:p w14:paraId="77973E28" w14:textId="77777777" w:rsidR="004A7916" w:rsidRPr="0032635C" w:rsidRDefault="004A7916" w:rsidP="004A7916">
            <w:pPr>
              <w:spacing w:line="276" w:lineRule="auto"/>
              <w:jc w:val="right"/>
              <w:rPr>
                <w:b/>
                <w:bCs/>
                <w:color w:val="000000"/>
              </w:rPr>
            </w:pPr>
            <w:r w:rsidRPr="0032635C">
              <w:rPr>
                <w:b/>
                <w:bCs/>
                <w:color w:val="000000"/>
              </w:rPr>
              <w:t>25 900 000</w:t>
            </w:r>
          </w:p>
        </w:tc>
        <w:tc>
          <w:tcPr>
            <w:tcW w:w="1559" w:type="dxa"/>
            <w:tcBorders>
              <w:top w:val="nil"/>
              <w:left w:val="nil"/>
              <w:bottom w:val="single" w:sz="4" w:space="0" w:color="auto"/>
              <w:right w:val="single" w:sz="4" w:space="0" w:color="auto"/>
            </w:tcBorders>
            <w:shd w:val="clear" w:color="auto" w:fill="auto"/>
            <w:noWrap/>
            <w:vAlign w:val="bottom"/>
            <w:hideMark/>
          </w:tcPr>
          <w:p w14:paraId="003884BD" w14:textId="77777777" w:rsidR="004A7916" w:rsidRPr="0032635C" w:rsidRDefault="004A7916" w:rsidP="004A7916">
            <w:pPr>
              <w:spacing w:line="276" w:lineRule="auto"/>
              <w:jc w:val="right"/>
              <w:rPr>
                <w:b/>
                <w:bCs/>
                <w:color w:val="000000"/>
              </w:rPr>
            </w:pPr>
            <w:r w:rsidRPr="0032635C">
              <w:rPr>
                <w:b/>
                <w:bCs/>
                <w:color w:val="000000"/>
              </w:rPr>
              <w:t>17 726 525</w:t>
            </w:r>
          </w:p>
        </w:tc>
      </w:tr>
      <w:tr w:rsidR="004A7916" w:rsidRPr="0032635C" w14:paraId="1F3DAEDE" w14:textId="77777777" w:rsidTr="00010E75">
        <w:trPr>
          <w:trHeight w:val="31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07A705A" w14:textId="77777777" w:rsidR="004A7916" w:rsidRPr="0032635C" w:rsidRDefault="004A7916" w:rsidP="004A7916">
            <w:pPr>
              <w:spacing w:line="276" w:lineRule="auto"/>
            </w:pPr>
            <w:r w:rsidRPr="0032635C">
              <w:t>Приходи и доходи от собственост</w:t>
            </w:r>
          </w:p>
        </w:tc>
        <w:tc>
          <w:tcPr>
            <w:tcW w:w="1559" w:type="dxa"/>
            <w:tcBorders>
              <w:top w:val="nil"/>
              <w:left w:val="nil"/>
              <w:bottom w:val="single" w:sz="4" w:space="0" w:color="auto"/>
              <w:right w:val="single" w:sz="4" w:space="0" w:color="auto"/>
            </w:tcBorders>
            <w:shd w:val="clear" w:color="auto" w:fill="auto"/>
            <w:noWrap/>
            <w:vAlign w:val="bottom"/>
            <w:hideMark/>
          </w:tcPr>
          <w:p w14:paraId="24352B88" w14:textId="77777777" w:rsidR="004A7916" w:rsidRPr="0032635C" w:rsidRDefault="004A7916" w:rsidP="004A7916">
            <w:pPr>
              <w:spacing w:line="276" w:lineRule="auto"/>
              <w:jc w:val="right"/>
            </w:pPr>
            <w:r w:rsidRPr="0032635C">
              <w:t> </w:t>
            </w:r>
          </w:p>
        </w:tc>
        <w:tc>
          <w:tcPr>
            <w:tcW w:w="1560" w:type="dxa"/>
            <w:tcBorders>
              <w:top w:val="nil"/>
              <w:left w:val="nil"/>
              <w:bottom w:val="single" w:sz="4" w:space="0" w:color="auto"/>
              <w:right w:val="single" w:sz="4" w:space="0" w:color="auto"/>
            </w:tcBorders>
            <w:shd w:val="clear" w:color="auto" w:fill="auto"/>
            <w:noWrap/>
            <w:vAlign w:val="bottom"/>
            <w:hideMark/>
          </w:tcPr>
          <w:p w14:paraId="26D3CF9B" w14:textId="77777777" w:rsidR="004A7916" w:rsidRPr="0032635C" w:rsidRDefault="004A7916" w:rsidP="004A7916">
            <w:pPr>
              <w:spacing w:line="276" w:lineRule="auto"/>
              <w:jc w:val="right"/>
            </w:pPr>
            <w:r w:rsidRPr="0032635C">
              <w:t> </w:t>
            </w:r>
          </w:p>
        </w:tc>
        <w:tc>
          <w:tcPr>
            <w:tcW w:w="1559" w:type="dxa"/>
            <w:tcBorders>
              <w:top w:val="nil"/>
              <w:left w:val="nil"/>
              <w:bottom w:val="single" w:sz="4" w:space="0" w:color="auto"/>
              <w:right w:val="single" w:sz="4" w:space="0" w:color="auto"/>
            </w:tcBorders>
            <w:shd w:val="clear" w:color="auto" w:fill="auto"/>
            <w:noWrap/>
            <w:vAlign w:val="bottom"/>
            <w:hideMark/>
          </w:tcPr>
          <w:p w14:paraId="26D046ED" w14:textId="77777777" w:rsidR="004A7916" w:rsidRPr="0032635C" w:rsidRDefault="004A7916" w:rsidP="004A7916">
            <w:pPr>
              <w:spacing w:line="276" w:lineRule="auto"/>
              <w:jc w:val="right"/>
            </w:pPr>
          </w:p>
        </w:tc>
      </w:tr>
      <w:tr w:rsidR="004A7916" w:rsidRPr="0032635C" w14:paraId="7D789A7D" w14:textId="77777777" w:rsidTr="00010E75">
        <w:trPr>
          <w:trHeight w:val="31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C6A3A0A" w14:textId="77777777" w:rsidR="004A7916" w:rsidRPr="0032635C" w:rsidRDefault="004A7916" w:rsidP="004A7916">
            <w:pPr>
              <w:spacing w:line="276" w:lineRule="auto"/>
            </w:pPr>
            <w:r w:rsidRPr="0032635C">
              <w:t>Държавни такси</w:t>
            </w:r>
          </w:p>
        </w:tc>
        <w:tc>
          <w:tcPr>
            <w:tcW w:w="1559" w:type="dxa"/>
            <w:tcBorders>
              <w:top w:val="nil"/>
              <w:left w:val="nil"/>
              <w:bottom w:val="single" w:sz="4" w:space="0" w:color="auto"/>
              <w:right w:val="single" w:sz="4" w:space="0" w:color="auto"/>
            </w:tcBorders>
            <w:shd w:val="clear" w:color="auto" w:fill="auto"/>
            <w:noWrap/>
            <w:vAlign w:val="bottom"/>
            <w:hideMark/>
          </w:tcPr>
          <w:p w14:paraId="32415EBC" w14:textId="77777777" w:rsidR="004A7916" w:rsidRPr="0032635C" w:rsidRDefault="004A7916" w:rsidP="004A7916">
            <w:pPr>
              <w:spacing w:line="276" w:lineRule="auto"/>
              <w:jc w:val="right"/>
            </w:pPr>
            <w:r w:rsidRPr="0032635C">
              <w:t>22 900 000</w:t>
            </w:r>
          </w:p>
        </w:tc>
        <w:tc>
          <w:tcPr>
            <w:tcW w:w="1560" w:type="dxa"/>
            <w:tcBorders>
              <w:top w:val="nil"/>
              <w:left w:val="nil"/>
              <w:bottom w:val="single" w:sz="4" w:space="0" w:color="auto"/>
              <w:right w:val="single" w:sz="4" w:space="0" w:color="auto"/>
            </w:tcBorders>
            <w:shd w:val="clear" w:color="auto" w:fill="auto"/>
            <w:noWrap/>
            <w:vAlign w:val="bottom"/>
            <w:hideMark/>
          </w:tcPr>
          <w:p w14:paraId="10DC289E" w14:textId="77777777" w:rsidR="004A7916" w:rsidRPr="0032635C" w:rsidRDefault="004A7916" w:rsidP="004A7916">
            <w:pPr>
              <w:spacing w:line="276" w:lineRule="auto"/>
              <w:jc w:val="right"/>
            </w:pPr>
            <w:r w:rsidRPr="0032635C">
              <w:t>22 900 000</w:t>
            </w:r>
          </w:p>
        </w:tc>
        <w:tc>
          <w:tcPr>
            <w:tcW w:w="1559" w:type="dxa"/>
            <w:tcBorders>
              <w:top w:val="nil"/>
              <w:left w:val="nil"/>
              <w:bottom w:val="single" w:sz="4" w:space="0" w:color="auto"/>
              <w:right w:val="single" w:sz="4" w:space="0" w:color="auto"/>
            </w:tcBorders>
            <w:shd w:val="clear" w:color="auto" w:fill="auto"/>
            <w:noWrap/>
            <w:vAlign w:val="bottom"/>
            <w:hideMark/>
          </w:tcPr>
          <w:p w14:paraId="690EF276" w14:textId="77777777" w:rsidR="004A7916" w:rsidRPr="0032635C" w:rsidRDefault="004A7916" w:rsidP="004A7916">
            <w:pPr>
              <w:spacing w:line="276" w:lineRule="auto"/>
              <w:jc w:val="right"/>
            </w:pPr>
            <w:r w:rsidRPr="0032635C">
              <w:t>16 891 109</w:t>
            </w:r>
          </w:p>
        </w:tc>
      </w:tr>
      <w:tr w:rsidR="004A7916" w:rsidRPr="0032635C" w14:paraId="158A2A19" w14:textId="77777777" w:rsidTr="00010E75">
        <w:trPr>
          <w:trHeight w:val="31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6CBB6C2" w14:textId="77777777" w:rsidR="004A7916" w:rsidRPr="0032635C" w:rsidRDefault="004A7916" w:rsidP="004A7916">
            <w:pPr>
              <w:spacing w:line="276" w:lineRule="auto"/>
            </w:pPr>
            <w:r w:rsidRPr="0032635C">
              <w:t>Глоби, санкции и наказателни лихви</w:t>
            </w:r>
          </w:p>
        </w:tc>
        <w:tc>
          <w:tcPr>
            <w:tcW w:w="1559" w:type="dxa"/>
            <w:tcBorders>
              <w:top w:val="nil"/>
              <w:left w:val="nil"/>
              <w:bottom w:val="single" w:sz="4" w:space="0" w:color="auto"/>
              <w:right w:val="single" w:sz="4" w:space="0" w:color="auto"/>
            </w:tcBorders>
            <w:shd w:val="clear" w:color="auto" w:fill="auto"/>
            <w:noWrap/>
            <w:vAlign w:val="bottom"/>
            <w:hideMark/>
          </w:tcPr>
          <w:p w14:paraId="202EE202" w14:textId="77777777" w:rsidR="004A7916" w:rsidRPr="0032635C" w:rsidRDefault="004A7916" w:rsidP="004A7916">
            <w:pPr>
              <w:spacing w:line="276" w:lineRule="auto"/>
              <w:jc w:val="right"/>
            </w:pPr>
            <w:r w:rsidRPr="0032635C">
              <w:t>3 000 000</w:t>
            </w:r>
          </w:p>
        </w:tc>
        <w:tc>
          <w:tcPr>
            <w:tcW w:w="1560" w:type="dxa"/>
            <w:tcBorders>
              <w:top w:val="nil"/>
              <w:left w:val="nil"/>
              <w:bottom w:val="single" w:sz="4" w:space="0" w:color="auto"/>
              <w:right w:val="single" w:sz="4" w:space="0" w:color="auto"/>
            </w:tcBorders>
            <w:shd w:val="clear" w:color="auto" w:fill="auto"/>
            <w:noWrap/>
            <w:vAlign w:val="bottom"/>
            <w:hideMark/>
          </w:tcPr>
          <w:p w14:paraId="41A11CAD" w14:textId="77777777" w:rsidR="004A7916" w:rsidRPr="0032635C" w:rsidRDefault="004A7916" w:rsidP="004A7916">
            <w:pPr>
              <w:spacing w:line="276" w:lineRule="auto"/>
              <w:jc w:val="right"/>
            </w:pPr>
            <w:r w:rsidRPr="0032635C">
              <w:t>3 000 000</w:t>
            </w:r>
          </w:p>
        </w:tc>
        <w:tc>
          <w:tcPr>
            <w:tcW w:w="1559" w:type="dxa"/>
            <w:tcBorders>
              <w:top w:val="nil"/>
              <w:left w:val="nil"/>
              <w:bottom w:val="single" w:sz="4" w:space="0" w:color="auto"/>
              <w:right w:val="single" w:sz="4" w:space="0" w:color="auto"/>
            </w:tcBorders>
            <w:shd w:val="clear" w:color="auto" w:fill="auto"/>
            <w:noWrap/>
            <w:vAlign w:val="bottom"/>
            <w:hideMark/>
          </w:tcPr>
          <w:p w14:paraId="5CD5EA4B" w14:textId="77777777" w:rsidR="004A7916" w:rsidRPr="0032635C" w:rsidRDefault="004A7916" w:rsidP="004A7916">
            <w:pPr>
              <w:spacing w:line="276" w:lineRule="auto"/>
              <w:jc w:val="right"/>
            </w:pPr>
            <w:r w:rsidRPr="0032635C">
              <w:t>874 242</w:t>
            </w:r>
          </w:p>
        </w:tc>
      </w:tr>
      <w:tr w:rsidR="004A7916" w:rsidRPr="0032635C" w14:paraId="0E42AA23" w14:textId="77777777" w:rsidTr="00010E75">
        <w:trPr>
          <w:trHeight w:val="31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07DB54E" w14:textId="77777777" w:rsidR="004A7916" w:rsidRPr="0032635C" w:rsidRDefault="004A7916" w:rsidP="004A7916">
            <w:pPr>
              <w:spacing w:line="276" w:lineRule="auto"/>
            </w:pPr>
            <w:r w:rsidRPr="0032635C">
              <w:t>Други</w:t>
            </w:r>
          </w:p>
        </w:tc>
        <w:tc>
          <w:tcPr>
            <w:tcW w:w="1559" w:type="dxa"/>
            <w:tcBorders>
              <w:top w:val="nil"/>
              <w:left w:val="nil"/>
              <w:bottom w:val="single" w:sz="4" w:space="0" w:color="auto"/>
              <w:right w:val="single" w:sz="4" w:space="0" w:color="auto"/>
            </w:tcBorders>
            <w:shd w:val="clear" w:color="auto" w:fill="auto"/>
            <w:noWrap/>
            <w:vAlign w:val="bottom"/>
            <w:hideMark/>
          </w:tcPr>
          <w:p w14:paraId="21A16254" w14:textId="77777777" w:rsidR="004A7916" w:rsidRPr="0032635C" w:rsidRDefault="004A7916" w:rsidP="004A7916">
            <w:pPr>
              <w:spacing w:line="276" w:lineRule="auto"/>
              <w:jc w:val="right"/>
            </w:pPr>
            <w:r w:rsidRPr="0032635C">
              <w:t> </w:t>
            </w:r>
          </w:p>
        </w:tc>
        <w:tc>
          <w:tcPr>
            <w:tcW w:w="1560" w:type="dxa"/>
            <w:tcBorders>
              <w:top w:val="nil"/>
              <w:left w:val="nil"/>
              <w:bottom w:val="single" w:sz="4" w:space="0" w:color="auto"/>
              <w:right w:val="single" w:sz="4" w:space="0" w:color="auto"/>
            </w:tcBorders>
            <w:shd w:val="clear" w:color="auto" w:fill="auto"/>
            <w:noWrap/>
            <w:vAlign w:val="bottom"/>
            <w:hideMark/>
          </w:tcPr>
          <w:p w14:paraId="4746070F" w14:textId="77777777" w:rsidR="004A7916" w:rsidRPr="0032635C" w:rsidRDefault="004A7916" w:rsidP="004A7916">
            <w:pPr>
              <w:spacing w:line="276" w:lineRule="auto"/>
              <w:jc w:val="right"/>
            </w:pPr>
            <w:r w:rsidRPr="0032635C">
              <w:t> </w:t>
            </w:r>
          </w:p>
        </w:tc>
        <w:tc>
          <w:tcPr>
            <w:tcW w:w="1559" w:type="dxa"/>
            <w:tcBorders>
              <w:top w:val="nil"/>
              <w:left w:val="nil"/>
              <w:bottom w:val="single" w:sz="4" w:space="0" w:color="auto"/>
              <w:right w:val="single" w:sz="4" w:space="0" w:color="auto"/>
            </w:tcBorders>
            <w:shd w:val="clear" w:color="auto" w:fill="auto"/>
            <w:noWrap/>
            <w:vAlign w:val="bottom"/>
            <w:hideMark/>
          </w:tcPr>
          <w:p w14:paraId="64899C6B" w14:textId="77777777" w:rsidR="004A7916" w:rsidRPr="0032635C" w:rsidRDefault="004A7916" w:rsidP="004A7916">
            <w:pPr>
              <w:spacing w:line="276" w:lineRule="auto"/>
              <w:jc w:val="right"/>
            </w:pPr>
            <w:r w:rsidRPr="0032635C">
              <w:t>- 38 826</w:t>
            </w:r>
          </w:p>
        </w:tc>
      </w:tr>
      <w:tr w:rsidR="004A7916" w:rsidRPr="0032635C" w14:paraId="29AF6355" w14:textId="77777777" w:rsidTr="00010E75">
        <w:trPr>
          <w:trHeight w:val="31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85BE75" w14:textId="77777777" w:rsidR="004A7916" w:rsidRPr="0032635C" w:rsidRDefault="004A7916" w:rsidP="004A7916">
            <w:pPr>
              <w:spacing w:line="276" w:lineRule="auto"/>
              <w:jc w:val="both"/>
              <w:rPr>
                <w:b/>
                <w:bCs/>
                <w:i/>
                <w:iCs/>
              </w:rPr>
            </w:pPr>
            <w:r w:rsidRPr="0032635C">
              <w:rPr>
                <w:b/>
                <w:bCs/>
                <w:i/>
                <w:iCs/>
              </w:rPr>
              <w:t>Помощи, дарения и други безвъзмездно получени суми</w:t>
            </w:r>
          </w:p>
        </w:tc>
        <w:tc>
          <w:tcPr>
            <w:tcW w:w="1559" w:type="dxa"/>
            <w:tcBorders>
              <w:top w:val="nil"/>
              <w:left w:val="nil"/>
              <w:bottom w:val="single" w:sz="4" w:space="0" w:color="auto"/>
              <w:right w:val="single" w:sz="4" w:space="0" w:color="auto"/>
            </w:tcBorders>
            <w:shd w:val="clear" w:color="auto" w:fill="auto"/>
            <w:noWrap/>
            <w:vAlign w:val="bottom"/>
            <w:hideMark/>
          </w:tcPr>
          <w:p w14:paraId="5BE85BC1" w14:textId="77777777" w:rsidR="004A7916" w:rsidRPr="0032635C" w:rsidRDefault="004A7916" w:rsidP="004A7916">
            <w:pPr>
              <w:spacing w:line="276" w:lineRule="auto"/>
              <w:jc w:val="right"/>
              <w:rPr>
                <w:b/>
                <w:bCs/>
              </w:rPr>
            </w:pPr>
            <w:r w:rsidRPr="0032635C">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14:paraId="7C14DF5D" w14:textId="77777777" w:rsidR="004A7916" w:rsidRPr="0032635C" w:rsidRDefault="004A7916" w:rsidP="004A7916">
            <w:pPr>
              <w:spacing w:line="276" w:lineRule="auto"/>
              <w:jc w:val="right"/>
              <w:rPr>
                <w:b/>
                <w:bCs/>
              </w:rPr>
            </w:pPr>
            <w:r w:rsidRPr="0032635C">
              <w:rPr>
                <w:b/>
                <w:bCs/>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C9F456" w14:textId="77777777" w:rsidR="004A7916" w:rsidRPr="0032635C" w:rsidRDefault="004A7916" w:rsidP="004A7916">
            <w:pPr>
              <w:spacing w:line="276" w:lineRule="auto"/>
              <w:jc w:val="right"/>
              <w:rPr>
                <w:b/>
                <w:bCs/>
              </w:rPr>
            </w:pPr>
            <w:r w:rsidRPr="0032635C">
              <w:rPr>
                <w:b/>
                <w:bCs/>
              </w:rPr>
              <w:t> </w:t>
            </w:r>
          </w:p>
        </w:tc>
      </w:tr>
    </w:tbl>
    <w:p w14:paraId="771BAA63" w14:textId="77777777" w:rsidR="001A61F9" w:rsidRPr="0032635C" w:rsidRDefault="001A61F9" w:rsidP="008E2743">
      <w:pPr>
        <w:keepNext/>
        <w:keepLines/>
        <w:spacing w:before="200" w:line="276" w:lineRule="auto"/>
        <w:outlineLvl w:val="1"/>
        <w:rPr>
          <w:rFonts w:eastAsiaTheme="majorEastAsia" w:cstheme="majorBidi"/>
          <w:b/>
          <w:bCs/>
          <w:color w:val="5B9BD5" w:themeColor="accent1"/>
          <w:sz w:val="26"/>
          <w:szCs w:val="26"/>
        </w:rPr>
      </w:pPr>
      <w:bookmarkStart w:id="8" w:name="_Toc206148614"/>
      <w:r w:rsidRPr="0032635C">
        <w:rPr>
          <w:rFonts w:eastAsiaTheme="majorEastAsia" w:cstheme="majorBidi"/>
          <w:b/>
          <w:bCs/>
          <w:color w:val="5B9BD5" w:themeColor="accent1"/>
          <w:sz w:val="26"/>
          <w:szCs w:val="26"/>
        </w:rPr>
        <w:t>б) Отчет на разходите по бюджета на КФН</w:t>
      </w:r>
      <w:bookmarkEnd w:id="6"/>
      <w:bookmarkEnd w:id="7"/>
      <w:bookmarkEnd w:id="8"/>
      <w:r w:rsidRPr="0032635C">
        <w:rPr>
          <w:rFonts w:eastAsiaTheme="majorEastAsia" w:cstheme="majorBidi"/>
          <w:b/>
          <w:bCs/>
          <w:color w:val="5B9BD5" w:themeColor="accent1"/>
          <w:sz w:val="26"/>
          <w:szCs w:val="26"/>
        </w:rPr>
        <w:t xml:space="preserve"> </w:t>
      </w:r>
    </w:p>
    <w:p w14:paraId="7B648608" w14:textId="77777777" w:rsidR="001A61F9" w:rsidRPr="0032635C" w:rsidRDefault="001A61F9" w:rsidP="008E2743">
      <w:pPr>
        <w:spacing w:line="276" w:lineRule="auto"/>
        <w:ind w:left="720" w:right="-28"/>
        <w:jc w:val="both"/>
        <w:rPr>
          <w:b/>
          <w:bCs/>
          <w:color w:val="000000"/>
        </w:rPr>
      </w:pPr>
    </w:p>
    <w:p w14:paraId="317D4E9A" w14:textId="77777777" w:rsidR="00310EFB" w:rsidRPr="0032635C" w:rsidRDefault="00310EFB" w:rsidP="00310EFB">
      <w:pPr>
        <w:spacing w:line="276" w:lineRule="auto"/>
        <w:ind w:firstLine="708"/>
        <w:jc w:val="both"/>
        <w:rPr>
          <w:szCs w:val="32"/>
        </w:rPr>
      </w:pPr>
      <w:r w:rsidRPr="0032635C">
        <w:rPr>
          <w:szCs w:val="32"/>
        </w:rPr>
        <w:t xml:space="preserve">Комисията за финансов надзор няма администрирани разходи, а отчетените към </w:t>
      </w:r>
      <w:r w:rsidRPr="0032635C">
        <w:t>30.06.202</w:t>
      </w:r>
      <w:r w:rsidRPr="0032635C">
        <w:rPr>
          <w:lang w:val="ru-RU"/>
        </w:rPr>
        <w:t>5</w:t>
      </w:r>
      <w:r w:rsidRPr="0032635C">
        <w:t xml:space="preserve"> г. ведомствени </w:t>
      </w:r>
      <w:r w:rsidRPr="0032635C">
        <w:rPr>
          <w:szCs w:val="32"/>
        </w:rPr>
        <w:t>разходи</w:t>
      </w:r>
      <w:r w:rsidRPr="0032635C">
        <w:t xml:space="preserve"> по бюджета на Комисията</w:t>
      </w:r>
      <w:r w:rsidRPr="0032635C">
        <w:rPr>
          <w:szCs w:val="32"/>
        </w:rPr>
        <w:t xml:space="preserve"> са в размер на 10 889 386 </w:t>
      </w:r>
      <w:r w:rsidRPr="0032635C">
        <w:t>лв</w:t>
      </w:r>
      <w:r w:rsidRPr="0032635C">
        <w:rPr>
          <w:szCs w:val="32"/>
        </w:rPr>
        <w:t>., което представлява 38,84 %  изпълнение спрямо годишния план.</w:t>
      </w:r>
    </w:p>
    <w:p w14:paraId="2F3D29B6" w14:textId="77777777" w:rsidR="00310EFB" w:rsidRPr="0032635C" w:rsidRDefault="00310EFB" w:rsidP="00310EFB">
      <w:pPr>
        <w:spacing w:line="276" w:lineRule="auto"/>
        <w:ind w:firstLine="720"/>
        <w:jc w:val="both"/>
        <w:rPr>
          <w:szCs w:val="32"/>
        </w:rPr>
      </w:pPr>
      <w:r w:rsidRPr="0032635C">
        <w:rPr>
          <w:szCs w:val="32"/>
        </w:rPr>
        <w:t>Разходите по функционални области и бюджетни програми са, както следва:</w:t>
      </w:r>
    </w:p>
    <w:p w14:paraId="159C4522" w14:textId="77777777" w:rsidR="001A61F9" w:rsidRPr="0032635C" w:rsidRDefault="001A61F9" w:rsidP="008E2743">
      <w:pPr>
        <w:spacing w:line="276" w:lineRule="auto"/>
        <w:ind w:firstLine="720"/>
        <w:jc w:val="both"/>
        <w:rPr>
          <w:szCs w:val="32"/>
        </w:rPr>
      </w:pPr>
    </w:p>
    <w:p w14:paraId="23AFB55D" w14:textId="77777777" w:rsidR="00EC7199" w:rsidRPr="0032635C" w:rsidRDefault="00EC7199" w:rsidP="00EC7199">
      <w:pPr>
        <w:spacing w:line="276" w:lineRule="auto"/>
        <w:ind w:firstLine="708"/>
        <w:jc w:val="both"/>
        <w:rPr>
          <w:szCs w:val="32"/>
        </w:rPr>
      </w:pPr>
      <w:r w:rsidRPr="0032635C">
        <w:rPr>
          <w:szCs w:val="32"/>
        </w:rPr>
        <w:t xml:space="preserve">Отчетените разходи по бюджета на </w:t>
      </w:r>
      <w:r w:rsidRPr="0032635C">
        <w:t>Комисията</w:t>
      </w:r>
      <w:r w:rsidRPr="0032635C">
        <w:rPr>
          <w:szCs w:val="32"/>
        </w:rPr>
        <w:t xml:space="preserve"> са разпределени, както следва: </w:t>
      </w:r>
    </w:p>
    <w:p w14:paraId="26CD7F16" w14:textId="77777777" w:rsidR="00EC7199" w:rsidRPr="0032635C" w:rsidRDefault="00EC7199" w:rsidP="00EC7199">
      <w:pPr>
        <w:spacing w:line="276" w:lineRule="auto"/>
        <w:ind w:firstLine="708"/>
        <w:jc w:val="both"/>
        <w:rPr>
          <w:szCs w:val="32"/>
        </w:rPr>
      </w:pPr>
    </w:p>
    <w:p w14:paraId="349141B7" w14:textId="77777777" w:rsidR="00EC7199" w:rsidRPr="0032635C" w:rsidRDefault="00EC7199" w:rsidP="00EC7199">
      <w:pPr>
        <w:numPr>
          <w:ilvl w:val="0"/>
          <w:numId w:val="2"/>
        </w:numPr>
        <w:spacing w:after="160" w:line="276" w:lineRule="auto"/>
        <w:ind w:left="0" w:firstLine="709"/>
        <w:contextualSpacing/>
        <w:jc w:val="both"/>
        <w:rPr>
          <w:szCs w:val="32"/>
        </w:rPr>
      </w:pPr>
      <w:r w:rsidRPr="0032635C">
        <w:rPr>
          <w:szCs w:val="32"/>
        </w:rPr>
        <w:t xml:space="preserve">разходи за персонал по трудови правоотношения – </w:t>
      </w:r>
      <w:r w:rsidRPr="0032635C">
        <w:rPr>
          <w:szCs w:val="32"/>
          <w:lang w:val="ru-RU"/>
        </w:rPr>
        <w:t xml:space="preserve">7 288 299 </w:t>
      </w:r>
      <w:r w:rsidRPr="0032635C">
        <w:rPr>
          <w:szCs w:val="32"/>
        </w:rPr>
        <w:t xml:space="preserve">лв., включват изплатените брутни възнаграждения на членовете и служителите от администрацията на </w:t>
      </w:r>
      <w:r w:rsidRPr="0032635C">
        <w:t>Комисията</w:t>
      </w:r>
      <w:r w:rsidRPr="0032635C">
        <w:rPr>
          <w:szCs w:val="32"/>
          <w:lang w:val="ru-RU"/>
        </w:rPr>
        <w:t>,</w:t>
      </w:r>
      <w:r w:rsidRPr="0032635C">
        <w:rPr>
          <w:szCs w:val="32"/>
        </w:rPr>
        <w:t xml:space="preserve"> възнагражденията на нещатни служители, наети по трудово правоотношение по Постановление № 66 на Министерския съвет за кадрово осигуряване на някои дейности в бюджетните организации от 1999 г., обезщетенията на служителите по Кодекса на труда, обезщетенията по чл. 40, ал. 5 от КСО, както и разходите за задължителни осигурителни вноски от работодател;</w:t>
      </w:r>
    </w:p>
    <w:p w14:paraId="4392D156" w14:textId="4DC5914B" w:rsidR="00EC7199" w:rsidRPr="0032635C" w:rsidRDefault="00EC7199" w:rsidP="00EC7199">
      <w:pPr>
        <w:numPr>
          <w:ilvl w:val="0"/>
          <w:numId w:val="2"/>
        </w:numPr>
        <w:spacing w:after="160" w:line="276" w:lineRule="auto"/>
        <w:ind w:left="0" w:firstLine="709"/>
        <w:contextualSpacing/>
        <w:jc w:val="both"/>
        <w:rPr>
          <w:szCs w:val="32"/>
        </w:rPr>
      </w:pPr>
      <w:r w:rsidRPr="0032635C">
        <w:rPr>
          <w:szCs w:val="32"/>
        </w:rPr>
        <w:t xml:space="preserve">разходи за издръжка – 3 436 711 лв. В разходите за издръжка е включена сума в размер на 1 335 076 лв. за текуща издръжка на Комисията, включваща наем, охрана, почистване, поддържане и ел. енергия за административната сграда на </w:t>
      </w:r>
      <w:r w:rsidRPr="0032635C">
        <w:t>Комисията</w:t>
      </w:r>
      <w:r w:rsidRPr="0032635C">
        <w:rPr>
          <w:szCs w:val="32"/>
        </w:rPr>
        <w:t>, телекомуникационни и пощенски услуги, поддръжка на софтуерни продукти и хардуер, застраховки, канцеларски материали, консумативи и други доставки,</w:t>
      </w:r>
      <w:r w:rsidRPr="0032635C">
        <w:t xml:space="preserve"> </w:t>
      </w:r>
      <w:r w:rsidRPr="0032635C">
        <w:rPr>
          <w:szCs w:val="32"/>
        </w:rPr>
        <w:t xml:space="preserve">квалификация и преквалификация на персонала, преводачески услуги, командировки в страната и в чужбина, както и други услуги, свързани с дейността на </w:t>
      </w:r>
      <w:r w:rsidRPr="0032635C">
        <w:t>Комисията</w:t>
      </w:r>
      <w:r w:rsidRPr="0032635C">
        <w:rPr>
          <w:szCs w:val="32"/>
        </w:rPr>
        <w:t xml:space="preserve">. Включени са и разходите за заплащане на държавни и общински данъци и такси в размер на 47 841 лв., както и разходите за първа вноска от годишен членски внос в размер на 2 053 794 лв. в </w:t>
      </w:r>
      <w:r w:rsidR="005166CC">
        <w:rPr>
          <w:szCs w:val="32"/>
        </w:rPr>
        <w:t>ЕОЦКП и ЕОЗППО</w:t>
      </w:r>
      <w:r w:rsidRPr="0032635C">
        <w:rPr>
          <w:szCs w:val="32"/>
        </w:rPr>
        <w:t>;</w:t>
      </w:r>
    </w:p>
    <w:p w14:paraId="7275B17F" w14:textId="77777777" w:rsidR="00EC7199" w:rsidRPr="0032635C" w:rsidRDefault="00EC7199" w:rsidP="00EC7199">
      <w:pPr>
        <w:numPr>
          <w:ilvl w:val="0"/>
          <w:numId w:val="2"/>
        </w:numPr>
        <w:spacing w:after="160" w:line="276" w:lineRule="auto"/>
        <w:contextualSpacing/>
        <w:jc w:val="both"/>
        <w:rPr>
          <w:szCs w:val="32"/>
        </w:rPr>
      </w:pPr>
      <w:r w:rsidRPr="0032635C">
        <w:rPr>
          <w:szCs w:val="32"/>
        </w:rPr>
        <w:lastRenderedPageBreak/>
        <w:t>капиталови разходи –</w:t>
      </w:r>
      <w:r w:rsidRPr="0032635C">
        <w:t xml:space="preserve"> </w:t>
      </w:r>
      <w:r w:rsidRPr="0032635C">
        <w:rPr>
          <w:szCs w:val="32"/>
        </w:rPr>
        <w:t>отчетена е сума в размер на 164 376 лв., формирана от следното:</w:t>
      </w:r>
    </w:p>
    <w:p w14:paraId="28274C80" w14:textId="289D5A64" w:rsidR="00EC7199" w:rsidRPr="0032635C" w:rsidRDefault="00EC7199" w:rsidP="00EC7199">
      <w:pPr>
        <w:numPr>
          <w:ilvl w:val="0"/>
          <w:numId w:val="22"/>
        </w:numPr>
        <w:spacing w:after="160" w:line="276" w:lineRule="auto"/>
        <w:ind w:left="1276" w:hanging="992"/>
        <w:contextualSpacing/>
        <w:jc w:val="both"/>
        <w:rPr>
          <w:szCs w:val="32"/>
        </w:rPr>
      </w:pPr>
      <w:r w:rsidRPr="0032635C">
        <w:rPr>
          <w:szCs w:val="32"/>
        </w:rPr>
        <w:t xml:space="preserve"> 2 638 лв. за окончателно плащане на частична подмяна на дограма в административната сграда на КФН</w:t>
      </w:r>
      <w:r w:rsidR="00710F4E" w:rsidRPr="0032635C">
        <w:rPr>
          <w:szCs w:val="32"/>
        </w:rPr>
        <w:t>;</w:t>
      </w:r>
      <w:r w:rsidRPr="0032635C">
        <w:rPr>
          <w:szCs w:val="32"/>
        </w:rPr>
        <w:t xml:space="preserve"> </w:t>
      </w:r>
    </w:p>
    <w:p w14:paraId="06AE8B9E" w14:textId="6EF214B8" w:rsidR="00EC7199" w:rsidRPr="0032635C" w:rsidRDefault="00250C24" w:rsidP="00EC7199">
      <w:pPr>
        <w:numPr>
          <w:ilvl w:val="0"/>
          <w:numId w:val="22"/>
        </w:numPr>
        <w:spacing w:after="160" w:line="276" w:lineRule="auto"/>
        <w:ind w:left="709" w:hanging="425"/>
        <w:contextualSpacing/>
        <w:jc w:val="both"/>
      </w:pPr>
      <w:r w:rsidRPr="0032635C">
        <w:rPr>
          <w:szCs w:val="32"/>
        </w:rPr>
        <w:t xml:space="preserve">          </w:t>
      </w:r>
      <w:r w:rsidR="00EC7199" w:rsidRPr="0032635C">
        <w:rPr>
          <w:szCs w:val="32"/>
        </w:rPr>
        <w:t>161 738 лв. за закупуване на лицензи за софтуерни продукти</w:t>
      </w:r>
      <w:r w:rsidR="00710F4E" w:rsidRPr="0032635C">
        <w:rPr>
          <w:szCs w:val="32"/>
        </w:rPr>
        <w:t>.</w:t>
      </w:r>
    </w:p>
    <w:p w14:paraId="2D6C5044" w14:textId="5E22A5A1" w:rsidR="00EC7199" w:rsidRPr="00EC7199" w:rsidRDefault="00EC7199" w:rsidP="00EC7199">
      <w:pPr>
        <w:spacing w:line="276" w:lineRule="auto"/>
        <w:ind w:firstLine="709"/>
        <w:contextualSpacing/>
        <w:jc w:val="both"/>
        <w:rPr>
          <w:szCs w:val="32"/>
        </w:rPr>
      </w:pPr>
      <w:r w:rsidRPr="0032635C">
        <w:tab/>
        <w:t>За периода 01.01.2025 г. - 30.06.2025 г. са  отчетени 284 622 лв. текущи и 161 738 лв.  капиталови разходи в областта на електронното управление и използваните информационни и комуникационни технологии. Разходите са основно за поддръжка на софтуер, поддръжка и ремонт на хардуер, абонамент за информационни системи и закупуване на лицензи.</w:t>
      </w:r>
    </w:p>
    <w:p w14:paraId="61F43AF3" w14:textId="77777777" w:rsidR="001A61F9" w:rsidRPr="000E41A7" w:rsidRDefault="001A61F9" w:rsidP="001A61F9">
      <w:pPr>
        <w:spacing w:line="276" w:lineRule="auto"/>
        <w:ind w:left="426"/>
        <w:contextualSpacing/>
        <w:jc w:val="both"/>
        <w:rPr>
          <w:szCs w:val="32"/>
        </w:rPr>
      </w:pPr>
    </w:p>
    <w:p w14:paraId="71867655" w14:textId="77777777" w:rsidR="00C40531" w:rsidRDefault="00C40531" w:rsidP="00F15489">
      <w:pPr>
        <w:pStyle w:val="Heading1"/>
        <w:jc w:val="both"/>
        <w:rPr>
          <w:rFonts w:cs="Times New Roman"/>
          <w:b/>
          <w:color w:val="auto"/>
        </w:rPr>
        <w:sectPr w:rsidR="00C40531" w:rsidSect="00C40531">
          <w:footerReference w:type="default" r:id="rId10"/>
          <w:pgSz w:w="12240" w:h="15840" w:code="1"/>
          <w:pgMar w:top="1418" w:right="1418" w:bottom="1418" w:left="1418" w:header="709" w:footer="709" w:gutter="0"/>
          <w:cols w:space="708"/>
          <w:docGrid w:linePitch="360"/>
        </w:sectPr>
      </w:pPr>
    </w:p>
    <w:tbl>
      <w:tblPr>
        <w:tblW w:w="13419" w:type="dxa"/>
        <w:tblLayout w:type="fixed"/>
        <w:tblLook w:val="04A0" w:firstRow="1" w:lastRow="0" w:firstColumn="1" w:lastColumn="0" w:noHBand="0" w:noVBand="1"/>
      </w:tblPr>
      <w:tblGrid>
        <w:gridCol w:w="1116"/>
        <w:gridCol w:w="2286"/>
        <w:gridCol w:w="1191"/>
        <w:gridCol w:w="1134"/>
        <w:gridCol w:w="1079"/>
        <w:gridCol w:w="1301"/>
        <w:gridCol w:w="1164"/>
        <w:gridCol w:w="1079"/>
        <w:gridCol w:w="990"/>
        <w:gridCol w:w="993"/>
        <w:gridCol w:w="1086"/>
      </w:tblGrid>
      <w:tr w:rsidR="00E50B5C" w:rsidRPr="00E50B5C" w14:paraId="66C8A9F0" w14:textId="77777777" w:rsidTr="00010E75">
        <w:trPr>
          <w:trHeight w:val="375"/>
        </w:trPr>
        <w:tc>
          <w:tcPr>
            <w:tcW w:w="13419" w:type="dxa"/>
            <w:gridSpan w:val="11"/>
            <w:tcBorders>
              <w:top w:val="nil"/>
              <w:left w:val="nil"/>
              <w:bottom w:val="nil"/>
              <w:right w:val="nil"/>
            </w:tcBorders>
            <w:shd w:val="clear" w:color="auto" w:fill="auto"/>
            <w:noWrap/>
            <w:vAlign w:val="center"/>
            <w:hideMark/>
          </w:tcPr>
          <w:bookmarkEnd w:id="3"/>
          <w:p w14:paraId="71680BF4" w14:textId="77777777" w:rsidR="00E50B5C" w:rsidRPr="0032635C" w:rsidRDefault="00E50B5C" w:rsidP="00EF48B5">
            <w:pPr>
              <w:jc w:val="both"/>
              <w:rPr>
                <w:b/>
                <w:lang w:val="en-US"/>
              </w:rPr>
            </w:pPr>
            <w:r w:rsidRPr="0032635C">
              <w:rPr>
                <w:b/>
              </w:rPr>
              <w:lastRenderedPageBreak/>
              <w:t>Приложение № 2б – Отчет на консолидираните разходи по бюджетни програми в рамките на съответните функционални области</w:t>
            </w:r>
          </w:p>
          <w:p w14:paraId="3F9F8BF2" w14:textId="77777777" w:rsidR="00E50B5C" w:rsidRPr="0032635C" w:rsidRDefault="00E50B5C" w:rsidP="00EF48B5">
            <w:pPr>
              <w:jc w:val="both"/>
            </w:pPr>
          </w:p>
        </w:tc>
      </w:tr>
      <w:tr w:rsidR="00E50B5C" w:rsidRPr="00E50B5C" w14:paraId="2E79EA2B" w14:textId="77777777" w:rsidTr="00010E75">
        <w:trPr>
          <w:trHeight w:val="375"/>
        </w:trPr>
        <w:tc>
          <w:tcPr>
            <w:tcW w:w="13419" w:type="dxa"/>
            <w:gridSpan w:val="11"/>
            <w:tcBorders>
              <w:top w:val="nil"/>
              <w:left w:val="nil"/>
              <w:bottom w:val="nil"/>
              <w:right w:val="nil"/>
            </w:tcBorders>
            <w:shd w:val="clear" w:color="auto" w:fill="auto"/>
            <w:noWrap/>
            <w:vAlign w:val="center"/>
            <w:hideMark/>
          </w:tcPr>
          <w:p w14:paraId="3B2C5306" w14:textId="77777777" w:rsidR="00E50B5C" w:rsidRPr="0032635C" w:rsidRDefault="00E50B5C" w:rsidP="00E50B5C"/>
        </w:tc>
      </w:tr>
      <w:tr w:rsidR="00E50B5C" w:rsidRPr="00E50B5C" w14:paraId="746F2E38" w14:textId="77777777" w:rsidTr="00010E75">
        <w:trPr>
          <w:trHeight w:val="1500"/>
        </w:trPr>
        <w:tc>
          <w:tcPr>
            <w:tcW w:w="1116" w:type="dxa"/>
            <w:tcBorders>
              <w:top w:val="single" w:sz="4" w:space="0" w:color="auto"/>
              <w:left w:val="single" w:sz="4" w:space="0" w:color="auto"/>
              <w:bottom w:val="single" w:sz="4" w:space="0" w:color="auto"/>
              <w:right w:val="single" w:sz="4" w:space="0" w:color="auto"/>
            </w:tcBorders>
            <w:shd w:val="clear" w:color="E6E6E6" w:fill="D9D9D9"/>
            <w:vAlign w:val="center"/>
            <w:hideMark/>
          </w:tcPr>
          <w:p w14:paraId="1619370F" w14:textId="77777777" w:rsidR="00E50B5C" w:rsidRPr="0032635C" w:rsidRDefault="00E50B5C" w:rsidP="00E50B5C">
            <w:pPr>
              <w:spacing w:line="276" w:lineRule="auto"/>
              <w:jc w:val="center"/>
              <w:rPr>
                <w:b/>
                <w:bCs/>
                <w:sz w:val="20"/>
                <w:szCs w:val="20"/>
              </w:rPr>
            </w:pPr>
            <w:r w:rsidRPr="0032635C">
              <w:rPr>
                <w:b/>
                <w:bCs/>
                <w:sz w:val="20"/>
                <w:szCs w:val="20"/>
              </w:rPr>
              <w:br/>
              <w:t>Код*</w:t>
            </w:r>
          </w:p>
        </w:tc>
        <w:tc>
          <w:tcPr>
            <w:tcW w:w="2286" w:type="dxa"/>
            <w:tcBorders>
              <w:top w:val="single" w:sz="4" w:space="0" w:color="auto"/>
              <w:left w:val="nil"/>
              <w:bottom w:val="single" w:sz="4" w:space="0" w:color="auto"/>
              <w:right w:val="single" w:sz="4" w:space="0" w:color="auto"/>
            </w:tcBorders>
            <w:shd w:val="clear" w:color="E6E6E6" w:fill="D9D9D9"/>
            <w:vAlign w:val="center"/>
            <w:hideMark/>
          </w:tcPr>
          <w:p w14:paraId="60620035" w14:textId="77777777" w:rsidR="00E50B5C" w:rsidRPr="0032635C" w:rsidRDefault="00E50B5C" w:rsidP="00E50B5C">
            <w:pPr>
              <w:jc w:val="center"/>
              <w:rPr>
                <w:b/>
                <w:bCs/>
                <w:color w:val="000000"/>
                <w:sz w:val="20"/>
                <w:szCs w:val="20"/>
              </w:rPr>
            </w:pPr>
            <w:r w:rsidRPr="0032635C">
              <w:rPr>
                <w:b/>
                <w:bCs/>
                <w:color w:val="000000"/>
                <w:sz w:val="20"/>
                <w:szCs w:val="20"/>
              </w:rPr>
              <w:t>ОБЛАСТИ НА ПОЛИТИКИ/ФУНКЦИОНАЛНИ ОБЛАСТИ</w:t>
            </w:r>
            <w:r w:rsidRPr="0032635C">
              <w:rPr>
                <w:b/>
                <w:bCs/>
                <w:color w:val="000000"/>
                <w:sz w:val="20"/>
                <w:szCs w:val="20"/>
              </w:rPr>
              <w:br/>
              <w:t xml:space="preserve">И БЮДЖЕТНИ ПРОГРАМИ </w:t>
            </w:r>
          </w:p>
        </w:tc>
        <w:tc>
          <w:tcPr>
            <w:tcW w:w="3404" w:type="dxa"/>
            <w:gridSpan w:val="3"/>
            <w:tcBorders>
              <w:top w:val="single" w:sz="4" w:space="0" w:color="auto"/>
              <w:left w:val="nil"/>
              <w:bottom w:val="single" w:sz="4" w:space="0" w:color="auto"/>
              <w:right w:val="single" w:sz="4" w:space="0" w:color="auto"/>
            </w:tcBorders>
            <w:shd w:val="clear" w:color="E6E6E6" w:fill="D9D9D9"/>
            <w:noWrap/>
            <w:vAlign w:val="center"/>
            <w:hideMark/>
          </w:tcPr>
          <w:p w14:paraId="2AAECF37" w14:textId="77777777" w:rsidR="00E50B5C" w:rsidRPr="0032635C" w:rsidRDefault="00E50B5C" w:rsidP="00E50B5C">
            <w:pPr>
              <w:jc w:val="center"/>
              <w:rPr>
                <w:b/>
                <w:bCs/>
                <w:color w:val="000000"/>
                <w:sz w:val="20"/>
                <w:szCs w:val="20"/>
              </w:rPr>
            </w:pPr>
            <w:r w:rsidRPr="0032635C">
              <w:rPr>
                <w:b/>
                <w:bCs/>
                <w:color w:val="000000"/>
                <w:sz w:val="20"/>
                <w:szCs w:val="20"/>
              </w:rPr>
              <w:t>Консолидирани разходи</w:t>
            </w:r>
          </w:p>
        </w:tc>
        <w:tc>
          <w:tcPr>
            <w:tcW w:w="3544" w:type="dxa"/>
            <w:gridSpan w:val="3"/>
            <w:tcBorders>
              <w:top w:val="single" w:sz="4" w:space="0" w:color="auto"/>
              <w:left w:val="nil"/>
              <w:bottom w:val="single" w:sz="4" w:space="0" w:color="auto"/>
              <w:right w:val="single" w:sz="4" w:space="0" w:color="auto"/>
            </w:tcBorders>
            <w:shd w:val="clear" w:color="E6E6E6" w:fill="D9D9D9"/>
            <w:noWrap/>
            <w:vAlign w:val="center"/>
            <w:hideMark/>
          </w:tcPr>
          <w:p w14:paraId="0F504248" w14:textId="77777777" w:rsidR="00E50B5C" w:rsidRPr="0032635C" w:rsidRDefault="00E50B5C" w:rsidP="00E50B5C">
            <w:pPr>
              <w:jc w:val="center"/>
              <w:rPr>
                <w:b/>
                <w:bCs/>
                <w:color w:val="000000"/>
                <w:sz w:val="20"/>
                <w:szCs w:val="20"/>
              </w:rPr>
            </w:pPr>
            <w:r w:rsidRPr="0032635C">
              <w:rPr>
                <w:b/>
                <w:bCs/>
                <w:color w:val="000000"/>
                <w:sz w:val="20"/>
                <w:szCs w:val="20"/>
              </w:rPr>
              <w:t>Ведомствени разходи</w:t>
            </w:r>
          </w:p>
        </w:tc>
        <w:tc>
          <w:tcPr>
            <w:tcW w:w="3069" w:type="dxa"/>
            <w:gridSpan w:val="3"/>
            <w:tcBorders>
              <w:top w:val="single" w:sz="4" w:space="0" w:color="auto"/>
              <w:left w:val="nil"/>
              <w:bottom w:val="single" w:sz="4" w:space="0" w:color="auto"/>
              <w:right w:val="single" w:sz="4" w:space="0" w:color="auto"/>
            </w:tcBorders>
            <w:shd w:val="clear" w:color="E6E6E6" w:fill="D9D9D9"/>
            <w:noWrap/>
            <w:vAlign w:val="center"/>
            <w:hideMark/>
          </w:tcPr>
          <w:p w14:paraId="150B7AB5" w14:textId="77777777" w:rsidR="00E50B5C" w:rsidRPr="0032635C" w:rsidRDefault="00E50B5C" w:rsidP="00E50B5C">
            <w:pPr>
              <w:jc w:val="center"/>
              <w:rPr>
                <w:b/>
                <w:bCs/>
                <w:color w:val="000000"/>
                <w:sz w:val="20"/>
                <w:szCs w:val="20"/>
              </w:rPr>
            </w:pPr>
            <w:r w:rsidRPr="0032635C">
              <w:rPr>
                <w:b/>
                <w:bCs/>
                <w:color w:val="000000"/>
                <w:sz w:val="20"/>
                <w:szCs w:val="20"/>
              </w:rPr>
              <w:t>Администрирани разходи</w:t>
            </w:r>
          </w:p>
        </w:tc>
      </w:tr>
      <w:tr w:rsidR="00E50B5C" w:rsidRPr="00E50B5C" w14:paraId="2B63F96E" w14:textId="77777777" w:rsidTr="00010E75">
        <w:trPr>
          <w:trHeight w:val="1499"/>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84D0A96" w14:textId="77777777" w:rsidR="00E50B5C" w:rsidRPr="0032635C" w:rsidRDefault="00E50B5C" w:rsidP="00E50B5C">
            <w:pPr>
              <w:spacing w:line="276" w:lineRule="auto"/>
              <w:jc w:val="center"/>
              <w:rPr>
                <w:color w:val="000000"/>
                <w:sz w:val="20"/>
                <w:szCs w:val="20"/>
              </w:rPr>
            </w:pPr>
            <w:r w:rsidRPr="0032635C">
              <w:rPr>
                <w:color w:val="000000"/>
                <w:sz w:val="20"/>
                <w:szCs w:val="20"/>
              </w:rPr>
              <w:t> </w:t>
            </w:r>
          </w:p>
        </w:tc>
        <w:tc>
          <w:tcPr>
            <w:tcW w:w="2286" w:type="dxa"/>
            <w:tcBorders>
              <w:top w:val="nil"/>
              <w:left w:val="nil"/>
              <w:bottom w:val="single" w:sz="4" w:space="0" w:color="auto"/>
              <w:right w:val="single" w:sz="4" w:space="0" w:color="auto"/>
            </w:tcBorders>
            <w:shd w:val="clear" w:color="auto" w:fill="auto"/>
            <w:vAlign w:val="center"/>
            <w:hideMark/>
          </w:tcPr>
          <w:p w14:paraId="6E9BFA3A" w14:textId="77777777" w:rsidR="00E50B5C" w:rsidRPr="0032635C" w:rsidRDefault="00E50B5C" w:rsidP="00E50B5C">
            <w:pPr>
              <w:jc w:val="center"/>
              <w:rPr>
                <w:sz w:val="20"/>
                <w:szCs w:val="20"/>
              </w:rPr>
            </w:pPr>
            <w:r w:rsidRPr="0032635C">
              <w:rPr>
                <w:sz w:val="20"/>
                <w:szCs w:val="20"/>
              </w:rPr>
              <w:t>на Комисия за финансов надзор</w:t>
            </w:r>
            <w:r w:rsidRPr="0032635C">
              <w:rPr>
                <w:sz w:val="20"/>
                <w:szCs w:val="20"/>
              </w:rPr>
              <w:br/>
              <w:t>(в лева)</w:t>
            </w:r>
            <w:r w:rsidRPr="0032635C">
              <w:rPr>
                <w:color w:val="00000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0DB65D3" w14:textId="77777777" w:rsidR="00E50B5C" w:rsidRPr="0032635C" w:rsidRDefault="00E50B5C" w:rsidP="00E50B5C">
            <w:pPr>
              <w:jc w:val="center"/>
              <w:rPr>
                <w:sz w:val="20"/>
                <w:szCs w:val="20"/>
              </w:rPr>
            </w:pPr>
            <w:r w:rsidRPr="0032635C">
              <w:rPr>
                <w:sz w:val="20"/>
                <w:szCs w:val="20"/>
              </w:rPr>
              <w:t>Общо разходи</w:t>
            </w:r>
          </w:p>
        </w:tc>
        <w:tc>
          <w:tcPr>
            <w:tcW w:w="1134" w:type="dxa"/>
            <w:tcBorders>
              <w:top w:val="nil"/>
              <w:left w:val="nil"/>
              <w:bottom w:val="single" w:sz="4" w:space="0" w:color="auto"/>
              <w:right w:val="single" w:sz="4" w:space="0" w:color="auto"/>
            </w:tcBorders>
            <w:shd w:val="clear" w:color="auto" w:fill="auto"/>
            <w:vAlign w:val="center"/>
            <w:hideMark/>
          </w:tcPr>
          <w:p w14:paraId="2BDE3914" w14:textId="77777777" w:rsidR="00E50B5C" w:rsidRPr="0032635C" w:rsidRDefault="00E50B5C" w:rsidP="00E50B5C">
            <w:pPr>
              <w:jc w:val="center"/>
              <w:rPr>
                <w:i/>
                <w:iCs/>
                <w:sz w:val="20"/>
                <w:szCs w:val="20"/>
              </w:rPr>
            </w:pPr>
            <w:r w:rsidRPr="0032635C">
              <w:rPr>
                <w:i/>
                <w:iCs/>
                <w:sz w:val="20"/>
                <w:szCs w:val="20"/>
              </w:rPr>
              <w:t>По бюджета на ПРБ</w:t>
            </w:r>
          </w:p>
        </w:tc>
        <w:tc>
          <w:tcPr>
            <w:tcW w:w="1079" w:type="dxa"/>
            <w:tcBorders>
              <w:top w:val="nil"/>
              <w:left w:val="nil"/>
              <w:bottom w:val="single" w:sz="4" w:space="0" w:color="auto"/>
              <w:right w:val="single" w:sz="4" w:space="0" w:color="auto"/>
            </w:tcBorders>
            <w:shd w:val="clear" w:color="auto" w:fill="auto"/>
            <w:vAlign w:val="center"/>
            <w:hideMark/>
          </w:tcPr>
          <w:p w14:paraId="07407DA0" w14:textId="77777777" w:rsidR="00E50B5C" w:rsidRPr="0032635C" w:rsidRDefault="00E50B5C" w:rsidP="00E50B5C">
            <w:pPr>
              <w:jc w:val="center"/>
              <w:rPr>
                <w:i/>
                <w:iCs/>
                <w:sz w:val="20"/>
                <w:szCs w:val="20"/>
              </w:rPr>
            </w:pPr>
            <w:r w:rsidRPr="0032635C">
              <w:rPr>
                <w:i/>
                <w:iCs/>
                <w:sz w:val="20"/>
                <w:szCs w:val="20"/>
              </w:rPr>
              <w:t>По други бюджети и сметки за средства от ЕС</w:t>
            </w:r>
          </w:p>
        </w:tc>
        <w:tc>
          <w:tcPr>
            <w:tcW w:w="1301" w:type="dxa"/>
            <w:tcBorders>
              <w:top w:val="nil"/>
              <w:left w:val="nil"/>
              <w:bottom w:val="single" w:sz="4" w:space="0" w:color="auto"/>
              <w:right w:val="single" w:sz="4" w:space="0" w:color="auto"/>
            </w:tcBorders>
            <w:shd w:val="clear" w:color="auto" w:fill="auto"/>
            <w:vAlign w:val="center"/>
            <w:hideMark/>
          </w:tcPr>
          <w:p w14:paraId="50200FEE" w14:textId="77777777" w:rsidR="00E50B5C" w:rsidRPr="0032635C" w:rsidRDefault="00E50B5C" w:rsidP="00E50B5C">
            <w:pPr>
              <w:jc w:val="center"/>
              <w:rPr>
                <w:sz w:val="20"/>
                <w:szCs w:val="20"/>
              </w:rPr>
            </w:pPr>
            <w:r w:rsidRPr="0032635C">
              <w:rPr>
                <w:sz w:val="20"/>
                <w:szCs w:val="20"/>
              </w:rPr>
              <w:t>Общо ведомствени</w:t>
            </w:r>
          </w:p>
        </w:tc>
        <w:tc>
          <w:tcPr>
            <w:tcW w:w="1164" w:type="dxa"/>
            <w:tcBorders>
              <w:top w:val="nil"/>
              <w:left w:val="nil"/>
              <w:bottom w:val="single" w:sz="4" w:space="0" w:color="auto"/>
              <w:right w:val="single" w:sz="4" w:space="0" w:color="auto"/>
            </w:tcBorders>
            <w:shd w:val="clear" w:color="auto" w:fill="auto"/>
            <w:vAlign w:val="center"/>
            <w:hideMark/>
          </w:tcPr>
          <w:p w14:paraId="79100F20" w14:textId="77777777" w:rsidR="00E50B5C" w:rsidRPr="0032635C" w:rsidRDefault="00E50B5C" w:rsidP="00E50B5C">
            <w:pPr>
              <w:jc w:val="center"/>
              <w:rPr>
                <w:i/>
                <w:iCs/>
                <w:sz w:val="20"/>
                <w:szCs w:val="20"/>
              </w:rPr>
            </w:pPr>
            <w:r w:rsidRPr="0032635C">
              <w:rPr>
                <w:i/>
                <w:iCs/>
                <w:sz w:val="20"/>
                <w:szCs w:val="20"/>
              </w:rPr>
              <w:t>По бюджета на ПРБ</w:t>
            </w:r>
          </w:p>
        </w:tc>
        <w:tc>
          <w:tcPr>
            <w:tcW w:w="1079" w:type="dxa"/>
            <w:tcBorders>
              <w:top w:val="nil"/>
              <w:left w:val="nil"/>
              <w:bottom w:val="single" w:sz="4" w:space="0" w:color="auto"/>
              <w:right w:val="single" w:sz="4" w:space="0" w:color="auto"/>
            </w:tcBorders>
            <w:shd w:val="clear" w:color="auto" w:fill="auto"/>
            <w:vAlign w:val="center"/>
            <w:hideMark/>
          </w:tcPr>
          <w:p w14:paraId="78212D84" w14:textId="77777777" w:rsidR="00E50B5C" w:rsidRPr="0032635C" w:rsidRDefault="00E50B5C" w:rsidP="00E50B5C">
            <w:pPr>
              <w:jc w:val="center"/>
              <w:rPr>
                <w:i/>
                <w:iCs/>
                <w:sz w:val="20"/>
                <w:szCs w:val="20"/>
              </w:rPr>
            </w:pPr>
            <w:r w:rsidRPr="0032635C">
              <w:rPr>
                <w:i/>
                <w:iCs/>
                <w:sz w:val="20"/>
                <w:szCs w:val="20"/>
              </w:rPr>
              <w:t>По други бюджети и сметки за средства от ЕС</w:t>
            </w:r>
          </w:p>
        </w:tc>
        <w:tc>
          <w:tcPr>
            <w:tcW w:w="990" w:type="dxa"/>
            <w:tcBorders>
              <w:top w:val="nil"/>
              <w:left w:val="nil"/>
              <w:bottom w:val="single" w:sz="4" w:space="0" w:color="auto"/>
              <w:right w:val="single" w:sz="4" w:space="0" w:color="auto"/>
            </w:tcBorders>
            <w:shd w:val="clear" w:color="auto" w:fill="auto"/>
            <w:vAlign w:val="center"/>
            <w:hideMark/>
          </w:tcPr>
          <w:p w14:paraId="2BDC1A90" w14:textId="77777777" w:rsidR="00E50B5C" w:rsidRPr="0032635C" w:rsidRDefault="00E50B5C" w:rsidP="00E50B5C">
            <w:pPr>
              <w:jc w:val="center"/>
              <w:rPr>
                <w:sz w:val="20"/>
                <w:szCs w:val="20"/>
              </w:rPr>
            </w:pPr>
            <w:r w:rsidRPr="0032635C">
              <w:rPr>
                <w:sz w:val="20"/>
                <w:szCs w:val="20"/>
              </w:rPr>
              <w:t>Общо администрирани</w:t>
            </w:r>
          </w:p>
        </w:tc>
        <w:tc>
          <w:tcPr>
            <w:tcW w:w="993" w:type="dxa"/>
            <w:tcBorders>
              <w:top w:val="nil"/>
              <w:left w:val="nil"/>
              <w:bottom w:val="single" w:sz="4" w:space="0" w:color="auto"/>
              <w:right w:val="single" w:sz="4" w:space="0" w:color="auto"/>
            </w:tcBorders>
            <w:shd w:val="clear" w:color="auto" w:fill="auto"/>
            <w:vAlign w:val="center"/>
            <w:hideMark/>
          </w:tcPr>
          <w:p w14:paraId="35F3D8A9" w14:textId="77777777" w:rsidR="00E50B5C" w:rsidRPr="0032635C" w:rsidRDefault="00E50B5C" w:rsidP="00E50B5C">
            <w:pPr>
              <w:jc w:val="center"/>
              <w:rPr>
                <w:i/>
                <w:iCs/>
                <w:sz w:val="20"/>
                <w:szCs w:val="20"/>
              </w:rPr>
            </w:pPr>
            <w:r w:rsidRPr="0032635C">
              <w:rPr>
                <w:i/>
                <w:iCs/>
                <w:sz w:val="20"/>
                <w:szCs w:val="20"/>
              </w:rPr>
              <w:t>По бюджета на ПРБ</w:t>
            </w:r>
          </w:p>
        </w:tc>
        <w:tc>
          <w:tcPr>
            <w:tcW w:w="1086" w:type="dxa"/>
            <w:tcBorders>
              <w:top w:val="nil"/>
              <w:left w:val="nil"/>
              <w:bottom w:val="single" w:sz="4" w:space="0" w:color="auto"/>
              <w:right w:val="single" w:sz="4" w:space="0" w:color="auto"/>
            </w:tcBorders>
            <w:shd w:val="clear" w:color="auto" w:fill="auto"/>
            <w:vAlign w:val="center"/>
            <w:hideMark/>
          </w:tcPr>
          <w:p w14:paraId="66CB96C5" w14:textId="77777777" w:rsidR="00E50B5C" w:rsidRPr="0032635C" w:rsidRDefault="00E50B5C" w:rsidP="00E50B5C">
            <w:pPr>
              <w:jc w:val="center"/>
              <w:rPr>
                <w:i/>
                <w:iCs/>
                <w:sz w:val="20"/>
                <w:szCs w:val="20"/>
              </w:rPr>
            </w:pPr>
            <w:r w:rsidRPr="0032635C">
              <w:rPr>
                <w:i/>
                <w:iCs/>
                <w:sz w:val="20"/>
                <w:szCs w:val="20"/>
              </w:rPr>
              <w:t>По други бюджети и сметки за средства от ЕС</w:t>
            </w:r>
          </w:p>
        </w:tc>
      </w:tr>
      <w:tr w:rsidR="00E50B5C" w:rsidRPr="00E50B5C" w14:paraId="66EC2934" w14:textId="77777777" w:rsidTr="00010E75">
        <w:trPr>
          <w:trHeight w:val="375"/>
        </w:trPr>
        <w:tc>
          <w:tcPr>
            <w:tcW w:w="1116" w:type="dxa"/>
            <w:tcBorders>
              <w:top w:val="nil"/>
              <w:left w:val="single" w:sz="4" w:space="0" w:color="auto"/>
              <w:bottom w:val="single" w:sz="4" w:space="0" w:color="auto"/>
              <w:right w:val="single" w:sz="4" w:space="0" w:color="auto"/>
            </w:tcBorders>
            <w:shd w:val="clear" w:color="D9D9D9" w:fill="BFBFBF"/>
            <w:noWrap/>
            <w:vAlign w:val="bottom"/>
            <w:hideMark/>
          </w:tcPr>
          <w:p w14:paraId="3564C016" w14:textId="77777777" w:rsidR="00E50B5C" w:rsidRPr="0032635C" w:rsidRDefault="00E50B5C" w:rsidP="00E50B5C">
            <w:pPr>
              <w:spacing w:line="276" w:lineRule="auto"/>
              <w:rPr>
                <w:color w:val="000000"/>
                <w:sz w:val="20"/>
                <w:szCs w:val="20"/>
              </w:rPr>
            </w:pPr>
            <w:r w:rsidRPr="0032635C">
              <w:rPr>
                <w:color w:val="000000"/>
                <w:sz w:val="20"/>
                <w:szCs w:val="20"/>
              </w:rPr>
              <w:t>4700.00.00</w:t>
            </w:r>
          </w:p>
        </w:tc>
        <w:tc>
          <w:tcPr>
            <w:tcW w:w="2286" w:type="dxa"/>
            <w:tcBorders>
              <w:top w:val="nil"/>
              <w:left w:val="nil"/>
              <w:bottom w:val="single" w:sz="4" w:space="0" w:color="auto"/>
              <w:right w:val="single" w:sz="4" w:space="0" w:color="auto"/>
            </w:tcBorders>
            <w:shd w:val="clear" w:color="D9D9D9" w:fill="BFBFBF"/>
            <w:noWrap/>
            <w:vAlign w:val="bottom"/>
            <w:hideMark/>
          </w:tcPr>
          <w:p w14:paraId="7529DEA3" w14:textId="77777777" w:rsidR="00E50B5C" w:rsidRPr="0032635C" w:rsidRDefault="00E50B5C" w:rsidP="00E50B5C">
            <w:pPr>
              <w:jc w:val="both"/>
              <w:rPr>
                <w:b/>
                <w:bCs/>
                <w:color w:val="000000"/>
                <w:sz w:val="20"/>
                <w:szCs w:val="20"/>
              </w:rPr>
            </w:pPr>
            <w:r w:rsidRPr="0032635C">
              <w:rPr>
                <w:b/>
                <w:bCs/>
                <w:color w:val="000000"/>
                <w:sz w:val="20"/>
                <w:szCs w:val="20"/>
              </w:rPr>
              <w:t>Общо разходи</w:t>
            </w:r>
          </w:p>
        </w:tc>
        <w:tc>
          <w:tcPr>
            <w:tcW w:w="1191" w:type="dxa"/>
            <w:tcBorders>
              <w:top w:val="nil"/>
              <w:left w:val="nil"/>
              <w:bottom w:val="single" w:sz="4" w:space="0" w:color="auto"/>
              <w:right w:val="single" w:sz="4" w:space="0" w:color="auto"/>
            </w:tcBorders>
            <w:shd w:val="clear" w:color="D9D9D9" w:fill="BFBFBF"/>
            <w:noWrap/>
            <w:vAlign w:val="bottom"/>
            <w:hideMark/>
          </w:tcPr>
          <w:p w14:paraId="624EFA77" w14:textId="77777777" w:rsidR="00E50B5C" w:rsidRPr="0032635C" w:rsidRDefault="00E50B5C" w:rsidP="00E50B5C">
            <w:pPr>
              <w:jc w:val="right"/>
              <w:rPr>
                <w:color w:val="000000"/>
                <w:sz w:val="20"/>
                <w:szCs w:val="20"/>
              </w:rPr>
            </w:pPr>
            <w:r w:rsidRPr="0032635C">
              <w:rPr>
                <w:color w:val="000000"/>
                <w:sz w:val="20"/>
                <w:szCs w:val="20"/>
              </w:rPr>
              <w:t> </w:t>
            </w:r>
          </w:p>
        </w:tc>
        <w:tc>
          <w:tcPr>
            <w:tcW w:w="1134" w:type="dxa"/>
            <w:tcBorders>
              <w:top w:val="nil"/>
              <w:left w:val="nil"/>
              <w:bottom w:val="single" w:sz="4" w:space="0" w:color="auto"/>
              <w:right w:val="single" w:sz="4" w:space="0" w:color="auto"/>
            </w:tcBorders>
            <w:shd w:val="clear" w:color="D9D9D9" w:fill="BFBFBF"/>
            <w:noWrap/>
            <w:vAlign w:val="bottom"/>
            <w:hideMark/>
          </w:tcPr>
          <w:p w14:paraId="0AEB8CC3" w14:textId="77777777" w:rsidR="00E50B5C" w:rsidRPr="0032635C" w:rsidRDefault="00E50B5C" w:rsidP="00E50B5C">
            <w:pPr>
              <w:jc w:val="right"/>
              <w:rPr>
                <w:color w:val="000000"/>
                <w:sz w:val="20"/>
                <w:szCs w:val="20"/>
              </w:rPr>
            </w:pPr>
            <w:r w:rsidRPr="0032635C">
              <w:rPr>
                <w:color w:val="000000"/>
                <w:sz w:val="20"/>
                <w:szCs w:val="20"/>
              </w:rPr>
              <w:t> </w:t>
            </w:r>
          </w:p>
        </w:tc>
        <w:tc>
          <w:tcPr>
            <w:tcW w:w="1079" w:type="dxa"/>
            <w:tcBorders>
              <w:top w:val="nil"/>
              <w:left w:val="nil"/>
              <w:bottom w:val="single" w:sz="4" w:space="0" w:color="auto"/>
              <w:right w:val="single" w:sz="4" w:space="0" w:color="auto"/>
            </w:tcBorders>
            <w:shd w:val="clear" w:color="D9D9D9" w:fill="BFBFBF"/>
            <w:noWrap/>
            <w:vAlign w:val="bottom"/>
            <w:hideMark/>
          </w:tcPr>
          <w:p w14:paraId="0983CD0A" w14:textId="77777777" w:rsidR="00E50B5C" w:rsidRPr="0032635C" w:rsidRDefault="00E50B5C" w:rsidP="00E50B5C">
            <w:pPr>
              <w:jc w:val="right"/>
              <w:rPr>
                <w:color w:val="000000"/>
                <w:sz w:val="20"/>
                <w:szCs w:val="20"/>
              </w:rPr>
            </w:pPr>
            <w:r w:rsidRPr="0032635C">
              <w:rPr>
                <w:color w:val="000000"/>
                <w:sz w:val="20"/>
                <w:szCs w:val="20"/>
              </w:rPr>
              <w:t> </w:t>
            </w:r>
          </w:p>
        </w:tc>
        <w:tc>
          <w:tcPr>
            <w:tcW w:w="1301" w:type="dxa"/>
            <w:tcBorders>
              <w:top w:val="nil"/>
              <w:left w:val="nil"/>
              <w:bottom w:val="single" w:sz="4" w:space="0" w:color="auto"/>
              <w:right w:val="single" w:sz="4" w:space="0" w:color="auto"/>
            </w:tcBorders>
            <w:shd w:val="clear" w:color="D9D9D9" w:fill="BFBFBF"/>
            <w:noWrap/>
            <w:vAlign w:val="bottom"/>
            <w:hideMark/>
          </w:tcPr>
          <w:p w14:paraId="205DB4F4" w14:textId="77777777" w:rsidR="00E50B5C" w:rsidRPr="0032635C" w:rsidRDefault="00E50B5C" w:rsidP="00E50B5C">
            <w:pPr>
              <w:jc w:val="right"/>
              <w:rPr>
                <w:color w:val="000000"/>
                <w:sz w:val="20"/>
                <w:szCs w:val="20"/>
              </w:rPr>
            </w:pPr>
            <w:r w:rsidRPr="0032635C">
              <w:rPr>
                <w:color w:val="000000"/>
                <w:sz w:val="20"/>
                <w:szCs w:val="20"/>
              </w:rPr>
              <w:t> </w:t>
            </w:r>
          </w:p>
        </w:tc>
        <w:tc>
          <w:tcPr>
            <w:tcW w:w="1164" w:type="dxa"/>
            <w:tcBorders>
              <w:top w:val="nil"/>
              <w:left w:val="nil"/>
              <w:bottom w:val="single" w:sz="4" w:space="0" w:color="auto"/>
              <w:right w:val="single" w:sz="4" w:space="0" w:color="auto"/>
            </w:tcBorders>
            <w:shd w:val="clear" w:color="D9D9D9" w:fill="BFBFBF"/>
            <w:noWrap/>
            <w:vAlign w:val="bottom"/>
            <w:hideMark/>
          </w:tcPr>
          <w:p w14:paraId="45F3B095" w14:textId="77777777" w:rsidR="00E50B5C" w:rsidRPr="0032635C" w:rsidRDefault="00E50B5C" w:rsidP="00E50B5C">
            <w:pPr>
              <w:jc w:val="right"/>
              <w:rPr>
                <w:color w:val="000000"/>
                <w:sz w:val="20"/>
                <w:szCs w:val="20"/>
              </w:rPr>
            </w:pPr>
            <w:r w:rsidRPr="0032635C">
              <w:rPr>
                <w:color w:val="000000"/>
                <w:sz w:val="20"/>
                <w:szCs w:val="20"/>
              </w:rPr>
              <w:t> </w:t>
            </w:r>
          </w:p>
        </w:tc>
        <w:tc>
          <w:tcPr>
            <w:tcW w:w="1079" w:type="dxa"/>
            <w:tcBorders>
              <w:top w:val="nil"/>
              <w:left w:val="nil"/>
              <w:bottom w:val="single" w:sz="4" w:space="0" w:color="auto"/>
              <w:right w:val="single" w:sz="4" w:space="0" w:color="auto"/>
            </w:tcBorders>
            <w:shd w:val="clear" w:color="D9D9D9" w:fill="BFBFBF"/>
            <w:noWrap/>
            <w:vAlign w:val="bottom"/>
            <w:hideMark/>
          </w:tcPr>
          <w:p w14:paraId="30CA29F5" w14:textId="77777777" w:rsidR="00E50B5C" w:rsidRPr="0032635C" w:rsidRDefault="00E50B5C" w:rsidP="00E50B5C">
            <w:pPr>
              <w:jc w:val="right"/>
              <w:rPr>
                <w:color w:val="000000"/>
                <w:sz w:val="20"/>
                <w:szCs w:val="20"/>
              </w:rPr>
            </w:pPr>
            <w:r w:rsidRPr="0032635C">
              <w:rPr>
                <w:color w:val="000000"/>
                <w:sz w:val="20"/>
                <w:szCs w:val="20"/>
              </w:rPr>
              <w:t> </w:t>
            </w:r>
          </w:p>
        </w:tc>
        <w:tc>
          <w:tcPr>
            <w:tcW w:w="990" w:type="dxa"/>
            <w:tcBorders>
              <w:top w:val="nil"/>
              <w:left w:val="nil"/>
              <w:bottom w:val="single" w:sz="4" w:space="0" w:color="auto"/>
              <w:right w:val="single" w:sz="4" w:space="0" w:color="auto"/>
            </w:tcBorders>
            <w:shd w:val="clear" w:color="D9D9D9" w:fill="BFBFBF"/>
            <w:noWrap/>
            <w:vAlign w:val="bottom"/>
            <w:hideMark/>
          </w:tcPr>
          <w:p w14:paraId="56B87013" w14:textId="77777777" w:rsidR="00E50B5C" w:rsidRPr="0032635C" w:rsidRDefault="00E50B5C" w:rsidP="00E50B5C">
            <w:pPr>
              <w:jc w:val="right"/>
              <w:rPr>
                <w:color w:val="000000"/>
                <w:sz w:val="20"/>
                <w:szCs w:val="20"/>
              </w:rPr>
            </w:pPr>
            <w:r w:rsidRPr="0032635C">
              <w:rPr>
                <w:color w:val="000000"/>
                <w:sz w:val="20"/>
                <w:szCs w:val="20"/>
              </w:rPr>
              <w:t> </w:t>
            </w:r>
          </w:p>
        </w:tc>
        <w:tc>
          <w:tcPr>
            <w:tcW w:w="993" w:type="dxa"/>
            <w:tcBorders>
              <w:top w:val="nil"/>
              <w:left w:val="nil"/>
              <w:bottom w:val="single" w:sz="4" w:space="0" w:color="auto"/>
              <w:right w:val="single" w:sz="4" w:space="0" w:color="auto"/>
            </w:tcBorders>
            <w:shd w:val="clear" w:color="D9D9D9" w:fill="BFBFBF"/>
            <w:noWrap/>
            <w:vAlign w:val="bottom"/>
            <w:hideMark/>
          </w:tcPr>
          <w:p w14:paraId="7CB05B18" w14:textId="77777777" w:rsidR="00E50B5C" w:rsidRPr="0032635C" w:rsidRDefault="00E50B5C" w:rsidP="00E50B5C">
            <w:pPr>
              <w:jc w:val="right"/>
              <w:rPr>
                <w:color w:val="000000"/>
                <w:sz w:val="20"/>
                <w:szCs w:val="20"/>
              </w:rPr>
            </w:pPr>
            <w:r w:rsidRPr="0032635C">
              <w:rPr>
                <w:color w:val="000000"/>
                <w:sz w:val="20"/>
                <w:szCs w:val="20"/>
              </w:rPr>
              <w:t> </w:t>
            </w:r>
          </w:p>
        </w:tc>
        <w:tc>
          <w:tcPr>
            <w:tcW w:w="1086" w:type="dxa"/>
            <w:tcBorders>
              <w:top w:val="nil"/>
              <w:left w:val="nil"/>
              <w:bottom w:val="single" w:sz="4" w:space="0" w:color="auto"/>
              <w:right w:val="single" w:sz="4" w:space="0" w:color="auto"/>
            </w:tcBorders>
            <w:shd w:val="clear" w:color="D9D9D9" w:fill="BFBFBF"/>
            <w:noWrap/>
            <w:vAlign w:val="bottom"/>
            <w:hideMark/>
          </w:tcPr>
          <w:p w14:paraId="14A3B1E4" w14:textId="77777777" w:rsidR="00E50B5C" w:rsidRPr="0032635C" w:rsidRDefault="00E50B5C" w:rsidP="00E50B5C">
            <w:pPr>
              <w:jc w:val="right"/>
              <w:rPr>
                <w:color w:val="000000"/>
                <w:sz w:val="20"/>
                <w:szCs w:val="20"/>
              </w:rPr>
            </w:pPr>
            <w:r w:rsidRPr="0032635C">
              <w:rPr>
                <w:color w:val="000000"/>
                <w:sz w:val="20"/>
                <w:szCs w:val="20"/>
              </w:rPr>
              <w:t> </w:t>
            </w:r>
          </w:p>
        </w:tc>
      </w:tr>
      <w:tr w:rsidR="00E50B5C" w:rsidRPr="00E50B5C" w14:paraId="40549539" w14:textId="77777777" w:rsidTr="00010E75">
        <w:trPr>
          <w:trHeight w:val="1125"/>
        </w:trPr>
        <w:tc>
          <w:tcPr>
            <w:tcW w:w="1116" w:type="dxa"/>
            <w:tcBorders>
              <w:top w:val="nil"/>
              <w:left w:val="single" w:sz="4" w:space="0" w:color="auto"/>
              <w:bottom w:val="single" w:sz="4" w:space="0" w:color="auto"/>
              <w:right w:val="single" w:sz="4" w:space="0" w:color="auto"/>
            </w:tcBorders>
            <w:shd w:val="clear" w:color="E6E6E6" w:fill="D9D9D9"/>
            <w:noWrap/>
            <w:vAlign w:val="center"/>
            <w:hideMark/>
          </w:tcPr>
          <w:p w14:paraId="0CF5A4A2" w14:textId="77777777" w:rsidR="00E50B5C" w:rsidRPr="0032635C" w:rsidRDefault="00E50B5C" w:rsidP="00E50B5C">
            <w:pPr>
              <w:spacing w:line="276" w:lineRule="auto"/>
              <w:rPr>
                <w:color w:val="000000"/>
                <w:sz w:val="20"/>
                <w:szCs w:val="20"/>
              </w:rPr>
            </w:pPr>
            <w:r w:rsidRPr="0032635C">
              <w:rPr>
                <w:color w:val="000000"/>
                <w:sz w:val="20"/>
                <w:szCs w:val="20"/>
              </w:rPr>
              <w:t>4700.01.00</w:t>
            </w:r>
          </w:p>
        </w:tc>
        <w:tc>
          <w:tcPr>
            <w:tcW w:w="2286" w:type="dxa"/>
            <w:tcBorders>
              <w:top w:val="nil"/>
              <w:left w:val="nil"/>
              <w:bottom w:val="single" w:sz="4" w:space="0" w:color="auto"/>
              <w:right w:val="single" w:sz="4" w:space="0" w:color="auto"/>
            </w:tcBorders>
            <w:shd w:val="clear" w:color="E6E6E6" w:fill="D9D9D9"/>
            <w:vAlign w:val="center"/>
            <w:hideMark/>
          </w:tcPr>
          <w:p w14:paraId="46B98E2D" w14:textId="77777777" w:rsidR="00E50B5C" w:rsidRPr="0032635C" w:rsidRDefault="00E50B5C" w:rsidP="00E50B5C">
            <w:pPr>
              <w:rPr>
                <w:b/>
                <w:bCs/>
                <w:color w:val="000000"/>
                <w:sz w:val="20"/>
                <w:szCs w:val="20"/>
              </w:rPr>
            </w:pPr>
            <w:r w:rsidRPr="0032635C">
              <w:rPr>
                <w:b/>
                <w:bCs/>
                <w:color w:val="000000"/>
                <w:sz w:val="20"/>
                <w:szCs w:val="20"/>
              </w:rPr>
              <w:t>Функционална област: "Регулация и надзор на небанковия финансов сектор"</w:t>
            </w:r>
          </w:p>
        </w:tc>
        <w:tc>
          <w:tcPr>
            <w:tcW w:w="1191" w:type="dxa"/>
            <w:tcBorders>
              <w:top w:val="nil"/>
              <w:left w:val="nil"/>
              <w:bottom w:val="single" w:sz="4" w:space="0" w:color="auto"/>
              <w:right w:val="single" w:sz="4" w:space="0" w:color="auto"/>
            </w:tcBorders>
            <w:shd w:val="clear" w:color="E6E6E6" w:fill="D9D9D9"/>
            <w:noWrap/>
            <w:vAlign w:val="center"/>
            <w:hideMark/>
          </w:tcPr>
          <w:p w14:paraId="57903E72" w14:textId="77777777" w:rsidR="00E50B5C" w:rsidRPr="0032635C" w:rsidRDefault="00E50B5C" w:rsidP="00E50B5C">
            <w:pPr>
              <w:jc w:val="right"/>
              <w:rPr>
                <w:color w:val="000000"/>
                <w:sz w:val="20"/>
                <w:szCs w:val="20"/>
              </w:rPr>
            </w:pPr>
            <w:r w:rsidRPr="0032635C">
              <w:rPr>
                <w:color w:val="000000"/>
                <w:sz w:val="20"/>
                <w:szCs w:val="20"/>
              </w:rPr>
              <w:t>10 889 386</w:t>
            </w:r>
          </w:p>
        </w:tc>
        <w:tc>
          <w:tcPr>
            <w:tcW w:w="1134" w:type="dxa"/>
            <w:tcBorders>
              <w:top w:val="nil"/>
              <w:left w:val="nil"/>
              <w:bottom w:val="single" w:sz="4" w:space="0" w:color="auto"/>
              <w:right w:val="single" w:sz="4" w:space="0" w:color="auto"/>
            </w:tcBorders>
            <w:shd w:val="clear" w:color="E6E6E6" w:fill="D9D9D9"/>
            <w:noWrap/>
            <w:vAlign w:val="center"/>
            <w:hideMark/>
          </w:tcPr>
          <w:p w14:paraId="53B87D0B" w14:textId="77777777" w:rsidR="00E50B5C" w:rsidRPr="0032635C" w:rsidRDefault="00E50B5C" w:rsidP="00E50B5C">
            <w:pPr>
              <w:jc w:val="right"/>
              <w:rPr>
                <w:color w:val="000000"/>
                <w:sz w:val="20"/>
                <w:szCs w:val="20"/>
              </w:rPr>
            </w:pPr>
            <w:r w:rsidRPr="0032635C">
              <w:rPr>
                <w:color w:val="000000"/>
                <w:sz w:val="20"/>
                <w:szCs w:val="20"/>
              </w:rPr>
              <w:t>10 889 386</w:t>
            </w:r>
          </w:p>
        </w:tc>
        <w:tc>
          <w:tcPr>
            <w:tcW w:w="1079" w:type="dxa"/>
            <w:tcBorders>
              <w:top w:val="nil"/>
              <w:left w:val="nil"/>
              <w:bottom w:val="single" w:sz="4" w:space="0" w:color="auto"/>
              <w:right w:val="single" w:sz="4" w:space="0" w:color="auto"/>
            </w:tcBorders>
            <w:shd w:val="clear" w:color="E6E6E6" w:fill="D9D9D9"/>
            <w:noWrap/>
            <w:vAlign w:val="center"/>
            <w:hideMark/>
          </w:tcPr>
          <w:p w14:paraId="67A202D5" w14:textId="77777777" w:rsidR="00E50B5C" w:rsidRPr="0032635C" w:rsidRDefault="00E50B5C" w:rsidP="00E50B5C">
            <w:pPr>
              <w:jc w:val="right"/>
              <w:rPr>
                <w:color w:val="000000"/>
                <w:sz w:val="20"/>
                <w:szCs w:val="20"/>
              </w:rPr>
            </w:pPr>
            <w:r w:rsidRPr="0032635C">
              <w:rPr>
                <w:color w:val="000000"/>
                <w:sz w:val="20"/>
                <w:szCs w:val="20"/>
              </w:rPr>
              <w:t>0</w:t>
            </w:r>
          </w:p>
        </w:tc>
        <w:tc>
          <w:tcPr>
            <w:tcW w:w="1301" w:type="dxa"/>
            <w:tcBorders>
              <w:top w:val="nil"/>
              <w:left w:val="nil"/>
              <w:bottom w:val="single" w:sz="4" w:space="0" w:color="auto"/>
              <w:right w:val="single" w:sz="4" w:space="0" w:color="auto"/>
            </w:tcBorders>
            <w:shd w:val="clear" w:color="E6E6E6" w:fill="D9D9D9"/>
            <w:noWrap/>
            <w:vAlign w:val="center"/>
            <w:hideMark/>
          </w:tcPr>
          <w:p w14:paraId="4D539E8A" w14:textId="77777777" w:rsidR="00E50B5C" w:rsidRPr="0032635C" w:rsidRDefault="00E50B5C" w:rsidP="00E50B5C">
            <w:pPr>
              <w:jc w:val="right"/>
              <w:rPr>
                <w:color w:val="000000"/>
                <w:sz w:val="20"/>
                <w:szCs w:val="20"/>
              </w:rPr>
            </w:pPr>
            <w:r w:rsidRPr="0032635C">
              <w:rPr>
                <w:color w:val="000000"/>
                <w:sz w:val="20"/>
                <w:szCs w:val="20"/>
              </w:rPr>
              <w:t>10 889 386</w:t>
            </w:r>
          </w:p>
        </w:tc>
        <w:tc>
          <w:tcPr>
            <w:tcW w:w="1164" w:type="dxa"/>
            <w:tcBorders>
              <w:top w:val="nil"/>
              <w:left w:val="nil"/>
              <w:bottom w:val="single" w:sz="4" w:space="0" w:color="auto"/>
              <w:right w:val="single" w:sz="4" w:space="0" w:color="auto"/>
            </w:tcBorders>
            <w:shd w:val="clear" w:color="E6E6E6" w:fill="D9D9D9"/>
            <w:noWrap/>
            <w:vAlign w:val="center"/>
            <w:hideMark/>
          </w:tcPr>
          <w:p w14:paraId="1BF5E2F6" w14:textId="77777777" w:rsidR="00E50B5C" w:rsidRPr="0032635C" w:rsidRDefault="00E50B5C" w:rsidP="00E50B5C">
            <w:pPr>
              <w:jc w:val="right"/>
              <w:rPr>
                <w:color w:val="000000"/>
                <w:sz w:val="20"/>
                <w:szCs w:val="20"/>
              </w:rPr>
            </w:pPr>
            <w:r w:rsidRPr="0032635C">
              <w:rPr>
                <w:color w:val="000000"/>
                <w:sz w:val="20"/>
                <w:szCs w:val="20"/>
              </w:rPr>
              <w:t>10 889 386</w:t>
            </w:r>
          </w:p>
        </w:tc>
        <w:tc>
          <w:tcPr>
            <w:tcW w:w="1079" w:type="dxa"/>
            <w:tcBorders>
              <w:top w:val="nil"/>
              <w:left w:val="nil"/>
              <w:bottom w:val="single" w:sz="4" w:space="0" w:color="auto"/>
              <w:right w:val="single" w:sz="4" w:space="0" w:color="auto"/>
            </w:tcBorders>
            <w:shd w:val="clear" w:color="E6E6E6" w:fill="D9D9D9"/>
            <w:noWrap/>
            <w:vAlign w:val="center"/>
            <w:hideMark/>
          </w:tcPr>
          <w:p w14:paraId="4310AE24" w14:textId="77777777" w:rsidR="00E50B5C" w:rsidRPr="0032635C" w:rsidRDefault="00E50B5C" w:rsidP="00E50B5C">
            <w:pPr>
              <w:jc w:val="right"/>
              <w:rPr>
                <w:color w:val="000000"/>
                <w:sz w:val="20"/>
                <w:szCs w:val="20"/>
              </w:rPr>
            </w:pPr>
            <w:r w:rsidRPr="0032635C">
              <w:rPr>
                <w:color w:val="000000"/>
                <w:sz w:val="20"/>
                <w:szCs w:val="20"/>
              </w:rPr>
              <w:t>0</w:t>
            </w:r>
          </w:p>
        </w:tc>
        <w:tc>
          <w:tcPr>
            <w:tcW w:w="990" w:type="dxa"/>
            <w:tcBorders>
              <w:top w:val="nil"/>
              <w:left w:val="nil"/>
              <w:bottom w:val="single" w:sz="4" w:space="0" w:color="auto"/>
              <w:right w:val="single" w:sz="4" w:space="0" w:color="auto"/>
            </w:tcBorders>
            <w:shd w:val="clear" w:color="E6E6E6" w:fill="D9D9D9"/>
            <w:noWrap/>
            <w:vAlign w:val="center"/>
            <w:hideMark/>
          </w:tcPr>
          <w:p w14:paraId="71F56C73" w14:textId="77777777" w:rsidR="00E50B5C" w:rsidRPr="0032635C" w:rsidRDefault="00E50B5C" w:rsidP="00E50B5C">
            <w:pPr>
              <w:jc w:val="right"/>
              <w:rPr>
                <w:color w:val="000000"/>
                <w:sz w:val="20"/>
                <w:szCs w:val="20"/>
              </w:rPr>
            </w:pPr>
            <w:r w:rsidRPr="0032635C">
              <w:rPr>
                <w:color w:val="000000"/>
                <w:sz w:val="20"/>
                <w:szCs w:val="20"/>
              </w:rPr>
              <w:t>0</w:t>
            </w:r>
          </w:p>
        </w:tc>
        <w:tc>
          <w:tcPr>
            <w:tcW w:w="993" w:type="dxa"/>
            <w:tcBorders>
              <w:top w:val="nil"/>
              <w:left w:val="nil"/>
              <w:bottom w:val="single" w:sz="4" w:space="0" w:color="auto"/>
              <w:right w:val="single" w:sz="4" w:space="0" w:color="auto"/>
            </w:tcBorders>
            <w:shd w:val="clear" w:color="E6E6E6" w:fill="D9D9D9"/>
            <w:noWrap/>
            <w:vAlign w:val="center"/>
            <w:hideMark/>
          </w:tcPr>
          <w:p w14:paraId="6F4E5BA7" w14:textId="77777777" w:rsidR="00E50B5C" w:rsidRPr="0032635C" w:rsidRDefault="00E50B5C" w:rsidP="00E50B5C">
            <w:pPr>
              <w:jc w:val="right"/>
              <w:rPr>
                <w:color w:val="000000"/>
                <w:sz w:val="20"/>
                <w:szCs w:val="20"/>
              </w:rPr>
            </w:pPr>
            <w:r w:rsidRPr="0032635C">
              <w:rPr>
                <w:color w:val="000000"/>
                <w:sz w:val="20"/>
                <w:szCs w:val="20"/>
              </w:rPr>
              <w:t>0</w:t>
            </w:r>
          </w:p>
        </w:tc>
        <w:tc>
          <w:tcPr>
            <w:tcW w:w="1086" w:type="dxa"/>
            <w:tcBorders>
              <w:top w:val="nil"/>
              <w:left w:val="nil"/>
              <w:bottom w:val="single" w:sz="4" w:space="0" w:color="auto"/>
              <w:right w:val="single" w:sz="4" w:space="0" w:color="auto"/>
            </w:tcBorders>
            <w:shd w:val="clear" w:color="E6E6E6" w:fill="D9D9D9"/>
            <w:noWrap/>
            <w:vAlign w:val="center"/>
            <w:hideMark/>
          </w:tcPr>
          <w:p w14:paraId="2C1F1AD1" w14:textId="77777777" w:rsidR="00E50B5C" w:rsidRPr="0032635C" w:rsidRDefault="00E50B5C" w:rsidP="00E50B5C">
            <w:pPr>
              <w:jc w:val="right"/>
              <w:rPr>
                <w:color w:val="000000"/>
                <w:sz w:val="20"/>
                <w:szCs w:val="20"/>
              </w:rPr>
            </w:pPr>
            <w:r w:rsidRPr="0032635C">
              <w:rPr>
                <w:color w:val="000000"/>
                <w:sz w:val="20"/>
                <w:szCs w:val="20"/>
              </w:rPr>
              <w:t>0</w:t>
            </w:r>
          </w:p>
        </w:tc>
      </w:tr>
      <w:tr w:rsidR="00E50B5C" w:rsidRPr="00E50B5C" w14:paraId="3B43B784" w14:textId="77777777" w:rsidTr="00010E75">
        <w:trPr>
          <w:trHeight w:val="1125"/>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07ED889F" w14:textId="77777777" w:rsidR="00E50B5C" w:rsidRPr="0032635C" w:rsidRDefault="00E50B5C" w:rsidP="00E50B5C">
            <w:pPr>
              <w:spacing w:line="276" w:lineRule="auto"/>
              <w:rPr>
                <w:color w:val="000000"/>
                <w:sz w:val="20"/>
                <w:szCs w:val="20"/>
              </w:rPr>
            </w:pPr>
            <w:r w:rsidRPr="0032635C">
              <w:rPr>
                <w:color w:val="000000"/>
                <w:sz w:val="20"/>
                <w:szCs w:val="20"/>
              </w:rPr>
              <w:t>4700.01.01</w:t>
            </w:r>
          </w:p>
        </w:tc>
        <w:tc>
          <w:tcPr>
            <w:tcW w:w="2286" w:type="dxa"/>
            <w:tcBorders>
              <w:top w:val="nil"/>
              <w:left w:val="nil"/>
              <w:bottom w:val="single" w:sz="4" w:space="0" w:color="auto"/>
              <w:right w:val="single" w:sz="4" w:space="0" w:color="auto"/>
            </w:tcBorders>
            <w:shd w:val="clear" w:color="auto" w:fill="auto"/>
            <w:vAlign w:val="center"/>
            <w:hideMark/>
          </w:tcPr>
          <w:p w14:paraId="3E9EF83B" w14:textId="77777777" w:rsidR="00E50B5C" w:rsidRPr="0032635C" w:rsidRDefault="00E50B5C" w:rsidP="00E50B5C">
            <w:pPr>
              <w:rPr>
                <w:color w:val="000000"/>
                <w:sz w:val="20"/>
                <w:szCs w:val="20"/>
              </w:rPr>
            </w:pPr>
            <w:r w:rsidRPr="0032635C">
              <w:rPr>
                <w:color w:val="000000"/>
                <w:sz w:val="20"/>
                <w:szCs w:val="20"/>
              </w:rPr>
              <w:t>Бюджетна програма: "Подобряване на регулацията и надзора на небанковия финансов сектор"</w:t>
            </w:r>
          </w:p>
        </w:tc>
        <w:tc>
          <w:tcPr>
            <w:tcW w:w="1191" w:type="dxa"/>
            <w:tcBorders>
              <w:top w:val="nil"/>
              <w:left w:val="nil"/>
              <w:bottom w:val="single" w:sz="4" w:space="0" w:color="auto"/>
              <w:right w:val="single" w:sz="4" w:space="0" w:color="auto"/>
            </w:tcBorders>
            <w:shd w:val="clear" w:color="auto" w:fill="auto"/>
            <w:noWrap/>
            <w:vAlign w:val="center"/>
            <w:hideMark/>
          </w:tcPr>
          <w:p w14:paraId="73A5B94F" w14:textId="77777777" w:rsidR="00E50B5C" w:rsidRPr="0032635C" w:rsidRDefault="00E50B5C" w:rsidP="00E50B5C">
            <w:pPr>
              <w:jc w:val="right"/>
              <w:rPr>
                <w:color w:val="000000"/>
                <w:sz w:val="20"/>
                <w:szCs w:val="20"/>
              </w:rPr>
            </w:pPr>
            <w:r w:rsidRPr="0032635C">
              <w:rPr>
                <w:color w:val="000000"/>
                <w:sz w:val="20"/>
                <w:szCs w:val="20"/>
              </w:rPr>
              <w:t>10 889 386</w:t>
            </w:r>
          </w:p>
        </w:tc>
        <w:tc>
          <w:tcPr>
            <w:tcW w:w="1134" w:type="dxa"/>
            <w:tcBorders>
              <w:top w:val="nil"/>
              <w:left w:val="nil"/>
              <w:bottom w:val="single" w:sz="4" w:space="0" w:color="auto"/>
              <w:right w:val="single" w:sz="4" w:space="0" w:color="auto"/>
            </w:tcBorders>
            <w:shd w:val="clear" w:color="auto" w:fill="auto"/>
            <w:noWrap/>
            <w:vAlign w:val="center"/>
            <w:hideMark/>
          </w:tcPr>
          <w:p w14:paraId="37C30FA6" w14:textId="77777777" w:rsidR="00E50B5C" w:rsidRPr="0032635C" w:rsidRDefault="00E50B5C" w:rsidP="00E50B5C">
            <w:pPr>
              <w:jc w:val="right"/>
              <w:rPr>
                <w:color w:val="000000"/>
                <w:sz w:val="20"/>
                <w:szCs w:val="20"/>
              </w:rPr>
            </w:pPr>
            <w:r w:rsidRPr="0032635C">
              <w:rPr>
                <w:color w:val="000000"/>
                <w:sz w:val="20"/>
                <w:szCs w:val="20"/>
              </w:rPr>
              <w:t>10 889 386</w:t>
            </w:r>
          </w:p>
        </w:tc>
        <w:tc>
          <w:tcPr>
            <w:tcW w:w="1079" w:type="dxa"/>
            <w:tcBorders>
              <w:top w:val="nil"/>
              <w:left w:val="nil"/>
              <w:bottom w:val="single" w:sz="4" w:space="0" w:color="auto"/>
              <w:right w:val="single" w:sz="4" w:space="0" w:color="auto"/>
            </w:tcBorders>
            <w:shd w:val="clear" w:color="auto" w:fill="auto"/>
            <w:noWrap/>
            <w:vAlign w:val="center"/>
            <w:hideMark/>
          </w:tcPr>
          <w:p w14:paraId="513C2833" w14:textId="77777777" w:rsidR="00E50B5C" w:rsidRPr="0032635C" w:rsidRDefault="00E50B5C" w:rsidP="00E50B5C">
            <w:pPr>
              <w:jc w:val="right"/>
              <w:rPr>
                <w:color w:val="000000"/>
                <w:sz w:val="20"/>
                <w:szCs w:val="20"/>
              </w:rPr>
            </w:pPr>
            <w:r w:rsidRPr="0032635C">
              <w:rPr>
                <w:color w:val="000000"/>
                <w:sz w:val="20"/>
                <w:szCs w:val="20"/>
              </w:rPr>
              <w:t>0</w:t>
            </w:r>
          </w:p>
        </w:tc>
        <w:tc>
          <w:tcPr>
            <w:tcW w:w="1301" w:type="dxa"/>
            <w:tcBorders>
              <w:top w:val="nil"/>
              <w:left w:val="nil"/>
              <w:bottom w:val="single" w:sz="4" w:space="0" w:color="auto"/>
              <w:right w:val="single" w:sz="4" w:space="0" w:color="auto"/>
            </w:tcBorders>
            <w:shd w:val="clear" w:color="E6E6E6" w:fill="D9D9D9"/>
            <w:noWrap/>
            <w:vAlign w:val="center"/>
            <w:hideMark/>
          </w:tcPr>
          <w:p w14:paraId="0BDEFEA7" w14:textId="77777777" w:rsidR="00E50B5C" w:rsidRPr="0032635C" w:rsidRDefault="00E50B5C" w:rsidP="00E50B5C">
            <w:pPr>
              <w:jc w:val="right"/>
              <w:rPr>
                <w:color w:val="000000"/>
                <w:sz w:val="20"/>
                <w:szCs w:val="20"/>
              </w:rPr>
            </w:pPr>
            <w:r w:rsidRPr="0032635C">
              <w:rPr>
                <w:color w:val="000000"/>
                <w:sz w:val="20"/>
                <w:szCs w:val="20"/>
              </w:rPr>
              <w:t>10 889 386</w:t>
            </w:r>
          </w:p>
        </w:tc>
        <w:tc>
          <w:tcPr>
            <w:tcW w:w="1164" w:type="dxa"/>
            <w:tcBorders>
              <w:top w:val="nil"/>
              <w:left w:val="nil"/>
              <w:bottom w:val="single" w:sz="4" w:space="0" w:color="auto"/>
              <w:right w:val="single" w:sz="4" w:space="0" w:color="auto"/>
            </w:tcBorders>
            <w:shd w:val="clear" w:color="E6E6E6" w:fill="D9D9D9"/>
            <w:noWrap/>
            <w:vAlign w:val="center"/>
            <w:hideMark/>
          </w:tcPr>
          <w:p w14:paraId="04DC0325" w14:textId="77777777" w:rsidR="00E50B5C" w:rsidRPr="0032635C" w:rsidRDefault="00E50B5C" w:rsidP="00E50B5C">
            <w:pPr>
              <w:jc w:val="right"/>
              <w:rPr>
                <w:color w:val="000000"/>
                <w:sz w:val="20"/>
                <w:szCs w:val="20"/>
              </w:rPr>
            </w:pPr>
            <w:r w:rsidRPr="0032635C">
              <w:rPr>
                <w:color w:val="000000"/>
                <w:sz w:val="20"/>
                <w:szCs w:val="20"/>
              </w:rPr>
              <w:t>10 889 386</w:t>
            </w:r>
          </w:p>
        </w:tc>
        <w:tc>
          <w:tcPr>
            <w:tcW w:w="1079" w:type="dxa"/>
            <w:tcBorders>
              <w:top w:val="nil"/>
              <w:left w:val="nil"/>
              <w:bottom w:val="single" w:sz="4" w:space="0" w:color="auto"/>
              <w:right w:val="single" w:sz="4" w:space="0" w:color="auto"/>
            </w:tcBorders>
            <w:shd w:val="clear" w:color="E6E6E6" w:fill="D9D9D9"/>
            <w:noWrap/>
            <w:vAlign w:val="center"/>
            <w:hideMark/>
          </w:tcPr>
          <w:p w14:paraId="077157F2" w14:textId="77777777" w:rsidR="00E50B5C" w:rsidRPr="0032635C" w:rsidRDefault="00E50B5C" w:rsidP="00E50B5C">
            <w:pPr>
              <w:jc w:val="right"/>
              <w:rPr>
                <w:color w:val="000000"/>
                <w:sz w:val="20"/>
                <w:szCs w:val="20"/>
              </w:rPr>
            </w:pPr>
            <w:r w:rsidRPr="0032635C">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2247868E" w14:textId="77777777" w:rsidR="00E50B5C" w:rsidRPr="0032635C" w:rsidRDefault="00E50B5C" w:rsidP="00E50B5C">
            <w:pPr>
              <w:jc w:val="right"/>
              <w:rPr>
                <w:color w:val="000000"/>
                <w:sz w:val="20"/>
                <w:szCs w:val="20"/>
              </w:rPr>
            </w:pPr>
            <w:r w:rsidRPr="0032635C">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14:paraId="2D01AC6F" w14:textId="77777777" w:rsidR="00E50B5C" w:rsidRPr="0032635C" w:rsidRDefault="00E50B5C" w:rsidP="00E50B5C">
            <w:pPr>
              <w:jc w:val="right"/>
              <w:rPr>
                <w:color w:val="000000"/>
                <w:sz w:val="20"/>
                <w:szCs w:val="20"/>
              </w:rPr>
            </w:pPr>
            <w:r w:rsidRPr="0032635C">
              <w:rPr>
                <w:color w:val="000000"/>
                <w:sz w:val="20"/>
                <w:szCs w:val="20"/>
              </w:rPr>
              <w:t>0</w:t>
            </w:r>
          </w:p>
        </w:tc>
        <w:tc>
          <w:tcPr>
            <w:tcW w:w="1086" w:type="dxa"/>
            <w:tcBorders>
              <w:top w:val="nil"/>
              <w:left w:val="nil"/>
              <w:bottom w:val="single" w:sz="4" w:space="0" w:color="auto"/>
              <w:right w:val="single" w:sz="4" w:space="0" w:color="auto"/>
            </w:tcBorders>
            <w:shd w:val="clear" w:color="auto" w:fill="auto"/>
            <w:noWrap/>
            <w:vAlign w:val="center"/>
            <w:hideMark/>
          </w:tcPr>
          <w:p w14:paraId="3440F6AA" w14:textId="77777777" w:rsidR="00E50B5C" w:rsidRPr="0032635C" w:rsidRDefault="00E50B5C" w:rsidP="00E50B5C">
            <w:pPr>
              <w:jc w:val="right"/>
              <w:rPr>
                <w:color w:val="000000"/>
                <w:sz w:val="20"/>
                <w:szCs w:val="20"/>
              </w:rPr>
            </w:pPr>
            <w:r w:rsidRPr="0032635C">
              <w:rPr>
                <w:color w:val="000000"/>
                <w:sz w:val="20"/>
                <w:szCs w:val="20"/>
              </w:rPr>
              <w:t>0</w:t>
            </w:r>
          </w:p>
        </w:tc>
      </w:tr>
      <w:tr w:rsidR="00E50B5C" w:rsidRPr="00E50B5C" w14:paraId="5DFAA05D" w14:textId="77777777" w:rsidTr="00010E75">
        <w:trPr>
          <w:trHeight w:val="375"/>
        </w:trPr>
        <w:tc>
          <w:tcPr>
            <w:tcW w:w="13419" w:type="dxa"/>
            <w:gridSpan w:val="11"/>
            <w:tcBorders>
              <w:top w:val="nil"/>
              <w:left w:val="nil"/>
              <w:bottom w:val="nil"/>
              <w:right w:val="nil"/>
            </w:tcBorders>
            <w:shd w:val="clear" w:color="auto" w:fill="auto"/>
            <w:noWrap/>
            <w:vAlign w:val="center"/>
          </w:tcPr>
          <w:p w14:paraId="2FE4220A" w14:textId="77777777" w:rsidR="00E50B5C" w:rsidRPr="0032635C" w:rsidRDefault="00E50B5C" w:rsidP="00E50B5C">
            <w:pPr>
              <w:spacing w:line="276" w:lineRule="auto"/>
            </w:pPr>
          </w:p>
        </w:tc>
      </w:tr>
    </w:tbl>
    <w:p w14:paraId="72E6FB9B" w14:textId="6B5E14E7" w:rsidR="00E50B5C" w:rsidRPr="00E50B5C" w:rsidRDefault="00E50B5C" w:rsidP="00E50B5C">
      <w:pPr>
        <w:spacing w:line="276" w:lineRule="auto"/>
        <w:ind w:firstLine="720"/>
        <w:jc w:val="both"/>
        <w:rPr>
          <w:szCs w:val="32"/>
          <w:lang w:val="en-US"/>
        </w:rPr>
      </w:pPr>
    </w:p>
    <w:p w14:paraId="63E9C3DC" w14:textId="77777777" w:rsidR="00C40531" w:rsidRPr="00173B81" w:rsidRDefault="00C40531" w:rsidP="00C40531">
      <w:pPr>
        <w:spacing w:line="276" w:lineRule="auto"/>
        <w:jc w:val="both"/>
        <w:rPr>
          <w:szCs w:val="32"/>
          <w:lang w:val="ru-RU"/>
        </w:rPr>
        <w:sectPr w:rsidR="00C40531" w:rsidRPr="00173B81" w:rsidSect="00C40531">
          <w:pgSz w:w="15840" w:h="12240" w:orient="landscape" w:code="1"/>
          <w:pgMar w:top="1418" w:right="1418" w:bottom="1418" w:left="1418" w:header="709" w:footer="709" w:gutter="0"/>
          <w:cols w:space="708"/>
          <w:docGrid w:linePitch="360"/>
        </w:sectPr>
      </w:pPr>
    </w:p>
    <w:p w14:paraId="1A0BC97D" w14:textId="77777777" w:rsidR="001A61F9" w:rsidRPr="000E41A7" w:rsidRDefault="001A61F9" w:rsidP="001A61F9">
      <w:pPr>
        <w:keepNext/>
        <w:keepLines/>
        <w:spacing w:before="200"/>
        <w:outlineLvl w:val="1"/>
        <w:rPr>
          <w:rFonts w:eastAsiaTheme="majorEastAsia" w:cstheme="majorBidi"/>
          <w:b/>
          <w:bCs/>
          <w:color w:val="5B9BD5" w:themeColor="accent1"/>
          <w:sz w:val="26"/>
          <w:szCs w:val="26"/>
        </w:rPr>
      </w:pPr>
      <w:bookmarkStart w:id="9" w:name="_Toc206148615"/>
      <w:r w:rsidRPr="000E41A7">
        <w:rPr>
          <w:rFonts w:eastAsiaTheme="majorEastAsia" w:cstheme="majorBidi"/>
          <w:b/>
          <w:bCs/>
          <w:color w:val="5B9BD5" w:themeColor="accent1"/>
          <w:sz w:val="26"/>
          <w:szCs w:val="26"/>
        </w:rPr>
        <w:lastRenderedPageBreak/>
        <w:t>Финансиране на консолидираните разходи</w:t>
      </w:r>
      <w:bookmarkEnd w:id="9"/>
    </w:p>
    <w:p w14:paraId="513D820C" w14:textId="77777777" w:rsidR="001A61F9" w:rsidRPr="000E41A7" w:rsidRDefault="001A61F9" w:rsidP="001A61F9"/>
    <w:p w14:paraId="3FB2E4B2" w14:textId="77777777" w:rsidR="001A61F9" w:rsidRPr="0032635C" w:rsidRDefault="001A61F9" w:rsidP="001A61F9">
      <w:pPr>
        <w:spacing w:line="276" w:lineRule="auto"/>
        <w:ind w:firstLine="720"/>
        <w:jc w:val="both"/>
        <w:rPr>
          <w:szCs w:val="32"/>
        </w:rPr>
      </w:pPr>
      <w:r w:rsidRPr="0032635C">
        <w:rPr>
          <w:szCs w:val="32"/>
        </w:rPr>
        <w:t>Финансирането на разходите по бюджетната програма е както следва:</w:t>
      </w:r>
    </w:p>
    <w:p w14:paraId="4CFC4E70" w14:textId="77777777" w:rsidR="001A61F9" w:rsidRPr="0032635C" w:rsidRDefault="001A61F9" w:rsidP="001A61F9">
      <w:pPr>
        <w:spacing w:line="276" w:lineRule="auto"/>
        <w:ind w:left="720" w:right="-28"/>
        <w:jc w:val="center"/>
        <w:rPr>
          <w:rFonts w:cs="Arial"/>
          <w:b/>
        </w:rPr>
      </w:pPr>
    </w:p>
    <w:p w14:paraId="065A0D5C" w14:textId="77777777" w:rsidR="001A61F9" w:rsidRPr="0032635C" w:rsidRDefault="001A61F9" w:rsidP="001A61F9">
      <w:pPr>
        <w:rPr>
          <w:b/>
        </w:rPr>
      </w:pPr>
      <w:r w:rsidRPr="0032635C">
        <w:rPr>
          <w:b/>
        </w:rPr>
        <w:t>Приложение № 3 – Финансиране на консолидираните разходи</w:t>
      </w:r>
    </w:p>
    <w:p w14:paraId="47BF40C3" w14:textId="77777777" w:rsidR="001A61F9" w:rsidRPr="0032635C" w:rsidRDefault="001A61F9" w:rsidP="001A61F9">
      <w:pPr>
        <w:keepNext/>
        <w:keepLines/>
        <w:spacing w:before="40"/>
        <w:outlineLvl w:val="2"/>
        <w:rPr>
          <w:rFonts w:eastAsiaTheme="majorEastAsia"/>
          <w:b/>
        </w:rPr>
      </w:pPr>
    </w:p>
    <w:tbl>
      <w:tblPr>
        <w:tblW w:w="9493" w:type="dxa"/>
        <w:jc w:val="center"/>
        <w:tblLook w:val="04A0" w:firstRow="1" w:lastRow="0" w:firstColumn="1" w:lastColumn="0" w:noHBand="0" w:noVBand="1"/>
      </w:tblPr>
      <w:tblGrid>
        <w:gridCol w:w="5098"/>
        <w:gridCol w:w="1418"/>
        <w:gridCol w:w="1417"/>
        <w:gridCol w:w="1560"/>
      </w:tblGrid>
      <w:tr w:rsidR="00C05FC5" w:rsidRPr="0032635C" w14:paraId="6B700244" w14:textId="77777777" w:rsidTr="00010E75">
        <w:trPr>
          <w:trHeight w:val="852"/>
          <w:jc w:val="center"/>
        </w:trPr>
        <w:tc>
          <w:tcPr>
            <w:tcW w:w="5098" w:type="dxa"/>
            <w:tcBorders>
              <w:top w:val="single" w:sz="4" w:space="0" w:color="auto"/>
              <w:left w:val="single" w:sz="4" w:space="0" w:color="auto"/>
              <w:bottom w:val="single" w:sz="4" w:space="0" w:color="auto"/>
              <w:right w:val="single" w:sz="4" w:space="0" w:color="auto"/>
            </w:tcBorders>
            <w:shd w:val="clear" w:color="D9D9D9" w:fill="E6E6E6"/>
            <w:vAlign w:val="center"/>
            <w:hideMark/>
          </w:tcPr>
          <w:p w14:paraId="67606268" w14:textId="77777777" w:rsidR="00C05FC5" w:rsidRPr="0032635C" w:rsidRDefault="00C05FC5" w:rsidP="00010E75">
            <w:pPr>
              <w:jc w:val="center"/>
              <w:rPr>
                <w:b/>
                <w:bCs/>
              </w:rPr>
            </w:pPr>
            <w:r w:rsidRPr="0032635C">
              <w:rPr>
                <w:b/>
                <w:bCs/>
              </w:rPr>
              <w:t>Финансиране на консолидираните разходи, обхванати в програмния бюджет</w:t>
            </w:r>
            <w:r w:rsidRPr="0032635C">
              <w:rPr>
                <w:b/>
                <w:bCs/>
              </w:rPr>
              <w:br/>
              <w:t>(в лева)</w:t>
            </w:r>
          </w:p>
        </w:tc>
        <w:tc>
          <w:tcPr>
            <w:tcW w:w="1418" w:type="dxa"/>
            <w:tcBorders>
              <w:top w:val="single" w:sz="4" w:space="0" w:color="auto"/>
              <w:left w:val="nil"/>
              <w:bottom w:val="single" w:sz="4" w:space="0" w:color="auto"/>
              <w:right w:val="single" w:sz="4" w:space="0" w:color="auto"/>
            </w:tcBorders>
            <w:shd w:val="clear" w:color="D9D9D9" w:fill="E6E6E6"/>
            <w:noWrap/>
            <w:vAlign w:val="center"/>
            <w:hideMark/>
          </w:tcPr>
          <w:p w14:paraId="77AC1502" w14:textId="77777777" w:rsidR="00C05FC5" w:rsidRPr="0032635C" w:rsidRDefault="00C05FC5" w:rsidP="00010E75">
            <w:pPr>
              <w:jc w:val="center"/>
              <w:rPr>
                <w:b/>
                <w:bCs/>
              </w:rPr>
            </w:pPr>
            <w:r w:rsidRPr="0032635C">
              <w:rPr>
                <w:b/>
                <w:bCs/>
              </w:rPr>
              <w:t>Закон</w:t>
            </w:r>
          </w:p>
        </w:tc>
        <w:tc>
          <w:tcPr>
            <w:tcW w:w="1417" w:type="dxa"/>
            <w:tcBorders>
              <w:top w:val="single" w:sz="4" w:space="0" w:color="auto"/>
              <w:left w:val="nil"/>
              <w:bottom w:val="single" w:sz="4" w:space="0" w:color="auto"/>
              <w:right w:val="single" w:sz="4" w:space="0" w:color="auto"/>
            </w:tcBorders>
            <w:shd w:val="clear" w:color="D9D9D9" w:fill="E6E6E6"/>
            <w:vAlign w:val="center"/>
            <w:hideMark/>
          </w:tcPr>
          <w:p w14:paraId="1FAED6C7" w14:textId="77777777" w:rsidR="00C05FC5" w:rsidRPr="0032635C" w:rsidRDefault="00C05FC5" w:rsidP="00010E75">
            <w:pPr>
              <w:jc w:val="center"/>
              <w:rPr>
                <w:b/>
                <w:bCs/>
              </w:rPr>
            </w:pPr>
            <w:r w:rsidRPr="0032635C">
              <w:rPr>
                <w:b/>
                <w:bCs/>
              </w:rPr>
              <w:t>Уточнен план</w:t>
            </w:r>
          </w:p>
        </w:tc>
        <w:tc>
          <w:tcPr>
            <w:tcW w:w="1560" w:type="dxa"/>
            <w:tcBorders>
              <w:top w:val="single" w:sz="4" w:space="0" w:color="auto"/>
              <w:left w:val="nil"/>
              <w:bottom w:val="single" w:sz="4" w:space="0" w:color="auto"/>
              <w:right w:val="single" w:sz="4" w:space="0" w:color="auto"/>
            </w:tcBorders>
            <w:shd w:val="clear" w:color="D9D9D9" w:fill="E6E6E6"/>
            <w:noWrap/>
            <w:vAlign w:val="center"/>
            <w:hideMark/>
          </w:tcPr>
          <w:p w14:paraId="11725D3F" w14:textId="77777777" w:rsidR="00C05FC5" w:rsidRPr="0032635C" w:rsidRDefault="00C05FC5" w:rsidP="00010E75">
            <w:pPr>
              <w:jc w:val="center"/>
              <w:rPr>
                <w:b/>
                <w:bCs/>
              </w:rPr>
            </w:pPr>
            <w:r w:rsidRPr="0032635C">
              <w:rPr>
                <w:b/>
                <w:bCs/>
              </w:rPr>
              <w:t>Отчет</w:t>
            </w:r>
          </w:p>
        </w:tc>
      </w:tr>
      <w:tr w:rsidR="00C05FC5" w:rsidRPr="0032635C" w14:paraId="63403B46" w14:textId="77777777" w:rsidTr="00010E75">
        <w:trPr>
          <w:trHeight w:val="375"/>
          <w:jc w:val="center"/>
        </w:trPr>
        <w:tc>
          <w:tcPr>
            <w:tcW w:w="5098" w:type="dxa"/>
            <w:tcBorders>
              <w:top w:val="nil"/>
              <w:left w:val="single" w:sz="4" w:space="0" w:color="auto"/>
              <w:bottom w:val="single" w:sz="4" w:space="0" w:color="auto"/>
              <w:right w:val="single" w:sz="4" w:space="0" w:color="auto"/>
            </w:tcBorders>
            <w:shd w:val="clear" w:color="D9D9D9" w:fill="E6E6E6"/>
            <w:noWrap/>
            <w:vAlign w:val="bottom"/>
            <w:hideMark/>
          </w:tcPr>
          <w:p w14:paraId="4313D660" w14:textId="77777777" w:rsidR="00C05FC5" w:rsidRPr="0032635C" w:rsidRDefault="00C05FC5" w:rsidP="00010E75">
            <w:pPr>
              <w:jc w:val="both"/>
              <w:rPr>
                <w:b/>
                <w:bCs/>
              </w:rPr>
            </w:pPr>
            <w:r w:rsidRPr="0032635C">
              <w:rPr>
                <w:b/>
                <w:bCs/>
              </w:rPr>
              <w:t>Общо консолидирани разходи:</w:t>
            </w:r>
          </w:p>
        </w:tc>
        <w:tc>
          <w:tcPr>
            <w:tcW w:w="1418" w:type="dxa"/>
            <w:tcBorders>
              <w:top w:val="nil"/>
              <w:left w:val="nil"/>
              <w:bottom w:val="single" w:sz="4" w:space="0" w:color="auto"/>
              <w:right w:val="single" w:sz="4" w:space="0" w:color="auto"/>
            </w:tcBorders>
            <w:shd w:val="clear" w:color="D9D9D9" w:fill="E6E6E6"/>
            <w:noWrap/>
            <w:vAlign w:val="center"/>
            <w:hideMark/>
          </w:tcPr>
          <w:p w14:paraId="6B13FB76" w14:textId="77777777" w:rsidR="00C05FC5" w:rsidRPr="0032635C" w:rsidRDefault="00C05FC5" w:rsidP="00010E75">
            <w:pPr>
              <w:jc w:val="right"/>
            </w:pPr>
            <w:r w:rsidRPr="0032635C">
              <w:t>28 038 300</w:t>
            </w:r>
          </w:p>
        </w:tc>
        <w:tc>
          <w:tcPr>
            <w:tcW w:w="1417" w:type="dxa"/>
            <w:tcBorders>
              <w:top w:val="nil"/>
              <w:left w:val="nil"/>
              <w:bottom w:val="single" w:sz="4" w:space="0" w:color="auto"/>
              <w:right w:val="single" w:sz="4" w:space="0" w:color="auto"/>
            </w:tcBorders>
            <w:shd w:val="clear" w:color="D9D9D9" w:fill="E6E6E6"/>
            <w:noWrap/>
            <w:vAlign w:val="center"/>
            <w:hideMark/>
          </w:tcPr>
          <w:p w14:paraId="78A2CEDB" w14:textId="77777777" w:rsidR="00C05FC5" w:rsidRPr="0032635C" w:rsidRDefault="00C05FC5" w:rsidP="00010E75">
            <w:pPr>
              <w:jc w:val="right"/>
            </w:pPr>
            <w:r w:rsidRPr="0032635C">
              <w:t>28 038 300</w:t>
            </w:r>
          </w:p>
        </w:tc>
        <w:tc>
          <w:tcPr>
            <w:tcW w:w="1560" w:type="dxa"/>
            <w:tcBorders>
              <w:top w:val="nil"/>
              <w:left w:val="nil"/>
              <w:bottom w:val="single" w:sz="4" w:space="0" w:color="auto"/>
              <w:right w:val="single" w:sz="4" w:space="0" w:color="auto"/>
            </w:tcBorders>
            <w:shd w:val="clear" w:color="D9D9D9" w:fill="E6E6E6"/>
            <w:noWrap/>
            <w:vAlign w:val="center"/>
            <w:hideMark/>
          </w:tcPr>
          <w:p w14:paraId="18E6A477" w14:textId="77777777" w:rsidR="00C05FC5" w:rsidRPr="0032635C" w:rsidRDefault="00C05FC5" w:rsidP="00010E75">
            <w:pPr>
              <w:jc w:val="center"/>
            </w:pPr>
            <w:r w:rsidRPr="0032635C">
              <w:t>10 889 386</w:t>
            </w:r>
          </w:p>
        </w:tc>
      </w:tr>
      <w:tr w:rsidR="00C05FC5" w:rsidRPr="0032635C" w14:paraId="2FCC1666" w14:textId="77777777" w:rsidTr="00010E75">
        <w:trPr>
          <w:trHeight w:val="375"/>
          <w:jc w:val="center"/>
        </w:trPr>
        <w:tc>
          <w:tcPr>
            <w:tcW w:w="5098" w:type="dxa"/>
            <w:tcBorders>
              <w:top w:val="nil"/>
              <w:left w:val="single" w:sz="4" w:space="0" w:color="auto"/>
              <w:bottom w:val="single" w:sz="4" w:space="0" w:color="auto"/>
              <w:right w:val="single" w:sz="4" w:space="0" w:color="auto"/>
            </w:tcBorders>
            <w:shd w:val="clear" w:color="D9D9D9" w:fill="E6E6E6"/>
            <w:noWrap/>
            <w:vAlign w:val="bottom"/>
            <w:hideMark/>
          </w:tcPr>
          <w:p w14:paraId="322EE8A9" w14:textId="77777777" w:rsidR="00C05FC5" w:rsidRPr="0032635C" w:rsidRDefault="00C05FC5" w:rsidP="00010E75">
            <w:pPr>
              <w:jc w:val="both"/>
              <w:rPr>
                <w:b/>
                <w:bCs/>
              </w:rPr>
            </w:pPr>
            <w:r w:rsidRPr="0032635C">
              <w:rPr>
                <w:b/>
                <w:bCs/>
              </w:rPr>
              <w:t>Общо финансиране:</w:t>
            </w:r>
          </w:p>
        </w:tc>
        <w:tc>
          <w:tcPr>
            <w:tcW w:w="1418" w:type="dxa"/>
            <w:tcBorders>
              <w:top w:val="nil"/>
              <w:left w:val="nil"/>
              <w:bottom w:val="single" w:sz="4" w:space="0" w:color="auto"/>
              <w:right w:val="single" w:sz="4" w:space="0" w:color="auto"/>
            </w:tcBorders>
            <w:shd w:val="clear" w:color="D9D9D9" w:fill="E6E6E6"/>
            <w:noWrap/>
            <w:vAlign w:val="center"/>
            <w:hideMark/>
          </w:tcPr>
          <w:p w14:paraId="4CA07B61" w14:textId="77777777" w:rsidR="00C05FC5" w:rsidRPr="0032635C" w:rsidRDefault="00C05FC5" w:rsidP="00010E75">
            <w:pPr>
              <w:jc w:val="right"/>
            </w:pPr>
            <w:r w:rsidRPr="0032635C">
              <w:t>28 038 300</w:t>
            </w:r>
          </w:p>
        </w:tc>
        <w:tc>
          <w:tcPr>
            <w:tcW w:w="1417" w:type="dxa"/>
            <w:tcBorders>
              <w:top w:val="nil"/>
              <w:left w:val="nil"/>
              <w:bottom w:val="single" w:sz="4" w:space="0" w:color="auto"/>
              <w:right w:val="single" w:sz="4" w:space="0" w:color="auto"/>
            </w:tcBorders>
            <w:shd w:val="clear" w:color="D9D9D9" w:fill="E6E6E6"/>
            <w:noWrap/>
            <w:vAlign w:val="center"/>
            <w:hideMark/>
          </w:tcPr>
          <w:p w14:paraId="43AA05DD" w14:textId="77777777" w:rsidR="00C05FC5" w:rsidRPr="0032635C" w:rsidRDefault="00C05FC5" w:rsidP="00010E75">
            <w:pPr>
              <w:jc w:val="right"/>
            </w:pPr>
            <w:r w:rsidRPr="0032635C">
              <w:t>28 038 300</w:t>
            </w:r>
          </w:p>
        </w:tc>
        <w:tc>
          <w:tcPr>
            <w:tcW w:w="1560" w:type="dxa"/>
            <w:tcBorders>
              <w:top w:val="nil"/>
              <w:left w:val="nil"/>
              <w:bottom w:val="single" w:sz="4" w:space="0" w:color="auto"/>
              <w:right w:val="single" w:sz="4" w:space="0" w:color="auto"/>
            </w:tcBorders>
            <w:shd w:val="clear" w:color="D9D9D9" w:fill="E6E6E6"/>
            <w:noWrap/>
            <w:vAlign w:val="center"/>
            <w:hideMark/>
          </w:tcPr>
          <w:p w14:paraId="6CAFD004" w14:textId="77777777" w:rsidR="00C05FC5" w:rsidRPr="0032635C" w:rsidRDefault="00C05FC5" w:rsidP="00010E75">
            <w:pPr>
              <w:jc w:val="center"/>
            </w:pPr>
            <w:r w:rsidRPr="0032635C">
              <w:t>10 889 386</w:t>
            </w:r>
          </w:p>
        </w:tc>
      </w:tr>
      <w:tr w:rsidR="00C05FC5" w:rsidRPr="0032635C" w14:paraId="62BE6951" w14:textId="77777777" w:rsidTr="00010E75">
        <w:trPr>
          <w:trHeight w:val="375"/>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3842517" w14:textId="77777777" w:rsidR="00C05FC5" w:rsidRPr="0032635C" w:rsidRDefault="00C05FC5" w:rsidP="00010E75">
            <w:pPr>
              <w:jc w:val="both"/>
              <w:rPr>
                <w:b/>
                <w:bCs/>
              </w:rPr>
            </w:pPr>
            <w:r w:rsidRPr="0032635C">
              <w:rPr>
                <w:b/>
                <w:bCs/>
              </w:rPr>
              <w:t xml:space="preserve">   От бюджета на ПРБ</w:t>
            </w:r>
          </w:p>
        </w:tc>
        <w:tc>
          <w:tcPr>
            <w:tcW w:w="1418" w:type="dxa"/>
            <w:tcBorders>
              <w:top w:val="nil"/>
              <w:left w:val="nil"/>
              <w:bottom w:val="single" w:sz="4" w:space="0" w:color="auto"/>
              <w:right w:val="single" w:sz="4" w:space="0" w:color="auto"/>
            </w:tcBorders>
            <w:shd w:val="clear" w:color="auto" w:fill="auto"/>
            <w:noWrap/>
            <w:vAlign w:val="center"/>
            <w:hideMark/>
          </w:tcPr>
          <w:p w14:paraId="3F8FBB9F" w14:textId="77777777" w:rsidR="00C05FC5" w:rsidRPr="0032635C" w:rsidRDefault="00C05FC5" w:rsidP="00010E75">
            <w:pPr>
              <w:jc w:val="right"/>
            </w:pPr>
            <w:r w:rsidRPr="0032635C">
              <w:t>28 038 300</w:t>
            </w:r>
          </w:p>
        </w:tc>
        <w:tc>
          <w:tcPr>
            <w:tcW w:w="1417" w:type="dxa"/>
            <w:tcBorders>
              <w:top w:val="nil"/>
              <w:left w:val="nil"/>
              <w:bottom w:val="single" w:sz="4" w:space="0" w:color="auto"/>
              <w:right w:val="single" w:sz="4" w:space="0" w:color="auto"/>
            </w:tcBorders>
            <w:shd w:val="clear" w:color="auto" w:fill="auto"/>
            <w:noWrap/>
            <w:vAlign w:val="center"/>
            <w:hideMark/>
          </w:tcPr>
          <w:p w14:paraId="081D9B8E" w14:textId="77777777" w:rsidR="00C05FC5" w:rsidRPr="0032635C" w:rsidRDefault="00C05FC5" w:rsidP="00010E75">
            <w:pPr>
              <w:jc w:val="right"/>
            </w:pPr>
            <w:r w:rsidRPr="0032635C">
              <w:t>28 038 300</w:t>
            </w:r>
          </w:p>
        </w:tc>
        <w:tc>
          <w:tcPr>
            <w:tcW w:w="1560" w:type="dxa"/>
            <w:tcBorders>
              <w:top w:val="nil"/>
              <w:left w:val="nil"/>
              <w:bottom w:val="single" w:sz="4" w:space="0" w:color="auto"/>
              <w:right w:val="single" w:sz="4" w:space="0" w:color="auto"/>
            </w:tcBorders>
            <w:shd w:val="clear" w:color="auto" w:fill="auto"/>
            <w:noWrap/>
            <w:vAlign w:val="center"/>
            <w:hideMark/>
          </w:tcPr>
          <w:p w14:paraId="72E5536D" w14:textId="77777777" w:rsidR="00C05FC5" w:rsidRPr="0032635C" w:rsidRDefault="00C05FC5" w:rsidP="00010E75">
            <w:pPr>
              <w:jc w:val="center"/>
            </w:pPr>
            <w:r w:rsidRPr="0032635C">
              <w:rPr>
                <w:color w:val="000000"/>
              </w:rPr>
              <w:t>10 889 386</w:t>
            </w:r>
          </w:p>
        </w:tc>
      </w:tr>
      <w:tr w:rsidR="00C05FC5" w:rsidRPr="0032635C" w14:paraId="0A76EE7D" w14:textId="77777777" w:rsidTr="00010E75">
        <w:trPr>
          <w:trHeight w:val="375"/>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3DDB37D8" w14:textId="77777777" w:rsidR="00C05FC5" w:rsidRPr="0032635C" w:rsidRDefault="00C05FC5" w:rsidP="00010E75">
            <w:pPr>
              <w:jc w:val="both"/>
              <w:rPr>
                <w:b/>
                <w:bCs/>
              </w:rPr>
            </w:pPr>
            <w:r w:rsidRPr="0032635C">
              <w:rPr>
                <w:b/>
                <w:bCs/>
              </w:rPr>
              <w:t xml:space="preserve">   От други бюджети и сметки за средства от ЕС, в т.ч. от:</w:t>
            </w:r>
          </w:p>
        </w:tc>
        <w:tc>
          <w:tcPr>
            <w:tcW w:w="1418" w:type="dxa"/>
            <w:tcBorders>
              <w:top w:val="nil"/>
              <w:left w:val="nil"/>
              <w:bottom w:val="single" w:sz="4" w:space="0" w:color="auto"/>
              <w:right w:val="single" w:sz="4" w:space="0" w:color="auto"/>
            </w:tcBorders>
            <w:shd w:val="clear" w:color="auto" w:fill="auto"/>
            <w:noWrap/>
            <w:vAlign w:val="center"/>
            <w:hideMark/>
          </w:tcPr>
          <w:p w14:paraId="1DFA3722" w14:textId="77777777" w:rsidR="00C05FC5" w:rsidRPr="0032635C" w:rsidRDefault="00C05FC5" w:rsidP="00010E75">
            <w:pPr>
              <w:jc w:val="right"/>
            </w:pPr>
          </w:p>
        </w:tc>
        <w:tc>
          <w:tcPr>
            <w:tcW w:w="1417" w:type="dxa"/>
            <w:tcBorders>
              <w:top w:val="nil"/>
              <w:left w:val="nil"/>
              <w:bottom w:val="single" w:sz="4" w:space="0" w:color="auto"/>
              <w:right w:val="single" w:sz="4" w:space="0" w:color="auto"/>
            </w:tcBorders>
            <w:shd w:val="clear" w:color="auto" w:fill="auto"/>
            <w:noWrap/>
            <w:vAlign w:val="center"/>
            <w:hideMark/>
          </w:tcPr>
          <w:p w14:paraId="2321C8C7" w14:textId="77777777" w:rsidR="00C05FC5" w:rsidRPr="0032635C" w:rsidRDefault="00C05FC5" w:rsidP="00010E75">
            <w:pPr>
              <w:jc w:val="right"/>
            </w:pPr>
            <w:r w:rsidRPr="0032635C">
              <w:t>  </w:t>
            </w:r>
          </w:p>
        </w:tc>
        <w:tc>
          <w:tcPr>
            <w:tcW w:w="1560" w:type="dxa"/>
            <w:tcBorders>
              <w:top w:val="nil"/>
              <w:left w:val="nil"/>
              <w:bottom w:val="single" w:sz="4" w:space="0" w:color="auto"/>
              <w:right w:val="single" w:sz="4" w:space="0" w:color="auto"/>
            </w:tcBorders>
            <w:shd w:val="clear" w:color="auto" w:fill="auto"/>
            <w:noWrap/>
            <w:vAlign w:val="center"/>
            <w:hideMark/>
          </w:tcPr>
          <w:p w14:paraId="62204153" w14:textId="77777777" w:rsidR="00C05FC5" w:rsidRPr="0032635C" w:rsidRDefault="00C05FC5" w:rsidP="00010E75">
            <w:pPr>
              <w:jc w:val="center"/>
            </w:pPr>
          </w:p>
        </w:tc>
      </w:tr>
      <w:tr w:rsidR="00C05FC5" w:rsidRPr="0032635C" w14:paraId="25A878CD" w14:textId="77777777" w:rsidTr="00010E75">
        <w:trPr>
          <w:trHeight w:val="311"/>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0FA7E304" w14:textId="77777777" w:rsidR="00C05FC5" w:rsidRPr="0032635C" w:rsidRDefault="00C05FC5" w:rsidP="00010E75">
            <w:r w:rsidRPr="0032635C">
              <w:t>Централен бюджет, в т.ч.:</w:t>
            </w:r>
          </w:p>
        </w:tc>
        <w:tc>
          <w:tcPr>
            <w:tcW w:w="1418" w:type="dxa"/>
            <w:tcBorders>
              <w:top w:val="nil"/>
              <w:left w:val="nil"/>
              <w:bottom w:val="single" w:sz="4" w:space="0" w:color="auto"/>
              <w:right w:val="single" w:sz="4" w:space="0" w:color="auto"/>
            </w:tcBorders>
            <w:shd w:val="clear" w:color="auto" w:fill="auto"/>
            <w:noWrap/>
            <w:vAlign w:val="center"/>
            <w:hideMark/>
          </w:tcPr>
          <w:p w14:paraId="36BCCD5F" w14:textId="77777777" w:rsidR="00C05FC5" w:rsidRPr="0032635C" w:rsidRDefault="00C05FC5" w:rsidP="00010E75">
            <w:pPr>
              <w:jc w:val="both"/>
            </w:pPr>
            <w:r w:rsidRPr="0032635C">
              <w:t> </w:t>
            </w:r>
          </w:p>
        </w:tc>
        <w:tc>
          <w:tcPr>
            <w:tcW w:w="1417" w:type="dxa"/>
            <w:tcBorders>
              <w:top w:val="nil"/>
              <w:left w:val="nil"/>
              <w:bottom w:val="single" w:sz="4" w:space="0" w:color="auto"/>
              <w:right w:val="single" w:sz="4" w:space="0" w:color="auto"/>
            </w:tcBorders>
            <w:shd w:val="clear" w:color="auto" w:fill="auto"/>
            <w:noWrap/>
            <w:vAlign w:val="center"/>
            <w:hideMark/>
          </w:tcPr>
          <w:p w14:paraId="041F82D7" w14:textId="77777777" w:rsidR="00C05FC5" w:rsidRPr="0032635C" w:rsidRDefault="00C05FC5" w:rsidP="00010E75">
            <w:pPr>
              <w:jc w:val="both"/>
            </w:pPr>
            <w:r w:rsidRPr="0032635C">
              <w:t> </w:t>
            </w:r>
          </w:p>
        </w:tc>
        <w:tc>
          <w:tcPr>
            <w:tcW w:w="1560" w:type="dxa"/>
            <w:tcBorders>
              <w:top w:val="nil"/>
              <w:left w:val="nil"/>
              <w:bottom w:val="single" w:sz="4" w:space="0" w:color="auto"/>
              <w:right w:val="single" w:sz="4" w:space="0" w:color="auto"/>
            </w:tcBorders>
            <w:shd w:val="clear" w:color="auto" w:fill="auto"/>
            <w:noWrap/>
            <w:vAlign w:val="center"/>
            <w:hideMark/>
          </w:tcPr>
          <w:p w14:paraId="47EB36F7" w14:textId="77777777" w:rsidR="00C05FC5" w:rsidRPr="0032635C" w:rsidRDefault="00C05FC5" w:rsidP="00010E75">
            <w:pPr>
              <w:jc w:val="center"/>
            </w:pPr>
          </w:p>
        </w:tc>
      </w:tr>
      <w:tr w:rsidR="00C05FC5" w:rsidRPr="0032635C" w14:paraId="0D89E7A2" w14:textId="77777777" w:rsidTr="00010E75">
        <w:trPr>
          <w:trHeight w:val="273"/>
          <w:jc w:val="center"/>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4B2F067F" w14:textId="52E36E9C" w:rsidR="00C05FC5" w:rsidRPr="0032635C" w:rsidRDefault="00C05FC5" w:rsidP="00010E75">
            <w:r w:rsidRPr="0032635C">
              <w:t>Държавни инвестиционни заеми</w:t>
            </w:r>
          </w:p>
        </w:tc>
        <w:tc>
          <w:tcPr>
            <w:tcW w:w="1418" w:type="dxa"/>
            <w:tcBorders>
              <w:top w:val="nil"/>
              <w:left w:val="nil"/>
              <w:bottom w:val="single" w:sz="4" w:space="0" w:color="auto"/>
              <w:right w:val="single" w:sz="4" w:space="0" w:color="auto"/>
            </w:tcBorders>
            <w:shd w:val="clear" w:color="auto" w:fill="auto"/>
            <w:noWrap/>
            <w:vAlign w:val="center"/>
            <w:hideMark/>
          </w:tcPr>
          <w:p w14:paraId="66190E8D" w14:textId="77777777" w:rsidR="00C05FC5" w:rsidRPr="0032635C" w:rsidRDefault="00C05FC5" w:rsidP="00010E75">
            <w:pPr>
              <w:jc w:val="both"/>
            </w:pPr>
            <w:r w:rsidRPr="0032635C">
              <w:t> </w:t>
            </w:r>
          </w:p>
        </w:tc>
        <w:tc>
          <w:tcPr>
            <w:tcW w:w="1417" w:type="dxa"/>
            <w:tcBorders>
              <w:top w:val="nil"/>
              <w:left w:val="nil"/>
              <w:bottom w:val="single" w:sz="4" w:space="0" w:color="auto"/>
              <w:right w:val="single" w:sz="4" w:space="0" w:color="auto"/>
            </w:tcBorders>
            <w:shd w:val="clear" w:color="auto" w:fill="auto"/>
            <w:noWrap/>
            <w:vAlign w:val="center"/>
            <w:hideMark/>
          </w:tcPr>
          <w:p w14:paraId="6A501DF2" w14:textId="77777777" w:rsidR="00C05FC5" w:rsidRPr="0032635C" w:rsidRDefault="00C05FC5" w:rsidP="00010E75">
            <w:pPr>
              <w:jc w:val="both"/>
            </w:pPr>
            <w:r w:rsidRPr="0032635C">
              <w:t> </w:t>
            </w:r>
          </w:p>
        </w:tc>
        <w:tc>
          <w:tcPr>
            <w:tcW w:w="1560" w:type="dxa"/>
            <w:tcBorders>
              <w:top w:val="nil"/>
              <w:left w:val="nil"/>
              <w:bottom w:val="single" w:sz="4" w:space="0" w:color="auto"/>
              <w:right w:val="single" w:sz="4" w:space="0" w:color="auto"/>
            </w:tcBorders>
            <w:shd w:val="clear" w:color="auto" w:fill="auto"/>
            <w:noWrap/>
            <w:vAlign w:val="center"/>
            <w:hideMark/>
          </w:tcPr>
          <w:p w14:paraId="1E99CE3E" w14:textId="77777777" w:rsidR="00C05FC5" w:rsidRPr="0032635C" w:rsidRDefault="00C05FC5" w:rsidP="00010E75">
            <w:pPr>
              <w:jc w:val="center"/>
            </w:pPr>
          </w:p>
        </w:tc>
      </w:tr>
      <w:tr w:rsidR="00C05FC5" w:rsidRPr="0032635C" w14:paraId="3C941C62" w14:textId="77777777" w:rsidTr="00010E75">
        <w:trPr>
          <w:trHeight w:val="375"/>
          <w:jc w:val="center"/>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7E87F3C9" w14:textId="77777777" w:rsidR="00C05FC5" w:rsidRPr="0032635C" w:rsidRDefault="00C05FC5" w:rsidP="00010E75">
            <w:r w:rsidRPr="0032635C">
              <w:t>Сметки за средства от ЕС (ССЕС на НФ и на ДФЗ)</w:t>
            </w:r>
          </w:p>
        </w:tc>
        <w:tc>
          <w:tcPr>
            <w:tcW w:w="1418" w:type="dxa"/>
            <w:tcBorders>
              <w:top w:val="nil"/>
              <w:left w:val="nil"/>
              <w:bottom w:val="single" w:sz="4" w:space="0" w:color="auto"/>
              <w:right w:val="single" w:sz="4" w:space="0" w:color="auto"/>
            </w:tcBorders>
            <w:shd w:val="clear" w:color="auto" w:fill="auto"/>
            <w:noWrap/>
            <w:vAlign w:val="center"/>
            <w:hideMark/>
          </w:tcPr>
          <w:p w14:paraId="40A0603A" w14:textId="77777777" w:rsidR="00C05FC5" w:rsidRPr="0032635C" w:rsidRDefault="00C05FC5" w:rsidP="00010E75">
            <w:pPr>
              <w:jc w:val="both"/>
            </w:pPr>
            <w:r w:rsidRPr="0032635C">
              <w:t> </w:t>
            </w:r>
          </w:p>
        </w:tc>
        <w:tc>
          <w:tcPr>
            <w:tcW w:w="1417" w:type="dxa"/>
            <w:tcBorders>
              <w:top w:val="nil"/>
              <w:left w:val="nil"/>
              <w:bottom w:val="single" w:sz="4" w:space="0" w:color="auto"/>
              <w:right w:val="single" w:sz="4" w:space="0" w:color="auto"/>
            </w:tcBorders>
            <w:shd w:val="clear" w:color="auto" w:fill="auto"/>
            <w:noWrap/>
            <w:vAlign w:val="center"/>
            <w:hideMark/>
          </w:tcPr>
          <w:p w14:paraId="639874CC" w14:textId="77777777" w:rsidR="00C05FC5" w:rsidRPr="0032635C" w:rsidRDefault="00C05FC5" w:rsidP="00010E75">
            <w:pPr>
              <w:jc w:val="both"/>
            </w:pPr>
            <w:r w:rsidRPr="0032635C">
              <w:t> </w:t>
            </w:r>
          </w:p>
        </w:tc>
        <w:tc>
          <w:tcPr>
            <w:tcW w:w="1560" w:type="dxa"/>
            <w:tcBorders>
              <w:top w:val="nil"/>
              <w:left w:val="nil"/>
              <w:bottom w:val="single" w:sz="4" w:space="0" w:color="auto"/>
              <w:right w:val="single" w:sz="4" w:space="0" w:color="auto"/>
            </w:tcBorders>
            <w:shd w:val="clear" w:color="auto" w:fill="auto"/>
            <w:noWrap/>
            <w:vAlign w:val="center"/>
            <w:hideMark/>
          </w:tcPr>
          <w:p w14:paraId="6AC5AD3E" w14:textId="77777777" w:rsidR="00C05FC5" w:rsidRPr="0032635C" w:rsidRDefault="00C05FC5" w:rsidP="00010E75">
            <w:pPr>
              <w:jc w:val="center"/>
            </w:pPr>
          </w:p>
        </w:tc>
      </w:tr>
      <w:tr w:rsidR="00C05FC5" w:rsidRPr="0032635C" w14:paraId="0EA4DABE" w14:textId="77777777" w:rsidTr="00010E75">
        <w:trPr>
          <w:trHeight w:val="583"/>
          <w:jc w:val="center"/>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1911B4FE" w14:textId="77777777" w:rsidR="00C05FC5" w:rsidRPr="0032635C" w:rsidRDefault="00C05FC5" w:rsidP="00010E75">
            <w:r w:rsidRPr="0032635C">
              <w:t>Други програми и инициативи, по които Република България е страна-партньор</w:t>
            </w:r>
          </w:p>
        </w:tc>
        <w:tc>
          <w:tcPr>
            <w:tcW w:w="1418" w:type="dxa"/>
            <w:tcBorders>
              <w:top w:val="nil"/>
              <w:left w:val="nil"/>
              <w:bottom w:val="single" w:sz="4" w:space="0" w:color="auto"/>
              <w:right w:val="single" w:sz="4" w:space="0" w:color="auto"/>
            </w:tcBorders>
            <w:shd w:val="clear" w:color="auto" w:fill="auto"/>
            <w:noWrap/>
            <w:vAlign w:val="center"/>
            <w:hideMark/>
          </w:tcPr>
          <w:p w14:paraId="5759427F" w14:textId="77777777" w:rsidR="00C05FC5" w:rsidRPr="0032635C" w:rsidRDefault="00C05FC5" w:rsidP="00010E75">
            <w:pPr>
              <w:jc w:val="both"/>
            </w:pPr>
            <w:r w:rsidRPr="0032635C">
              <w:t> </w:t>
            </w:r>
          </w:p>
        </w:tc>
        <w:tc>
          <w:tcPr>
            <w:tcW w:w="1417" w:type="dxa"/>
            <w:tcBorders>
              <w:top w:val="nil"/>
              <w:left w:val="nil"/>
              <w:bottom w:val="single" w:sz="4" w:space="0" w:color="auto"/>
              <w:right w:val="single" w:sz="4" w:space="0" w:color="auto"/>
            </w:tcBorders>
            <w:shd w:val="clear" w:color="auto" w:fill="auto"/>
            <w:noWrap/>
            <w:vAlign w:val="center"/>
            <w:hideMark/>
          </w:tcPr>
          <w:p w14:paraId="1658F441" w14:textId="77777777" w:rsidR="00C05FC5" w:rsidRPr="0032635C" w:rsidRDefault="00C05FC5" w:rsidP="00010E75">
            <w:pPr>
              <w:jc w:val="both"/>
            </w:pPr>
            <w:r w:rsidRPr="0032635C">
              <w:t> </w:t>
            </w:r>
          </w:p>
        </w:tc>
        <w:tc>
          <w:tcPr>
            <w:tcW w:w="1560" w:type="dxa"/>
            <w:tcBorders>
              <w:top w:val="nil"/>
              <w:left w:val="nil"/>
              <w:bottom w:val="single" w:sz="4" w:space="0" w:color="auto"/>
              <w:right w:val="single" w:sz="4" w:space="0" w:color="auto"/>
            </w:tcBorders>
            <w:shd w:val="clear" w:color="auto" w:fill="auto"/>
            <w:noWrap/>
            <w:vAlign w:val="center"/>
            <w:hideMark/>
          </w:tcPr>
          <w:p w14:paraId="6D9F2D97" w14:textId="77777777" w:rsidR="00C05FC5" w:rsidRPr="0032635C" w:rsidRDefault="00C05FC5" w:rsidP="00010E75">
            <w:pPr>
              <w:jc w:val="both"/>
            </w:pPr>
            <w:r w:rsidRPr="0032635C">
              <w:t> </w:t>
            </w:r>
          </w:p>
        </w:tc>
      </w:tr>
      <w:tr w:rsidR="00C05FC5" w:rsidRPr="0032635C" w14:paraId="2896F13E" w14:textId="77777777" w:rsidTr="00010E75">
        <w:trPr>
          <w:trHeight w:val="270"/>
          <w:jc w:val="center"/>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65685941" w14:textId="77777777" w:rsidR="00C05FC5" w:rsidRPr="0032635C" w:rsidRDefault="00C05FC5" w:rsidP="00010E75">
            <w:r w:rsidRPr="0032635C">
              <w:t>Други програми и други донори по бюджета на ПРБ</w:t>
            </w:r>
          </w:p>
        </w:tc>
        <w:tc>
          <w:tcPr>
            <w:tcW w:w="1418" w:type="dxa"/>
            <w:tcBorders>
              <w:top w:val="nil"/>
              <w:left w:val="nil"/>
              <w:bottom w:val="single" w:sz="4" w:space="0" w:color="auto"/>
              <w:right w:val="single" w:sz="4" w:space="0" w:color="auto"/>
            </w:tcBorders>
            <w:shd w:val="clear" w:color="auto" w:fill="auto"/>
            <w:noWrap/>
            <w:vAlign w:val="center"/>
            <w:hideMark/>
          </w:tcPr>
          <w:p w14:paraId="6F34EF39" w14:textId="77777777" w:rsidR="00C05FC5" w:rsidRPr="0032635C" w:rsidRDefault="00C05FC5" w:rsidP="00010E75">
            <w:pPr>
              <w:jc w:val="both"/>
            </w:pPr>
            <w:r w:rsidRPr="0032635C">
              <w:t> </w:t>
            </w:r>
          </w:p>
        </w:tc>
        <w:tc>
          <w:tcPr>
            <w:tcW w:w="1417" w:type="dxa"/>
            <w:tcBorders>
              <w:top w:val="nil"/>
              <w:left w:val="nil"/>
              <w:bottom w:val="single" w:sz="4" w:space="0" w:color="auto"/>
              <w:right w:val="single" w:sz="4" w:space="0" w:color="auto"/>
            </w:tcBorders>
            <w:shd w:val="clear" w:color="auto" w:fill="auto"/>
            <w:noWrap/>
            <w:vAlign w:val="center"/>
            <w:hideMark/>
          </w:tcPr>
          <w:p w14:paraId="5CCA4B07" w14:textId="77777777" w:rsidR="00C05FC5" w:rsidRPr="0032635C" w:rsidRDefault="00C05FC5" w:rsidP="00010E75">
            <w:pPr>
              <w:jc w:val="both"/>
            </w:pPr>
            <w:r w:rsidRPr="0032635C">
              <w:t> </w:t>
            </w:r>
          </w:p>
        </w:tc>
        <w:tc>
          <w:tcPr>
            <w:tcW w:w="1560" w:type="dxa"/>
            <w:tcBorders>
              <w:top w:val="nil"/>
              <w:left w:val="nil"/>
              <w:bottom w:val="single" w:sz="4" w:space="0" w:color="auto"/>
              <w:right w:val="single" w:sz="4" w:space="0" w:color="auto"/>
            </w:tcBorders>
            <w:shd w:val="clear" w:color="auto" w:fill="auto"/>
            <w:noWrap/>
            <w:vAlign w:val="center"/>
            <w:hideMark/>
          </w:tcPr>
          <w:p w14:paraId="57AD25FB" w14:textId="77777777" w:rsidR="00C05FC5" w:rsidRPr="0032635C" w:rsidRDefault="00C05FC5" w:rsidP="00010E75">
            <w:pPr>
              <w:jc w:val="both"/>
            </w:pPr>
            <w:r w:rsidRPr="0032635C">
              <w:t> </w:t>
            </w:r>
          </w:p>
        </w:tc>
      </w:tr>
      <w:tr w:rsidR="00C05FC5" w:rsidRPr="0032635C" w14:paraId="46AB500D" w14:textId="77777777" w:rsidTr="00010E75">
        <w:trPr>
          <w:trHeight w:val="415"/>
          <w:jc w:val="center"/>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41B18FF2" w14:textId="77777777" w:rsidR="00C05FC5" w:rsidRPr="0032635C" w:rsidRDefault="00C05FC5" w:rsidP="00010E75">
            <w:r w:rsidRPr="0032635C">
              <w:t>Други бюджетни организации, включени в консолидираната фискална програма</w:t>
            </w:r>
          </w:p>
        </w:tc>
        <w:tc>
          <w:tcPr>
            <w:tcW w:w="1418" w:type="dxa"/>
            <w:tcBorders>
              <w:top w:val="nil"/>
              <w:left w:val="nil"/>
              <w:bottom w:val="single" w:sz="4" w:space="0" w:color="auto"/>
              <w:right w:val="single" w:sz="4" w:space="0" w:color="auto"/>
            </w:tcBorders>
            <w:shd w:val="clear" w:color="auto" w:fill="auto"/>
            <w:noWrap/>
            <w:vAlign w:val="center"/>
            <w:hideMark/>
          </w:tcPr>
          <w:p w14:paraId="53EC0823" w14:textId="77777777" w:rsidR="00C05FC5" w:rsidRPr="0032635C" w:rsidRDefault="00C05FC5" w:rsidP="00010E75">
            <w:pPr>
              <w:jc w:val="both"/>
            </w:pPr>
            <w:r w:rsidRPr="0032635C">
              <w:t> </w:t>
            </w:r>
          </w:p>
        </w:tc>
        <w:tc>
          <w:tcPr>
            <w:tcW w:w="1417" w:type="dxa"/>
            <w:tcBorders>
              <w:top w:val="nil"/>
              <w:left w:val="nil"/>
              <w:bottom w:val="single" w:sz="4" w:space="0" w:color="auto"/>
              <w:right w:val="single" w:sz="4" w:space="0" w:color="auto"/>
            </w:tcBorders>
            <w:shd w:val="clear" w:color="auto" w:fill="auto"/>
            <w:noWrap/>
            <w:vAlign w:val="center"/>
            <w:hideMark/>
          </w:tcPr>
          <w:p w14:paraId="2100FCA9" w14:textId="77777777" w:rsidR="00C05FC5" w:rsidRPr="0032635C" w:rsidRDefault="00C05FC5" w:rsidP="00010E75">
            <w:pPr>
              <w:jc w:val="both"/>
            </w:pPr>
            <w:r w:rsidRPr="0032635C">
              <w:t> </w:t>
            </w:r>
          </w:p>
        </w:tc>
        <w:tc>
          <w:tcPr>
            <w:tcW w:w="1560" w:type="dxa"/>
            <w:tcBorders>
              <w:top w:val="nil"/>
              <w:left w:val="nil"/>
              <w:bottom w:val="single" w:sz="4" w:space="0" w:color="auto"/>
              <w:right w:val="single" w:sz="4" w:space="0" w:color="auto"/>
            </w:tcBorders>
            <w:shd w:val="clear" w:color="auto" w:fill="auto"/>
            <w:noWrap/>
            <w:vAlign w:val="center"/>
            <w:hideMark/>
          </w:tcPr>
          <w:p w14:paraId="3DE99FFC" w14:textId="77777777" w:rsidR="00C05FC5" w:rsidRPr="0032635C" w:rsidRDefault="00C05FC5" w:rsidP="00010E75">
            <w:pPr>
              <w:jc w:val="both"/>
            </w:pPr>
            <w:r w:rsidRPr="0032635C">
              <w:t> </w:t>
            </w:r>
          </w:p>
        </w:tc>
      </w:tr>
      <w:tr w:rsidR="00C05FC5" w:rsidRPr="0032635C" w14:paraId="2401EB0E" w14:textId="77777777" w:rsidTr="00010E75">
        <w:trPr>
          <w:trHeight w:val="424"/>
          <w:jc w:val="center"/>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352AE3D5" w14:textId="77777777" w:rsidR="00C05FC5" w:rsidRPr="0032635C" w:rsidRDefault="00C05FC5" w:rsidP="00010E75">
            <w:r w:rsidRPr="0032635C">
              <w:t>Други, в т.ч. предоставени трансфери за други бюджети за сметка на планирани разходи по бюджета на ПРБ</w:t>
            </w:r>
          </w:p>
        </w:tc>
        <w:tc>
          <w:tcPr>
            <w:tcW w:w="1418" w:type="dxa"/>
            <w:tcBorders>
              <w:top w:val="nil"/>
              <w:left w:val="nil"/>
              <w:bottom w:val="single" w:sz="4" w:space="0" w:color="auto"/>
              <w:right w:val="single" w:sz="4" w:space="0" w:color="auto"/>
            </w:tcBorders>
            <w:shd w:val="clear" w:color="auto" w:fill="auto"/>
            <w:noWrap/>
            <w:vAlign w:val="center"/>
            <w:hideMark/>
          </w:tcPr>
          <w:p w14:paraId="49732571" w14:textId="77777777" w:rsidR="00C05FC5" w:rsidRPr="0032635C" w:rsidRDefault="00C05FC5" w:rsidP="00010E75">
            <w:pPr>
              <w:jc w:val="both"/>
            </w:pPr>
            <w:r w:rsidRPr="0032635C">
              <w:t> </w:t>
            </w:r>
          </w:p>
        </w:tc>
        <w:tc>
          <w:tcPr>
            <w:tcW w:w="1417" w:type="dxa"/>
            <w:tcBorders>
              <w:top w:val="nil"/>
              <w:left w:val="nil"/>
              <w:bottom w:val="single" w:sz="4" w:space="0" w:color="auto"/>
              <w:right w:val="single" w:sz="4" w:space="0" w:color="auto"/>
            </w:tcBorders>
            <w:shd w:val="clear" w:color="auto" w:fill="auto"/>
            <w:noWrap/>
            <w:vAlign w:val="center"/>
            <w:hideMark/>
          </w:tcPr>
          <w:p w14:paraId="61702954" w14:textId="77777777" w:rsidR="00C05FC5" w:rsidRPr="0032635C" w:rsidRDefault="00C05FC5" w:rsidP="00010E75">
            <w:pPr>
              <w:jc w:val="both"/>
            </w:pPr>
            <w:r w:rsidRPr="0032635C">
              <w:t> </w:t>
            </w:r>
          </w:p>
        </w:tc>
        <w:tc>
          <w:tcPr>
            <w:tcW w:w="1560" w:type="dxa"/>
            <w:tcBorders>
              <w:top w:val="nil"/>
              <w:left w:val="nil"/>
              <w:bottom w:val="single" w:sz="4" w:space="0" w:color="auto"/>
              <w:right w:val="single" w:sz="4" w:space="0" w:color="auto"/>
            </w:tcBorders>
            <w:shd w:val="clear" w:color="auto" w:fill="auto"/>
            <w:noWrap/>
            <w:vAlign w:val="center"/>
            <w:hideMark/>
          </w:tcPr>
          <w:p w14:paraId="26EE6E15" w14:textId="77777777" w:rsidR="00C05FC5" w:rsidRPr="0032635C" w:rsidRDefault="00C05FC5" w:rsidP="00010E75">
            <w:pPr>
              <w:jc w:val="both"/>
            </w:pPr>
            <w:r w:rsidRPr="0032635C">
              <w:t> </w:t>
            </w:r>
          </w:p>
        </w:tc>
      </w:tr>
    </w:tbl>
    <w:p w14:paraId="18CEE93B" w14:textId="77777777" w:rsidR="001A61F9" w:rsidRPr="0032635C" w:rsidRDefault="001A61F9" w:rsidP="001A61F9">
      <w:pPr>
        <w:keepNext/>
        <w:keepLines/>
        <w:spacing w:before="240"/>
        <w:jc w:val="both"/>
        <w:outlineLvl w:val="0"/>
        <w:rPr>
          <w:rFonts w:eastAsiaTheme="majorEastAsia" w:cstheme="majorBidi"/>
          <w:b/>
          <w:bCs/>
          <w:color w:val="2E74B5" w:themeColor="accent1" w:themeShade="BF"/>
          <w:sz w:val="32"/>
          <w:szCs w:val="32"/>
        </w:rPr>
      </w:pPr>
      <w:bookmarkStart w:id="10" w:name="_Toc206148616"/>
      <w:r w:rsidRPr="0032635C">
        <w:rPr>
          <w:rFonts w:eastAsiaTheme="majorEastAsia" w:cstheme="majorBidi"/>
          <w:b/>
          <w:bCs/>
          <w:color w:val="2E74B5" w:themeColor="accent1" w:themeShade="BF"/>
          <w:sz w:val="32"/>
          <w:szCs w:val="32"/>
        </w:rPr>
        <w:t>2. ПРЕГЛЕД НА НАСТЪПИЛИТЕ ПРЕЗ ОТЧЕТНИЯ ПЕРИОД ПРОМЕНИ НА ПОКАЗАТЕЛИТЕ ПО БЮДЖЕТА ПО РЕДА НА ЗАКОНА ЗА ПУБЛИЧНИТЕ ФИНАНСИ</w:t>
      </w:r>
      <w:bookmarkEnd w:id="10"/>
    </w:p>
    <w:p w14:paraId="54D64A82" w14:textId="77777777" w:rsidR="001A61F9" w:rsidRPr="0032635C" w:rsidRDefault="001A61F9" w:rsidP="001A61F9">
      <w:pPr>
        <w:spacing w:after="120" w:line="276" w:lineRule="auto"/>
        <w:ind w:firstLine="720"/>
        <w:rPr>
          <w:szCs w:val="32"/>
        </w:rPr>
      </w:pPr>
    </w:p>
    <w:p w14:paraId="231C2C88" w14:textId="267C0416" w:rsidR="0076548F" w:rsidRPr="0032635C" w:rsidRDefault="0076548F" w:rsidP="0076548F">
      <w:pPr>
        <w:spacing w:line="276" w:lineRule="auto"/>
        <w:ind w:firstLine="720"/>
        <w:contextualSpacing/>
        <w:jc w:val="both"/>
        <w:rPr>
          <w:szCs w:val="32"/>
        </w:rPr>
      </w:pPr>
      <w:r w:rsidRPr="0032635C">
        <w:rPr>
          <w:szCs w:val="32"/>
        </w:rPr>
        <w:t>За периода от 01.01.2025</w:t>
      </w:r>
      <w:r w:rsidR="000562CD">
        <w:rPr>
          <w:szCs w:val="32"/>
        </w:rPr>
        <w:t xml:space="preserve"> г.</w:t>
      </w:r>
      <w:r w:rsidRPr="0032635C">
        <w:rPr>
          <w:szCs w:val="32"/>
        </w:rPr>
        <w:t xml:space="preserve"> -</w:t>
      </w:r>
      <w:r w:rsidR="0032635C">
        <w:rPr>
          <w:szCs w:val="32"/>
          <w:lang w:val="en-US"/>
        </w:rPr>
        <w:t xml:space="preserve"> </w:t>
      </w:r>
      <w:r w:rsidRPr="0032635C">
        <w:rPr>
          <w:szCs w:val="32"/>
        </w:rPr>
        <w:t>30.06.2025 г. са извършени две вътрешно-компенсиран</w:t>
      </w:r>
      <w:r w:rsidR="0032635C">
        <w:rPr>
          <w:szCs w:val="32"/>
        </w:rPr>
        <w:t>и</w:t>
      </w:r>
      <w:r w:rsidRPr="0032635C">
        <w:rPr>
          <w:szCs w:val="32"/>
        </w:rPr>
        <w:t xml:space="preserve"> промени, една в рамките на показател „Текущи разходи – Персонал“ и  една в рамките на показател „Капиталови разходи“.</w:t>
      </w:r>
    </w:p>
    <w:p w14:paraId="4F34851F" w14:textId="77777777" w:rsidR="000A5556" w:rsidRDefault="000A5556" w:rsidP="005A5FE6">
      <w:pPr>
        <w:spacing w:line="276" w:lineRule="auto"/>
        <w:ind w:firstLine="708"/>
        <w:jc w:val="both"/>
        <w:rPr>
          <w:szCs w:val="32"/>
        </w:rPr>
      </w:pPr>
    </w:p>
    <w:p w14:paraId="4643A42E" w14:textId="4BCE6099" w:rsidR="00C40531" w:rsidRPr="00173B81" w:rsidRDefault="00C40531" w:rsidP="005A5FE6">
      <w:pPr>
        <w:spacing w:line="276" w:lineRule="auto"/>
        <w:ind w:firstLine="708"/>
        <w:jc w:val="both"/>
        <w:rPr>
          <w:szCs w:val="32"/>
          <w:lang w:val="ru-RU"/>
        </w:rPr>
        <w:sectPr w:rsidR="00C40531" w:rsidRPr="00173B81" w:rsidSect="00C40531">
          <w:footerReference w:type="default" r:id="rId11"/>
          <w:pgSz w:w="12240" w:h="15840"/>
          <w:pgMar w:top="1440" w:right="1041" w:bottom="1440" w:left="1080" w:header="708" w:footer="708" w:gutter="0"/>
          <w:cols w:space="708"/>
          <w:titlePg/>
          <w:docGrid w:linePitch="360"/>
        </w:sectPr>
      </w:pPr>
    </w:p>
    <w:p w14:paraId="2BFE400B" w14:textId="77777777" w:rsidR="001A61F9" w:rsidRPr="00096DBF" w:rsidRDefault="00657C7B" w:rsidP="001A61F9">
      <w:pPr>
        <w:pStyle w:val="Heading1"/>
        <w:spacing w:before="0" w:after="120"/>
        <w:jc w:val="both"/>
        <w:rPr>
          <w:rStyle w:val="Strong"/>
          <w:sz w:val="20"/>
          <w:szCs w:val="20"/>
        </w:rPr>
      </w:pPr>
      <w:bookmarkStart w:id="11" w:name="_Toc206148617"/>
      <w:r w:rsidRPr="00EA2239">
        <w:rPr>
          <w:rStyle w:val="Strong"/>
        </w:rPr>
        <w:lastRenderedPageBreak/>
        <w:t xml:space="preserve">3. </w:t>
      </w:r>
      <w:r w:rsidR="001A61F9" w:rsidRPr="00096DBF">
        <w:rPr>
          <w:rStyle w:val="Strong"/>
        </w:rPr>
        <w:t>ПРЕГЛЕД НА НАСТЪПИЛИТЕ ПРЕЗ ОТЧЕТНИЯ ПЕРИОД ПРОМЕНИ В ОРГАНИЗАЦИОННАТА СТРУКТУРА</w:t>
      </w:r>
      <w:bookmarkEnd w:id="11"/>
      <w:r w:rsidR="001A61F9" w:rsidRPr="00EA2239">
        <w:rPr>
          <w:rStyle w:val="Strong"/>
        </w:rPr>
        <w:t xml:space="preserve"> </w:t>
      </w:r>
      <w:r w:rsidR="001A61F9">
        <w:rPr>
          <w:rStyle w:val="Strong"/>
        </w:rPr>
        <w:t xml:space="preserve"> </w:t>
      </w:r>
    </w:p>
    <w:p w14:paraId="3E7E4ACD" w14:textId="65190566" w:rsidR="006D706A" w:rsidRDefault="006D706A" w:rsidP="001A61F9">
      <w:pPr>
        <w:ind w:firstLine="709"/>
        <w:jc w:val="both"/>
      </w:pPr>
    </w:p>
    <w:p w14:paraId="0BF10EF2" w14:textId="77777777" w:rsidR="006D706A" w:rsidRDefault="006D706A" w:rsidP="006D706A">
      <w:pPr>
        <w:ind w:firstLine="709"/>
        <w:jc w:val="center"/>
      </w:pPr>
      <w:r>
        <w:t>Организационна структура:</w:t>
      </w:r>
    </w:p>
    <w:p w14:paraId="15B84B97" w14:textId="77777777" w:rsidR="001A61F9" w:rsidRPr="00096DBF" w:rsidRDefault="001A61F9" w:rsidP="001A61F9">
      <w:pPr>
        <w:rPr>
          <w:sz w:val="12"/>
          <w:szCs w:val="12"/>
          <w:lang w:val="en-US"/>
        </w:rPr>
      </w:pPr>
    </w:p>
    <w:p w14:paraId="18F741DE" w14:textId="3F450BC8" w:rsidR="00B2076D" w:rsidRDefault="005166CC" w:rsidP="00E62C4D">
      <w:pPr>
        <w:jc w:val="center"/>
        <w:rPr>
          <w:color w:val="000000"/>
        </w:rPr>
        <w:sectPr w:rsidR="00B2076D" w:rsidSect="008172D9">
          <w:footerReference w:type="default" r:id="rId12"/>
          <w:pgSz w:w="15840" w:h="12240" w:orient="landscape" w:code="1"/>
          <w:pgMar w:top="851" w:right="1134" w:bottom="851" w:left="1134" w:header="709" w:footer="709" w:gutter="0"/>
          <w:cols w:space="708"/>
          <w:docGrid w:linePitch="360"/>
        </w:sectPr>
      </w:pPr>
      <w:r w:rsidRPr="00F435F0">
        <w:rPr>
          <w:noProof/>
        </w:rPr>
        <w:drawing>
          <wp:inline distT="0" distB="0" distL="0" distR="0" wp14:anchorId="47D7C159" wp14:editId="37A36767">
            <wp:extent cx="8618220" cy="4686300"/>
            <wp:effectExtent l="0" t="0" r="0" b="0"/>
            <wp:docPr id="1" name="Picture 1" descr="C:\Users\i.stoyanova\Documents\2025\ОТЧЕТ ПРОГРАМЕН БЮДЖЕТ 2025 1\УЧР\bg-organizaczionna-struktura-kfn-02.1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toyanova\Documents\2025\ОТЧЕТ ПРОГРАМЕН БЮДЖЕТ 2025 1\УЧР\bg-organizaczionna-struktura-kfn-02.10.202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18220" cy="4686300"/>
                    </a:xfrm>
                    <a:prstGeom prst="rect">
                      <a:avLst/>
                    </a:prstGeom>
                    <a:noFill/>
                    <a:ln>
                      <a:noFill/>
                    </a:ln>
                  </pic:spPr>
                </pic:pic>
              </a:graphicData>
            </a:graphic>
          </wp:inline>
        </w:drawing>
      </w:r>
    </w:p>
    <w:p w14:paraId="60A69DF7" w14:textId="0A275108" w:rsidR="003D030F" w:rsidRPr="008E2743" w:rsidRDefault="00C8231A" w:rsidP="0052359F">
      <w:pPr>
        <w:pStyle w:val="Heading1"/>
        <w:spacing w:line="276" w:lineRule="auto"/>
        <w:jc w:val="both"/>
        <w:rPr>
          <w:rStyle w:val="Strong"/>
          <w:rFonts w:cs="Times New Roman"/>
          <w:color w:val="auto"/>
          <w:sz w:val="24"/>
        </w:rPr>
      </w:pPr>
      <w:bookmarkStart w:id="12" w:name="_Toc206148618"/>
      <w:r w:rsidRPr="008E2743">
        <w:rPr>
          <w:rStyle w:val="Strong"/>
        </w:rPr>
        <w:lastRenderedPageBreak/>
        <w:t xml:space="preserve">4. </w:t>
      </w:r>
      <w:r w:rsidR="003D030F" w:rsidRPr="008E2743">
        <w:rPr>
          <w:rStyle w:val="Strong"/>
        </w:rPr>
        <w:t xml:space="preserve">ПРЕГЛЕД НА </w:t>
      </w:r>
      <w:r w:rsidR="00883D5D" w:rsidRPr="008E2743">
        <w:rPr>
          <w:rStyle w:val="Strong"/>
        </w:rPr>
        <w:t>ФУНКЦИОНАЛНА ОБЛАСТ „РЕГУЛАЦИЯ И НАДЗОР НА НЕБАНКОВИЯ ФИНАНСОВ СЕКТОР“</w:t>
      </w:r>
      <w:bookmarkEnd w:id="12"/>
    </w:p>
    <w:p w14:paraId="7306EF09" w14:textId="77777777" w:rsidR="00387852" w:rsidRPr="008E2743" w:rsidRDefault="00387852" w:rsidP="0052359F">
      <w:pPr>
        <w:pStyle w:val="ListParagraph"/>
        <w:spacing w:line="276" w:lineRule="auto"/>
        <w:jc w:val="both"/>
        <w:rPr>
          <w:b/>
          <w:i/>
          <w:color w:val="000000"/>
        </w:rPr>
      </w:pPr>
    </w:p>
    <w:p w14:paraId="6C0D1218" w14:textId="77777777" w:rsidR="007D22B4" w:rsidRPr="008E2743" w:rsidRDefault="007D22B4" w:rsidP="007D22B4">
      <w:pPr>
        <w:pStyle w:val="Heading2"/>
        <w:spacing w:line="276" w:lineRule="auto"/>
        <w:jc w:val="both"/>
      </w:pPr>
      <w:bookmarkStart w:id="13" w:name="_Toc206148619"/>
      <w:r w:rsidRPr="008E2743">
        <w:t>а) Описание на степента на изпълнение на заложените стратегически и оперативни цели, допринасящи за нейното постигане.</w:t>
      </w:r>
      <w:bookmarkEnd w:id="13"/>
    </w:p>
    <w:p w14:paraId="4C7C1D3A" w14:textId="77777777" w:rsidR="007D22B4" w:rsidRPr="008E2743" w:rsidRDefault="007D22B4" w:rsidP="007D22B4">
      <w:pPr>
        <w:pStyle w:val="ListParagraph"/>
        <w:tabs>
          <w:tab w:val="left" w:pos="0"/>
        </w:tabs>
        <w:spacing w:line="276" w:lineRule="auto"/>
        <w:ind w:left="360"/>
        <w:rPr>
          <w:lang w:bidi="bg-BG"/>
        </w:rPr>
      </w:pPr>
    </w:p>
    <w:p w14:paraId="507A134F" w14:textId="77777777" w:rsidR="007D22B4" w:rsidRPr="00A72E56" w:rsidRDefault="007D22B4" w:rsidP="007D22B4">
      <w:pPr>
        <w:tabs>
          <w:tab w:val="left" w:pos="0"/>
          <w:tab w:val="num" w:pos="720"/>
        </w:tabs>
        <w:spacing w:line="276" w:lineRule="auto"/>
        <w:jc w:val="both"/>
        <w:rPr>
          <w:bCs/>
          <w:lang w:bidi="bg-BG"/>
        </w:rPr>
      </w:pPr>
      <w:r w:rsidRPr="008E2743">
        <w:rPr>
          <w:bCs/>
          <w:lang w:bidi="bg-BG"/>
        </w:rPr>
        <w:tab/>
      </w:r>
      <w:r w:rsidRPr="00A72E56">
        <w:rPr>
          <w:bCs/>
          <w:lang w:bidi="bg-BG"/>
        </w:rPr>
        <w:t xml:space="preserve">За реализацията на </w:t>
      </w:r>
      <w:r w:rsidRPr="00A72E56">
        <w:rPr>
          <w:b/>
        </w:rPr>
        <w:t>Приоритет 1</w:t>
      </w:r>
      <w:r w:rsidRPr="00A72E56">
        <w:rPr>
          <w:bCs/>
          <w:lang w:bidi="bg-BG"/>
        </w:rPr>
        <w:t xml:space="preserve"> </w:t>
      </w:r>
      <w:r w:rsidRPr="00A72E56">
        <w:rPr>
          <w:b/>
          <w:bCs/>
          <w:lang w:bidi="bg-BG"/>
        </w:rPr>
        <w:t>- Осъществяване на последователна, прозрачна и предвидима регулаторна дейност</w:t>
      </w:r>
      <w:r w:rsidRPr="00A72E56">
        <w:rPr>
          <w:bCs/>
          <w:lang w:bidi="bg-BG"/>
        </w:rPr>
        <w:t xml:space="preserve"> Комисията залага следните оперативни цели: </w:t>
      </w:r>
    </w:p>
    <w:p w14:paraId="7643A459" w14:textId="7A626DA5" w:rsidR="007D22B4" w:rsidRPr="008E2743" w:rsidRDefault="007D22B4" w:rsidP="007D22B4">
      <w:pPr>
        <w:tabs>
          <w:tab w:val="left" w:pos="0"/>
          <w:tab w:val="num" w:pos="720"/>
        </w:tabs>
        <w:spacing w:line="276" w:lineRule="auto"/>
        <w:jc w:val="both"/>
        <w:rPr>
          <w:bCs/>
          <w:i/>
          <w:lang w:bidi="bg-BG"/>
        </w:rPr>
      </w:pPr>
      <w:r w:rsidRPr="00A72E56">
        <w:rPr>
          <w:bCs/>
          <w:lang w:bidi="bg-BG"/>
        </w:rPr>
        <w:tab/>
      </w:r>
      <w:r w:rsidRPr="00A72E56">
        <w:rPr>
          <w:bCs/>
          <w:i/>
          <w:lang w:bidi="bg-BG"/>
        </w:rPr>
        <w:t xml:space="preserve">Оперативна цел 1.1 </w:t>
      </w:r>
      <w:r w:rsidR="00340146" w:rsidRPr="00A72E56">
        <w:rPr>
          <w:i/>
        </w:rPr>
        <w:t>Координация и хармонизиране на националното законодателство с европейското</w:t>
      </w:r>
      <w:r w:rsidR="00340146" w:rsidRPr="00A72E56">
        <w:rPr>
          <w:i/>
          <w:lang w:val="en-US"/>
        </w:rPr>
        <w:t xml:space="preserve"> </w:t>
      </w:r>
      <w:r w:rsidR="00340146" w:rsidRPr="00A72E56">
        <w:rPr>
          <w:i/>
        </w:rPr>
        <w:t>право и решенията и препоръките на ОИСР в областта на финансовите пазари</w:t>
      </w:r>
    </w:p>
    <w:p w14:paraId="3A7E4073" w14:textId="1B6CBD05" w:rsidR="00AF0A24" w:rsidRDefault="00AF0A24" w:rsidP="00AF0A24">
      <w:pPr>
        <w:tabs>
          <w:tab w:val="left" w:pos="0"/>
          <w:tab w:val="num" w:pos="720"/>
        </w:tabs>
        <w:spacing w:line="276" w:lineRule="auto"/>
        <w:jc w:val="both"/>
      </w:pPr>
      <w:r>
        <w:tab/>
        <w:t>Развитието на капиталовите пазари и устойчивото функциониране на техните участници се утвърждават като стратегически приоритет както на европейско, така и на национално равнище. Те представляват съществен механизъм за преодоляване на последиците от динамичните геополитически и финансови процеси в глобален мащаб, както и за насърчаване на устойчив икономически растеж чрез осигуряване на диверсифицирани източници на финансиране.</w:t>
      </w:r>
    </w:p>
    <w:p w14:paraId="4EFABB49" w14:textId="4D14DDE1" w:rsidR="00AF0A24" w:rsidRDefault="00AF0A24" w:rsidP="00AF0A24">
      <w:pPr>
        <w:tabs>
          <w:tab w:val="left" w:pos="0"/>
          <w:tab w:val="num" w:pos="720"/>
        </w:tabs>
        <w:spacing w:line="276" w:lineRule="auto"/>
        <w:jc w:val="both"/>
      </w:pPr>
      <w:r>
        <w:tab/>
        <w:t>В контекста на усилията за по-дълбока интеграция на българския капиталов пазар и засилване на взаимодействието с борсови институции и организации на регионално, европейско и международно ниво, експертите на Комисията участват активно в дейността на междуведомствени работни групи. В рамките на техния мандат се извършват анализи и се формулират предложения за усъвършенстване на регулаторната рамка, в съответствие с политиките, прилагани от европейските и националните институции в областта на небанковия финансов сектор.</w:t>
      </w:r>
    </w:p>
    <w:p w14:paraId="1EBAEF31" w14:textId="32D3E308" w:rsidR="00AF0A24" w:rsidRDefault="00AF0A24" w:rsidP="00AF0A24">
      <w:pPr>
        <w:tabs>
          <w:tab w:val="left" w:pos="0"/>
          <w:tab w:val="num" w:pos="720"/>
        </w:tabs>
        <w:spacing w:line="276" w:lineRule="auto"/>
        <w:jc w:val="both"/>
      </w:pPr>
      <w:r>
        <w:tab/>
        <w:t>Комисията осъществява регулярна оценка на актовете, публикувани в Официалния вестник на Европейския съюз, както и на насоките, добрите практики и политиките, приети от Европейските надзорни органи. На тази основа се изготвят становища относно тяхната приложимост към надзорните правомощия на Комисията и необходимостта от съответни изменения в националната нормативна уредба.</w:t>
      </w:r>
    </w:p>
    <w:p w14:paraId="6095EBD1" w14:textId="60569969" w:rsidR="00AF0A24" w:rsidRDefault="00AF0A24" w:rsidP="00AF0A24">
      <w:pPr>
        <w:tabs>
          <w:tab w:val="left" w:pos="0"/>
          <w:tab w:val="num" w:pos="720"/>
        </w:tabs>
        <w:spacing w:line="276" w:lineRule="auto"/>
        <w:jc w:val="both"/>
      </w:pPr>
      <w:r>
        <w:tab/>
        <w:t>С особено внимание се анализират и обсъждат предложенията за ограничителни мерки, разглеждани на равнище Европейски съюз във връзка с въоръжения конфликт в Украйна, с оглед на тяхното потенциално въздействие върху българския капиталов пазар и неговите участници.</w:t>
      </w:r>
    </w:p>
    <w:p w14:paraId="533A1290" w14:textId="1D996B62" w:rsidR="00633C75" w:rsidRPr="007D22B4" w:rsidRDefault="00287218" w:rsidP="007D22B4">
      <w:pPr>
        <w:tabs>
          <w:tab w:val="left" w:pos="0"/>
          <w:tab w:val="num" w:pos="720"/>
        </w:tabs>
        <w:spacing w:line="276" w:lineRule="auto"/>
        <w:jc w:val="both"/>
        <w:rPr>
          <w:bCs/>
          <w:i/>
          <w:highlight w:val="yellow"/>
          <w:lang w:bidi="bg-BG"/>
        </w:rPr>
      </w:pPr>
      <w:r>
        <w:tab/>
      </w:r>
    </w:p>
    <w:p w14:paraId="75E6ED82" w14:textId="121C05D2" w:rsidR="007D22B4" w:rsidRPr="008E2743" w:rsidRDefault="007D22B4" w:rsidP="007D22B4">
      <w:pPr>
        <w:tabs>
          <w:tab w:val="left" w:pos="0"/>
          <w:tab w:val="num" w:pos="720"/>
        </w:tabs>
        <w:spacing w:line="276" w:lineRule="auto"/>
        <w:jc w:val="both"/>
        <w:rPr>
          <w:bCs/>
          <w:i/>
          <w:lang w:bidi="bg-BG"/>
        </w:rPr>
      </w:pPr>
      <w:r w:rsidRPr="008E2743">
        <w:rPr>
          <w:bCs/>
          <w:i/>
          <w:lang w:bidi="bg-BG"/>
        </w:rPr>
        <w:tab/>
        <w:t xml:space="preserve">Оперативна цел 1.2 </w:t>
      </w:r>
      <w:r w:rsidR="00340146" w:rsidRPr="00340146">
        <w:rPr>
          <w:bCs/>
          <w:i/>
          <w:lang w:bidi="bg-BG"/>
        </w:rPr>
        <w:t>Адаптиране на националните регулации към спецификите на българския финансов пазар с оглед стимулиране на неговото развитие</w:t>
      </w:r>
    </w:p>
    <w:p w14:paraId="5A307DD3" w14:textId="77777777" w:rsidR="00C304F8" w:rsidRPr="008C319F" w:rsidRDefault="00D75D86" w:rsidP="00C304F8">
      <w:pPr>
        <w:pStyle w:val="ListParagraph"/>
        <w:spacing w:line="276" w:lineRule="auto"/>
        <w:ind w:left="0" w:firstLine="720"/>
        <w:jc w:val="both"/>
        <w:rPr>
          <w:lang w:bidi="bg-BG"/>
        </w:rPr>
      </w:pPr>
      <w:r w:rsidRPr="008C319F">
        <w:rPr>
          <w:lang w:bidi="bg-BG"/>
        </w:rPr>
        <w:t xml:space="preserve">През първото полугодие на 2025 г. Комисията предприе целенасочени действия за актуализиране и усъвършенстване на регулаторната рамка, с оглед повишаване </w:t>
      </w:r>
      <w:r w:rsidRPr="008C319F">
        <w:rPr>
          <w:lang w:bidi="bg-BG"/>
        </w:rPr>
        <w:lastRenderedPageBreak/>
        <w:t>ефективността на надзорната дейност. В този процес се прилагат водещи международни стандарти, като същевременно се отчитат специфичните характеристики на националния капиталов пазар.</w:t>
      </w:r>
    </w:p>
    <w:p w14:paraId="360C7941" w14:textId="638ED9C1" w:rsidR="00D75D86" w:rsidRPr="008C319F" w:rsidRDefault="00D75D86" w:rsidP="00C304F8">
      <w:pPr>
        <w:pStyle w:val="ListParagraph"/>
        <w:spacing w:line="276" w:lineRule="auto"/>
        <w:ind w:left="0" w:firstLine="720"/>
        <w:jc w:val="both"/>
        <w:rPr>
          <w:lang w:bidi="bg-BG"/>
        </w:rPr>
      </w:pPr>
      <w:r w:rsidRPr="008C319F">
        <w:rPr>
          <w:lang w:bidi="bg-BG"/>
        </w:rPr>
        <w:t xml:space="preserve">Основен акцент в дейността е поставен върху насърчаването на добрите бизнес практики, при стриктно спазване на принципите на равнопоставеност, пропорционалност и безпристрастност. Целта е създаване на предвидима и стабилна регулаторна среда, която да подпомага устойчивото развитие на участниците на пазара и да гарантира високо ниво на защита </w:t>
      </w:r>
      <w:r w:rsidR="00C304F8" w:rsidRPr="008C319F">
        <w:rPr>
          <w:lang w:bidi="bg-BG"/>
        </w:rPr>
        <w:t xml:space="preserve">интересите </w:t>
      </w:r>
      <w:r w:rsidRPr="008C319F">
        <w:rPr>
          <w:lang w:bidi="bg-BG"/>
        </w:rPr>
        <w:t>на инвеститорите</w:t>
      </w:r>
      <w:r w:rsidR="00C304F8" w:rsidRPr="008C319F">
        <w:rPr>
          <w:lang w:bidi="bg-BG"/>
        </w:rPr>
        <w:t>, застрахованите и осигурените лица</w:t>
      </w:r>
      <w:r w:rsidRPr="008C319F">
        <w:rPr>
          <w:lang w:bidi="bg-BG"/>
        </w:rPr>
        <w:t>.</w:t>
      </w:r>
    </w:p>
    <w:p w14:paraId="5D2FA708" w14:textId="77777777" w:rsidR="00C304F8" w:rsidRDefault="00633C75" w:rsidP="00633C75">
      <w:pPr>
        <w:tabs>
          <w:tab w:val="left" w:pos="0"/>
          <w:tab w:val="num" w:pos="720"/>
        </w:tabs>
        <w:spacing w:line="276" w:lineRule="auto"/>
        <w:jc w:val="both"/>
        <w:rPr>
          <w:bCs/>
          <w:lang w:bidi="bg-BG"/>
        </w:rPr>
      </w:pPr>
      <w:r w:rsidRPr="006909C0">
        <w:rPr>
          <w:bCs/>
          <w:lang w:bidi="bg-BG"/>
        </w:rPr>
        <w:tab/>
      </w:r>
    </w:p>
    <w:p w14:paraId="1D5F0F92" w14:textId="47AB6C0B" w:rsidR="00633C75" w:rsidRPr="0058240D" w:rsidRDefault="00C304F8" w:rsidP="00633C75">
      <w:pPr>
        <w:tabs>
          <w:tab w:val="left" w:pos="0"/>
          <w:tab w:val="num" w:pos="720"/>
        </w:tabs>
        <w:spacing w:line="276" w:lineRule="auto"/>
        <w:jc w:val="both"/>
        <w:rPr>
          <w:bCs/>
          <w:i/>
          <w:lang w:bidi="bg-BG"/>
        </w:rPr>
      </w:pPr>
      <w:r>
        <w:rPr>
          <w:bCs/>
          <w:lang w:bidi="bg-BG"/>
        </w:rPr>
        <w:tab/>
      </w:r>
      <w:r w:rsidR="00633C75" w:rsidRPr="0052359F">
        <w:rPr>
          <w:bCs/>
          <w:i/>
          <w:lang w:bidi="bg-BG"/>
        </w:rPr>
        <w:t xml:space="preserve">Оперативна цел 1.3. </w:t>
      </w:r>
      <w:r w:rsidR="00340146" w:rsidRPr="00340146">
        <w:rPr>
          <w:bCs/>
          <w:i/>
          <w:lang w:bidi="bg-BG"/>
        </w:rPr>
        <w:t>Провеждане на предвидима и последователна регулаторна политика за намаляване на административната тежест</w:t>
      </w:r>
    </w:p>
    <w:p w14:paraId="0DF4D431" w14:textId="374958FF" w:rsidR="00C304F8" w:rsidRDefault="00C304F8" w:rsidP="00C304F8">
      <w:pPr>
        <w:tabs>
          <w:tab w:val="left" w:pos="0"/>
          <w:tab w:val="num" w:pos="720"/>
        </w:tabs>
        <w:spacing w:line="276" w:lineRule="auto"/>
        <w:jc w:val="both"/>
        <w:rPr>
          <w:bCs/>
          <w:lang w:bidi="bg-BG"/>
        </w:rPr>
      </w:pPr>
      <w:r>
        <w:rPr>
          <w:bCs/>
          <w:lang w:bidi="bg-BG"/>
        </w:rPr>
        <w:tab/>
      </w:r>
      <w:r w:rsidRPr="00C304F8">
        <w:rPr>
          <w:bCs/>
          <w:lang w:bidi="bg-BG"/>
        </w:rPr>
        <w:t>В рамките на своята дейност по формиране и прилагане на регулаторната политика, Комисията стриктно съблюдава предложенията за законодателни промени да бъдат в съответствие с водената политика за намаляване на нормативната и административната тежест върху участниците на финансовите пазари. Подходът е насочен към създаване на предвидима, ефективна и облекчена регулаторна среда, която да подпомага развитието на пазарната инфраструктура и да насърчава инвестиционната активност.</w:t>
      </w:r>
    </w:p>
    <w:p w14:paraId="13E7F0CD" w14:textId="77777777" w:rsidR="00C304F8" w:rsidRPr="00C304F8" w:rsidRDefault="00C304F8" w:rsidP="00C304F8">
      <w:pPr>
        <w:tabs>
          <w:tab w:val="left" w:pos="0"/>
          <w:tab w:val="num" w:pos="720"/>
        </w:tabs>
        <w:spacing w:line="276" w:lineRule="auto"/>
        <w:jc w:val="both"/>
        <w:rPr>
          <w:bCs/>
          <w:lang w:bidi="bg-BG"/>
        </w:rPr>
      </w:pPr>
    </w:p>
    <w:p w14:paraId="7E594B91" w14:textId="77777777" w:rsidR="00A72E56" w:rsidRDefault="007D22B4" w:rsidP="008E2743">
      <w:pPr>
        <w:tabs>
          <w:tab w:val="left" w:pos="0"/>
          <w:tab w:val="num" w:pos="720"/>
        </w:tabs>
        <w:spacing w:line="276" w:lineRule="auto"/>
        <w:jc w:val="both"/>
        <w:rPr>
          <w:i/>
        </w:rPr>
      </w:pPr>
      <w:r w:rsidRPr="008E2743">
        <w:tab/>
      </w:r>
      <w:r w:rsidRPr="008E2743">
        <w:rPr>
          <w:bCs/>
          <w:i/>
          <w:lang w:bidi="bg-BG"/>
        </w:rPr>
        <w:t xml:space="preserve">Оперативна цел 1.4. </w:t>
      </w:r>
      <w:r w:rsidR="00340146" w:rsidRPr="00340146">
        <w:rPr>
          <w:bCs/>
          <w:i/>
          <w:lang w:bidi="bg-BG"/>
        </w:rPr>
        <w:t>Предоставяне на обществеността на навременна и достъпна информация за регулаторната дейност на Комисията</w:t>
      </w:r>
      <w:bookmarkStart w:id="14" w:name="bookmark12"/>
      <w:bookmarkStart w:id="15" w:name="bookmark13"/>
      <w:r w:rsidR="008E2743" w:rsidRPr="008E2743">
        <w:rPr>
          <w:i/>
        </w:rPr>
        <w:tab/>
      </w:r>
    </w:p>
    <w:p w14:paraId="720FBBC3" w14:textId="505E93B4" w:rsidR="00C304F8" w:rsidRDefault="00C304F8" w:rsidP="00C304F8">
      <w:pPr>
        <w:tabs>
          <w:tab w:val="left" w:pos="0"/>
          <w:tab w:val="num" w:pos="720"/>
        </w:tabs>
        <w:spacing w:line="276" w:lineRule="auto"/>
        <w:jc w:val="both"/>
      </w:pPr>
      <w:r>
        <w:tab/>
      </w:r>
      <w:r w:rsidRPr="00C304F8">
        <w:t>С цел осигуряване на навременно информиране на заинтересованите страни и широката общественост, Комисията прилага принципите на прозрачност, предвидимост и последователност при формирането на регулаторната рамка. В тази връзка, на институционалната интернет страница се публикуват предложенията за нормативни изменения</w:t>
      </w:r>
      <w:r w:rsidRPr="00C304F8">
        <w:rPr>
          <w:rStyle w:val="FootnoteReference"/>
        </w:rPr>
        <w:footnoteReference w:id="1"/>
      </w:r>
      <w:r w:rsidRPr="00C304F8">
        <w:t>, придружени с мотиви, както и подробна информация относно техния обхват, правни последици, цели и очаквани въздействия.</w:t>
      </w:r>
    </w:p>
    <w:p w14:paraId="7CB4100C" w14:textId="77777777" w:rsidR="00C304F8" w:rsidRPr="00C304F8" w:rsidRDefault="00C304F8" w:rsidP="00C304F8">
      <w:pPr>
        <w:tabs>
          <w:tab w:val="left" w:pos="0"/>
          <w:tab w:val="num" w:pos="720"/>
        </w:tabs>
        <w:spacing w:line="276" w:lineRule="auto"/>
        <w:jc w:val="both"/>
      </w:pPr>
    </w:p>
    <w:p w14:paraId="539ECE37" w14:textId="535FFB71" w:rsidR="00340146" w:rsidRPr="00DB0748" w:rsidRDefault="00340146" w:rsidP="008E2743">
      <w:pPr>
        <w:tabs>
          <w:tab w:val="left" w:pos="0"/>
          <w:tab w:val="num" w:pos="720"/>
        </w:tabs>
        <w:spacing w:line="276" w:lineRule="auto"/>
        <w:jc w:val="both"/>
        <w:rPr>
          <w:i/>
        </w:rPr>
      </w:pPr>
      <w:r>
        <w:rPr>
          <w:i/>
        </w:rPr>
        <w:tab/>
      </w:r>
      <w:r w:rsidR="00A3748A" w:rsidRPr="008E2743">
        <w:rPr>
          <w:bCs/>
          <w:i/>
          <w:lang w:bidi="bg-BG"/>
        </w:rPr>
        <w:t xml:space="preserve">Оперативна цел </w:t>
      </w:r>
      <w:r w:rsidRPr="00DB0748">
        <w:rPr>
          <w:i/>
        </w:rPr>
        <w:t>1.5. Укрепване на регулаторната рамка и съответствие с нормативните изисквания по отношение на киберсигурността</w:t>
      </w:r>
    </w:p>
    <w:p w14:paraId="5F2DC341" w14:textId="70FBACCE" w:rsidR="00096034" w:rsidRPr="00DB0748" w:rsidRDefault="00096034" w:rsidP="00096034">
      <w:pPr>
        <w:tabs>
          <w:tab w:val="left" w:pos="0"/>
          <w:tab w:val="num" w:pos="720"/>
        </w:tabs>
        <w:spacing w:line="276" w:lineRule="auto"/>
        <w:jc w:val="both"/>
      </w:pPr>
      <w:r w:rsidRPr="00DB0748">
        <w:rPr>
          <w:i/>
        </w:rPr>
        <w:tab/>
      </w:r>
      <w:r w:rsidRPr="00DB0748">
        <w:t>В отговор на нарастващите предизвикателства в дигиталната среда и с оглед на новите регулаторни изисквания на европейско ниво, Комисията насочи усилията си към укрепване на регулаторната рамка в областта на киберсигурността</w:t>
      </w:r>
      <w:r w:rsidRPr="004E3B15">
        <w:t>. Основен приоритет в този процес е постигането на пълно съответствие с действащите и предстоящи нормативни актове, включително разширените изисквания на Директива (ЕС) 2022/2555</w:t>
      </w:r>
      <w:r w:rsidR="000154DE" w:rsidRPr="004E3B15">
        <w:rPr>
          <w:rStyle w:val="FootnoteReference"/>
        </w:rPr>
        <w:footnoteReference w:id="2"/>
      </w:r>
      <w:r w:rsidRPr="004E3B15">
        <w:t xml:space="preserve"> и новите регламенти, касаещи сертифицирането на услуги за киберсигурност.</w:t>
      </w:r>
    </w:p>
    <w:p w14:paraId="79A88CF2" w14:textId="77777777" w:rsidR="00096034" w:rsidRPr="00DB0748" w:rsidRDefault="00096034" w:rsidP="00096034">
      <w:pPr>
        <w:tabs>
          <w:tab w:val="left" w:pos="0"/>
          <w:tab w:val="num" w:pos="720"/>
        </w:tabs>
        <w:spacing w:line="276" w:lineRule="auto"/>
        <w:jc w:val="both"/>
      </w:pPr>
    </w:p>
    <w:p w14:paraId="52342C2E" w14:textId="4700335B" w:rsidR="00096034" w:rsidRPr="00DB0748" w:rsidRDefault="00096034" w:rsidP="00096034">
      <w:pPr>
        <w:tabs>
          <w:tab w:val="left" w:pos="0"/>
          <w:tab w:val="num" w:pos="720"/>
        </w:tabs>
        <w:spacing w:line="276" w:lineRule="auto"/>
        <w:jc w:val="both"/>
      </w:pPr>
      <w:r w:rsidRPr="00DB0748">
        <w:tab/>
        <w:t>В тази връзка беше извършен цялостен преглед на съществуващите вътрешни политики и процедури, с цел идентифициране на потенциални несъответствия и области за подобрение. Акцент беше поставен върху управлението на риска, защитата на информационните системи, сигурността на веригата за доставки и способността за ефективно реагиране при инциденти.</w:t>
      </w:r>
    </w:p>
    <w:p w14:paraId="432282D3" w14:textId="20A706AC" w:rsidR="00096034" w:rsidRPr="00DB0748" w:rsidRDefault="00096034" w:rsidP="003A754E">
      <w:pPr>
        <w:tabs>
          <w:tab w:val="left" w:pos="0"/>
          <w:tab w:val="num" w:pos="720"/>
        </w:tabs>
        <w:spacing w:line="276" w:lineRule="auto"/>
        <w:jc w:val="both"/>
      </w:pPr>
      <w:r w:rsidRPr="00DB0748">
        <w:tab/>
        <w:t>Паралелно с това, бяха предприети действия за повишаване на осведомеността и капацитета на служителите чрез целенасочени обучения и симулации на киберинциденти. Усилията са насочени към изграждане на устойчива култура на сигурност и създаване на механизми за своевременно докладване и координация с компетентните органи.</w:t>
      </w:r>
    </w:p>
    <w:p w14:paraId="43B60B99" w14:textId="2BB0309A" w:rsidR="00096034" w:rsidRDefault="00096034" w:rsidP="003A754E">
      <w:pPr>
        <w:tabs>
          <w:tab w:val="left" w:pos="0"/>
          <w:tab w:val="num" w:pos="720"/>
        </w:tabs>
        <w:spacing w:line="276" w:lineRule="auto"/>
        <w:jc w:val="both"/>
      </w:pPr>
      <w:r w:rsidRPr="00DB0748">
        <w:tab/>
        <w:t>Комисията продължава да поддържа активно сътрудничество с национални и европейски институции, включително чрез участие в работни групи и консултативни формати, с цел прилагане на добри практики и осигуряване на висока степен на съответствие с европейските стандарти за киберсигурност.</w:t>
      </w:r>
    </w:p>
    <w:p w14:paraId="214559E4" w14:textId="77777777" w:rsidR="00DB0748" w:rsidRPr="00096034" w:rsidRDefault="00DB0748" w:rsidP="003A754E">
      <w:pPr>
        <w:tabs>
          <w:tab w:val="left" w:pos="0"/>
          <w:tab w:val="num" w:pos="720"/>
        </w:tabs>
        <w:spacing w:line="276" w:lineRule="auto"/>
        <w:jc w:val="both"/>
      </w:pPr>
    </w:p>
    <w:p w14:paraId="753E3C48" w14:textId="77777777" w:rsidR="007D22B4" w:rsidRPr="00A72E56" w:rsidRDefault="007D22B4" w:rsidP="003A754E">
      <w:pPr>
        <w:tabs>
          <w:tab w:val="left" w:pos="0"/>
          <w:tab w:val="num" w:pos="720"/>
        </w:tabs>
        <w:spacing w:line="276" w:lineRule="auto"/>
        <w:jc w:val="both"/>
        <w:rPr>
          <w:lang w:val="ru-RU"/>
        </w:rPr>
      </w:pPr>
      <w:r w:rsidRPr="00A72E56">
        <w:rPr>
          <w:bCs/>
          <w:i/>
          <w:lang w:bidi="bg-BG"/>
        </w:rPr>
        <w:tab/>
      </w:r>
      <w:r w:rsidRPr="00A72E56">
        <w:rPr>
          <w:i/>
          <w:lang w:bidi="bg-BG"/>
        </w:rPr>
        <w:t xml:space="preserve"> </w:t>
      </w:r>
      <w:bookmarkEnd w:id="14"/>
      <w:bookmarkEnd w:id="15"/>
      <w:r w:rsidRPr="00A72E56">
        <w:t xml:space="preserve">За реализацията на </w:t>
      </w:r>
      <w:r w:rsidRPr="00A72E56">
        <w:rPr>
          <w:b/>
          <w:lang w:bidi="bg-BG"/>
        </w:rPr>
        <w:t>Приоритет 2 -</w:t>
      </w:r>
      <w:r w:rsidRPr="00A72E56">
        <w:rPr>
          <w:b/>
        </w:rPr>
        <w:t xml:space="preserve"> </w:t>
      </w:r>
      <w:bookmarkStart w:id="16" w:name="bookmark16"/>
      <w:bookmarkStart w:id="17" w:name="bookmark17"/>
      <w:r w:rsidRPr="00A72E56">
        <w:rPr>
          <w:b/>
          <w:lang w:bidi="bg-BG"/>
        </w:rPr>
        <w:t>Осъществяване на ефективен риск базиран надзор върху небанковия финансов сектор и поддържане на стабилни финансови пазари</w:t>
      </w:r>
      <w:bookmarkEnd w:id="16"/>
      <w:bookmarkEnd w:id="17"/>
      <w:r w:rsidRPr="00A72E56">
        <w:rPr>
          <w:lang w:bidi="bg-BG"/>
        </w:rPr>
        <w:t xml:space="preserve"> </w:t>
      </w:r>
      <w:r w:rsidRPr="00A72E56">
        <w:t>Комисията залага следните оперативни цели:</w:t>
      </w:r>
    </w:p>
    <w:p w14:paraId="77F65BF5" w14:textId="0AB7046E" w:rsidR="00096034" w:rsidRDefault="007D22B4" w:rsidP="003A754E">
      <w:pPr>
        <w:tabs>
          <w:tab w:val="left" w:pos="0"/>
          <w:tab w:val="num" w:pos="720"/>
        </w:tabs>
        <w:spacing w:line="276" w:lineRule="auto"/>
        <w:jc w:val="both"/>
        <w:rPr>
          <w:lang w:bidi="bg-BG"/>
        </w:rPr>
      </w:pPr>
      <w:r w:rsidRPr="00A72E56">
        <w:rPr>
          <w:bCs/>
          <w:i/>
          <w:lang w:bidi="bg-BG"/>
        </w:rPr>
        <w:tab/>
        <w:t>Оперативна цел 2.1.</w:t>
      </w:r>
      <w:r w:rsidRPr="00A72E56">
        <w:rPr>
          <w:bCs/>
          <w:lang w:bidi="bg-BG"/>
        </w:rPr>
        <w:t xml:space="preserve"> </w:t>
      </w:r>
      <w:r w:rsidR="00340146" w:rsidRPr="00A72E56">
        <w:rPr>
          <w:i/>
          <w:lang w:bidi="bg-BG"/>
        </w:rPr>
        <w:t>Осъществяване на надзорната дейност в съответствие с относимите единни политики и стандарти</w:t>
      </w:r>
    </w:p>
    <w:p w14:paraId="26513F78" w14:textId="639243D9" w:rsidR="00096034" w:rsidRDefault="00096034" w:rsidP="003A754E">
      <w:pPr>
        <w:tabs>
          <w:tab w:val="left" w:pos="0"/>
          <w:tab w:val="num" w:pos="720"/>
        </w:tabs>
        <w:spacing w:line="276" w:lineRule="auto"/>
        <w:jc w:val="both"/>
        <w:rPr>
          <w:lang w:bidi="bg-BG"/>
        </w:rPr>
      </w:pPr>
      <w:r>
        <w:rPr>
          <w:lang w:bidi="bg-BG"/>
        </w:rPr>
        <w:tab/>
      </w:r>
      <w:r w:rsidR="008C319F">
        <w:rPr>
          <w:lang w:bidi="bg-BG"/>
        </w:rPr>
        <w:t>В</w:t>
      </w:r>
      <w:r>
        <w:rPr>
          <w:lang w:bidi="bg-BG"/>
        </w:rPr>
        <w:t xml:space="preserve"> съответствие с приетите наръчници за прилагане на надзор, основан на риска, Комисията продължи да извършва регулярна комплексна оценка на поднадзорните лица. Тази оценка се базира както на количествени, така и на качествени показатели и служи за определяне на индивидуалния рисков профил на всяко лице. Периодичният преглед на утвърдените надзорни наръчници се осъществява с цел поддържане на тяхната актуалност и ефективност. При установяване на необходимост от подобрения или адаптация към променящата се регулаторна и пазарна среда, се предприемат съответните изменения в методологичните документи.</w:t>
      </w:r>
    </w:p>
    <w:p w14:paraId="387A8757" w14:textId="77777777" w:rsidR="001F5AE2" w:rsidRDefault="007D22B4" w:rsidP="003A754E">
      <w:pPr>
        <w:tabs>
          <w:tab w:val="left" w:pos="0"/>
          <w:tab w:val="num" w:pos="720"/>
        </w:tabs>
        <w:spacing w:line="276" w:lineRule="auto"/>
        <w:jc w:val="both"/>
        <w:rPr>
          <w:bCs/>
          <w:i/>
          <w:lang w:bidi="bg-BG"/>
        </w:rPr>
      </w:pPr>
      <w:r w:rsidRPr="00A72E56">
        <w:rPr>
          <w:bCs/>
          <w:i/>
          <w:lang w:bidi="bg-BG"/>
        </w:rPr>
        <w:tab/>
      </w:r>
    </w:p>
    <w:p w14:paraId="2DEEFC0E" w14:textId="0E104386" w:rsidR="007D22B4" w:rsidRPr="0032635C" w:rsidRDefault="001F5AE2" w:rsidP="003A754E">
      <w:pPr>
        <w:tabs>
          <w:tab w:val="left" w:pos="0"/>
          <w:tab w:val="num" w:pos="720"/>
        </w:tabs>
        <w:spacing w:line="276" w:lineRule="auto"/>
        <w:jc w:val="both"/>
        <w:rPr>
          <w:i/>
          <w:lang w:bidi="bg-BG"/>
        </w:rPr>
      </w:pPr>
      <w:r>
        <w:rPr>
          <w:bCs/>
          <w:i/>
          <w:lang w:bidi="bg-BG"/>
        </w:rPr>
        <w:tab/>
      </w:r>
      <w:r w:rsidR="007D22B4" w:rsidRPr="00A72E56">
        <w:rPr>
          <w:bCs/>
          <w:i/>
          <w:lang w:bidi="bg-BG"/>
        </w:rPr>
        <w:t xml:space="preserve">Оперативна цел 2.2. </w:t>
      </w:r>
      <w:r w:rsidR="007D22B4" w:rsidRPr="00A72E56">
        <w:rPr>
          <w:i/>
          <w:lang w:bidi="bg-BG"/>
        </w:rPr>
        <w:t xml:space="preserve">Ранна идентификация, анализ и оценка на рисковете, свързани с </w:t>
      </w:r>
      <w:r w:rsidR="007D22B4" w:rsidRPr="0032635C">
        <w:rPr>
          <w:i/>
          <w:lang w:bidi="bg-BG"/>
        </w:rPr>
        <w:t>дейността на поднадзорните лица</w:t>
      </w:r>
    </w:p>
    <w:p w14:paraId="7497E14F" w14:textId="695E0E51" w:rsidR="008D3AAE" w:rsidRPr="008D3AAE" w:rsidRDefault="008D3AAE" w:rsidP="003A754E">
      <w:pPr>
        <w:tabs>
          <w:tab w:val="left" w:pos="0"/>
          <w:tab w:val="num" w:pos="720"/>
        </w:tabs>
        <w:spacing w:line="276" w:lineRule="auto"/>
        <w:jc w:val="both"/>
        <w:rPr>
          <w:lang w:bidi="bg-BG"/>
        </w:rPr>
      </w:pPr>
      <w:r w:rsidRPr="0032635C">
        <w:rPr>
          <w:lang w:bidi="bg-BG"/>
        </w:rPr>
        <w:tab/>
        <w:t>В качеството си на компетентен орган за противодействие срещу изпирането на пари и финансирането на тероризма, Комисията разработва, прилага, извършва преглед и усъвършенства модела за риск-базиран надзор съобразно Насоките за риск</w:t>
      </w:r>
      <w:r w:rsidR="00F004B4">
        <w:rPr>
          <w:lang w:bidi="bg-BG"/>
        </w:rPr>
        <w:t>-</w:t>
      </w:r>
      <w:r w:rsidRPr="0032635C">
        <w:rPr>
          <w:lang w:bidi="bg-BG"/>
        </w:rPr>
        <w:t xml:space="preserve">базирания надзор, издадени съвместно от ЕБО, ЕОЦКП и ЕОЗППО в изпълнение на изискванията на чл. 48, параграф 10 на Директива (ЕС) 2015/849. </w:t>
      </w:r>
    </w:p>
    <w:p w14:paraId="0E402D27" w14:textId="7C9ED680" w:rsidR="00120F94" w:rsidRPr="00A72E56" w:rsidRDefault="00120F94" w:rsidP="003A754E">
      <w:pPr>
        <w:tabs>
          <w:tab w:val="left" w:pos="0"/>
          <w:tab w:val="num" w:pos="720"/>
        </w:tabs>
        <w:spacing w:line="276" w:lineRule="auto"/>
        <w:jc w:val="both"/>
        <w:rPr>
          <w:i/>
          <w:lang w:bidi="bg-BG"/>
        </w:rPr>
      </w:pPr>
    </w:p>
    <w:p w14:paraId="11C416C3" w14:textId="1044B4D3" w:rsidR="007D22B4" w:rsidRPr="00A72E56" w:rsidRDefault="000C5445" w:rsidP="003A754E">
      <w:pPr>
        <w:tabs>
          <w:tab w:val="left" w:pos="0"/>
          <w:tab w:val="num" w:pos="720"/>
        </w:tabs>
        <w:spacing w:line="276" w:lineRule="auto"/>
        <w:jc w:val="both"/>
        <w:rPr>
          <w:rFonts w:eastAsia="Calibri"/>
          <w:i/>
          <w:lang w:eastAsia="en-US"/>
        </w:rPr>
      </w:pPr>
      <w:r w:rsidRPr="00A72E56">
        <w:rPr>
          <w:bCs/>
          <w:i/>
          <w:lang w:bidi="bg-BG"/>
        </w:rPr>
        <w:tab/>
      </w:r>
      <w:r w:rsidR="007D22B4" w:rsidRPr="00A72E56">
        <w:rPr>
          <w:bCs/>
          <w:i/>
          <w:lang w:bidi="bg-BG"/>
        </w:rPr>
        <w:t>Оперативна цел 2.3.</w:t>
      </w:r>
      <w:r w:rsidR="007D22B4" w:rsidRPr="00A72E56">
        <w:rPr>
          <w:bCs/>
          <w:lang w:bidi="bg-BG"/>
        </w:rPr>
        <w:t xml:space="preserve"> </w:t>
      </w:r>
      <w:r w:rsidR="007D22B4" w:rsidRPr="00A72E56">
        <w:rPr>
          <w:rFonts w:eastAsia="Calibri"/>
          <w:i/>
          <w:lang w:eastAsia="en-US"/>
        </w:rPr>
        <w:t>Разширяване на надзора върху пазарното поведение на поднадзорните лица</w:t>
      </w:r>
    </w:p>
    <w:p w14:paraId="44188289" w14:textId="48B94CD3" w:rsidR="000154DE" w:rsidRDefault="000154DE" w:rsidP="003A754E">
      <w:pPr>
        <w:spacing w:line="276" w:lineRule="auto"/>
        <w:ind w:firstLine="709"/>
        <w:jc w:val="both"/>
        <w:rPr>
          <w:lang w:bidi="bg-BG"/>
        </w:rPr>
      </w:pPr>
      <w:r>
        <w:rPr>
          <w:lang w:bidi="bg-BG"/>
        </w:rPr>
        <w:t xml:space="preserve">В рамките на изпълнението на своите надзорни функции, Комисията продължи да прилага механизми за предварителен надзор, насочени към утвърждаване и одобрение на </w:t>
      </w:r>
      <w:r>
        <w:rPr>
          <w:lang w:bidi="bg-BG"/>
        </w:rPr>
        <w:lastRenderedPageBreak/>
        <w:t xml:space="preserve">ключови документи, имащи съществено значение за дейността на участниците в небанковия финансов сектор. Този процес е от основно значение за гарантиране на съответствие с нормативните изисквания и за поддържане на стабилността и прозрачността на пазара. </w:t>
      </w:r>
    </w:p>
    <w:p w14:paraId="7B54A798" w14:textId="4512BADE" w:rsidR="000154DE" w:rsidRDefault="000154DE" w:rsidP="003A754E">
      <w:pPr>
        <w:spacing w:line="276" w:lineRule="auto"/>
        <w:ind w:firstLine="709"/>
        <w:jc w:val="both"/>
        <w:rPr>
          <w:lang w:bidi="bg-BG"/>
        </w:rPr>
      </w:pPr>
      <w:r>
        <w:rPr>
          <w:lang w:bidi="bg-BG"/>
        </w:rPr>
        <w:t>През отчетния период експертите от трите специализирани управления извършваха целенасочени анализи на пазарното поведение на поднадзорните лица. Тези анализи предоставят важна информация за оценка на рисковете, идентифициране на потенциални отклонения от добрите практики и подпомагат процеса на вземане на решения в рамките на надзорната дейност.</w:t>
      </w:r>
    </w:p>
    <w:p w14:paraId="7A97B0EF" w14:textId="77777777" w:rsidR="000154DE" w:rsidRDefault="000154DE" w:rsidP="003A754E">
      <w:pPr>
        <w:spacing w:line="276" w:lineRule="auto"/>
        <w:ind w:firstLine="709"/>
        <w:jc w:val="both"/>
        <w:rPr>
          <w:lang w:bidi="bg-BG"/>
        </w:rPr>
      </w:pPr>
    </w:p>
    <w:p w14:paraId="6F0DA97B" w14:textId="78F1D2F2" w:rsidR="007D22B4" w:rsidRPr="0032635C" w:rsidRDefault="007D22B4" w:rsidP="003A754E">
      <w:pPr>
        <w:spacing w:line="276" w:lineRule="auto"/>
        <w:ind w:firstLine="720"/>
        <w:jc w:val="both"/>
        <w:rPr>
          <w:lang w:bidi="bg-BG"/>
        </w:rPr>
      </w:pPr>
      <w:r w:rsidRPr="00D34FCA">
        <w:rPr>
          <w:lang w:bidi="bg-BG"/>
        </w:rPr>
        <w:t xml:space="preserve">За реализацията на </w:t>
      </w:r>
      <w:r w:rsidRPr="00D34FCA">
        <w:rPr>
          <w:b/>
        </w:rPr>
        <w:t>Приоритет 3</w:t>
      </w:r>
      <w:r w:rsidRPr="00D34FCA">
        <w:rPr>
          <w:lang w:bidi="bg-BG"/>
        </w:rPr>
        <w:t xml:space="preserve"> </w:t>
      </w:r>
      <w:r w:rsidR="00086AE8" w:rsidRPr="00086AE8">
        <w:rPr>
          <w:b/>
          <w:lang w:bidi="bg-BG"/>
        </w:rPr>
        <w:t>-</w:t>
      </w:r>
      <w:r w:rsidR="00086AE8">
        <w:rPr>
          <w:lang w:bidi="bg-BG"/>
        </w:rPr>
        <w:t xml:space="preserve"> </w:t>
      </w:r>
      <w:r w:rsidR="00340146" w:rsidRPr="008C319F">
        <w:rPr>
          <w:b/>
        </w:rPr>
        <w:t xml:space="preserve">Осигуряване на ефективна защита на </w:t>
      </w:r>
      <w:r w:rsidR="00340146" w:rsidRPr="0032635C">
        <w:rPr>
          <w:b/>
        </w:rPr>
        <w:t>потребителите на небанкови финансови услуги и продукти, повишаване на финансовата грамотност и укрепване на общественото доверие във финансовите пазари</w:t>
      </w:r>
      <w:r w:rsidR="000154DE" w:rsidRPr="0032635C">
        <w:rPr>
          <w:i/>
          <w:lang w:bidi="bg-BG"/>
        </w:rPr>
        <w:t xml:space="preserve"> </w:t>
      </w:r>
      <w:r w:rsidRPr="0032635C">
        <w:t>Комисията залага следните оперативни цели:</w:t>
      </w:r>
    </w:p>
    <w:p w14:paraId="7A2BC439" w14:textId="76A81008" w:rsidR="007D22B4" w:rsidRPr="0032635C" w:rsidRDefault="007D22B4" w:rsidP="003A754E">
      <w:pPr>
        <w:spacing w:line="276" w:lineRule="auto"/>
        <w:ind w:firstLine="720"/>
        <w:jc w:val="both"/>
        <w:rPr>
          <w:i/>
        </w:rPr>
      </w:pPr>
      <w:r w:rsidRPr="0032635C">
        <w:rPr>
          <w:i/>
        </w:rPr>
        <w:t>Оперативна цел</w:t>
      </w:r>
      <w:r w:rsidRPr="0032635C">
        <w:rPr>
          <w:b/>
          <w:bCs/>
          <w:i/>
          <w:lang w:bidi="bg-BG"/>
        </w:rPr>
        <w:t xml:space="preserve"> </w:t>
      </w:r>
      <w:r w:rsidRPr="0032635C">
        <w:rPr>
          <w:i/>
        </w:rPr>
        <w:t xml:space="preserve">3.1. </w:t>
      </w:r>
      <w:r w:rsidR="00340146" w:rsidRPr="0032635C">
        <w:rPr>
          <w:i/>
        </w:rPr>
        <w:t>Повишаване на информираността и ограничаване извършването на дейност без изискуемия за целта лиценз или разрешение</w:t>
      </w:r>
    </w:p>
    <w:p w14:paraId="5C419E0C" w14:textId="5FCC3370" w:rsidR="00FA4829" w:rsidRPr="0032635C" w:rsidRDefault="00FA4829" w:rsidP="003A754E">
      <w:pPr>
        <w:widowControl w:val="0"/>
        <w:spacing w:line="276" w:lineRule="auto"/>
        <w:ind w:firstLine="720"/>
        <w:jc w:val="both"/>
        <w:rPr>
          <w:szCs w:val="20"/>
        </w:rPr>
      </w:pPr>
      <w:r w:rsidRPr="0032635C">
        <w:rPr>
          <w:szCs w:val="20"/>
        </w:rPr>
        <w:t xml:space="preserve">Комисията периодично провежда обучителни кампании и публикува на </w:t>
      </w:r>
      <w:r w:rsidR="005D2BCB">
        <w:rPr>
          <w:szCs w:val="20"/>
        </w:rPr>
        <w:t>интернет страницата си</w:t>
      </w:r>
      <w:r w:rsidRPr="0032635C">
        <w:rPr>
          <w:szCs w:val="20"/>
        </w:rPr>
        <w:t xml:space="preserve"> материали за разпознаване дейността на лицензираните поднадзорни лица. Периодично </w:t>
      </w:r>
      <w:r w:rsidR="0032635C" w:rsidRPr="0032635C">
        <w:rPr>
          <w:szCs w:val="20"/>
        </w:rPr>
        <w:t xml:space="preserve">се </w:t>
      </w:r>
      <w:r w:rsidRPr="0032635C">
        <w:rPr>
          <w:szCs w:val="20"/>
        </w:rPr>
        <w:t>актуализира списъка с лица, предоставящи услуги или дейности без лиценз, както и списъка на лицата с отнет лиценз.</w:t>
      </w:r>
    </w:p>
    <w:p w14:paraId="287BE7D6" w14:textId="77777777" w:rsidR="00FA4829" w:rsidRPr="0032635C" w:rsidRDefault="00FA4829" w:rsidP="003A754E">
      <w:pPr>
        <w:spacing w:line="276" w:lineRule="auto"/>
        <w:ind w:firstLine="720"/>
        <w:jc w:val="both"/>
        <w:rPr>
          <w:i/>
        </w:rPr>
      </w:pPr>
    </w:p>
    <w:p w14:paraId="20D54B8A" w14:textId="28847D53" w:rsidR="00340146" w:rsidRDefault="00340146" w:rsidP="003A754E">
      <w:pPr>
        <w:spacing w:line="276" w:lineRule="auto"/>
        <w:ind w:firstLine="720"/>
        <w:jc w:val="both"/>
      </w:pPr>
      <w:r w:rsidRPr="0032635C">
        <w:rPr>
          <w:i/>
        </w:rPr>
        <w:t>Оперативна цел</w:t>
      </w:r>
      <w:r w:rsidRPr="0032635C">
        <w:rPr>
          <w:b/>
          <w:bCs/>
          <w:i/>
          <w:lang w:bidi="bg-BG"/>
        </w:rPr>
        <w:t xml:space="preserve"> </w:t>
      </w:r>
      <w:r w:rsidRPr="0032635C">
        <w:rPr>
          <w:i/>
        </w:rPr>
        <w:t>3</w:t>
      </w:r>
      <w:r w:rsidRPr="00340146">
        <w:rPr>
          <w:i/>
        </w:rPr>
        <w:t>.2. Повишаване на финансовата култура на потребителите на небанковите финансови продукти и услуги</w:t>
      </w:r>
      <w:r w:rsidRPr="00340146">
        <w:t xml:space="preserve"> </w:t>
      </w:r>
    </w:p>
    <w:p w14:paraId="7B58C5C1" w14:textId="77777777" w:rsidR="00FA4829" w:rsidRPr="0032635C" w:rsidRDefault="00FA4829" w:rsidP="003A754E">
      <w:pPr>
        <w:widowControl w:val="0"/>
        <w:spacing w:line="276" w:lineRule="auto"/>
        <w:ind w:firstLine="720"/>
        <w:jc w:val="both"/>
        <w:rPr>
          <w:szCs w:val="20"/>
        </w:rPr>
      </w:pPr>
      <w:r w:rsidRPr="0032635C">
        <w:rPr>
          <w:szCs w:val="20"/>
        </w:rPr>
        <w:t xml:space="preserve">Комисията се стреми да подпомогне повишаването на финансовата култура на потребителите на небанкови финансови продукти и услуги чрез организиране на образователни кампании и семинари, публикуване на различни материали на интернет страницата си. </w:t>
      </w:r>
    </w:p>
    <w:p w14:paraId="7DC8AE31" w14:textId="77777777" w:rsidR="00FA4829" w:rsidRPr="0032635C" w:rsidRDefault="00FA4829" w:rsidP="001F5AE2">
      <w:pPr>
        <w:spacing w:line="276" w:lineRule="auto"/>
        <w:ind w:firstLine="720"/>
        <w:jc w:val="both"/>
      </w:pPr>
    </w:p>
    <w:p w14:paraId="204B3079" w14:textId="082B34A0" w:rsidR="00340146" w:rsidRPr="0032635C" w:rsidRDefault="00340146" w:rsidP="001F5AE2">
      <w:pPr>
        <w:spacing w:line="276" w:lineRule="auto"/>
        <w:ind w:firstLine="720"/>
        <w:jc w:val="both"/>
        <w:rPr>
          <w:i/>
        </w:rPr>
      </w:pPr>
      <w:r w:rsidRPr="0032635C">
        <w:rPr>
          <w:i/>
        </w:rPr>
        <w:t>Оперативна цел</w:t>
      </w:r>
      <w:r w:rsidRPr="0032635C">
        <w:rPr>
          <w:b/>
          <w:bCs/>
          <w:i/>
          <w:lang w:bidi="bg-BG"/>
        </w:rPr>
        <w:t xml:space="preserve"> </w:t>
      </w:r>
      <w:r w:rsidRPr="0032635C">
        <w:rPr>
          <w:i/>
        </w:rPr>
        <w:t>3.3. Осигуряване защита на потребителите на небанкови финансови продукти и услуги чрез предприемане на своевременни и ефективни регулаторни и надзорни мерки</w:t>
      </w:r>
    </w:p>
    <w:p w14:paraId="3CF450DE" w14:textId="591A3DAB" w:rsidR="000562CD" w:rsidRPr="000562CD" w:rsidRDefault="000562CD" w:rsidP="000562CD">
      <w:pPr>
        <w:widowControl w:val="0"/>
        <w:spacing w:line="276" w:lineRule="auto"/>
        <w:ind w:firstLine="720"/>
        <w:jc w:val="both"/>
        <w:rPr>
          <w:szCs w:val="20"/>
        </w:rPr>
      </w:pPr>
      <w:r w:rsidRPr="000562CD">
        <w:rPr>
          <w:szCs w:val="20"/>
        </w:rPr>
        <w:t xml:space="preserve">Една от основните дейности на Комисията е защитата на потребителите чрез своевременното разглеждане на техните жалби. </w:t>
      </w:r>
      <w:r>
        <w:rPr>
          <w:szCs w:val="20"/>
        </w:rPr>
        <w:t>Комисията</w:t>
      </w:r>
      <w:r w:rsidRPr="000562CD">
        <w:rPr>
          <w:szCs w:val="20"/>
        </w:rPr>
        <w:t xml:space="preserve"> реагира адекватно, навременно и ефективно в рамките на своите законови правомощия, с цел да предотврати възможни вреди за потребителите на финансови продукти и услуги. За тази цел </w:t>
      </w:r>
      <w:r w:rsidR="005D2BCB">
        <w:rPr>
          <w:szCs w:val="20"/>
        </w:rPr>
        <w:t xml:space="preserve">експерти от </w:t>
      </w:r>
      <w:r w:rsidRPr="000562CD">
        <w:rPr>
          <w:szCs w:val="20"/>
        </w:rPr>
        <w:t>Комисията извършва</w:t>
      </w:r>
      <w:r w:rsidR="005D2BCB">
        <w:rPr>
          <w:szCs w:val="20"/>
        </w:rPr>
        <w:t>т</w:t>
      </w:r>
      <w:r w:rsidRPr="000562CD">
        <w:rPr>
          <w:szCs w:val="20"/>
        </w:rPr>
        <w:t xml:space="preserve"> регулярни анализи на получените сигнали и жалби, както и формулира</w:t>
      </w:r>
      <w:r w:rsidR="005D2BCB">
        <w:rPr>
          <w:szCs w:val="20"/>
        </w:rPr>
        <w:t>т</w:t>
      </w:r>
      <w:r w:rsidRPr="000562CD">
        <w:rPr>
          <w:szCs w:val="20"/>
        </w:rPr>
        <w:t xml:space="preserve"> предложения за подобрения в нормативната уредба и надзорните практики.</w:t>
      </w:r>
    </w:p>
    <w:p w14:paraId="03CF3768" w14:textId="77777777" w:rsidR="000562CD" w:rsidRPr="000562CD" w:rsidRDefault="000562CD" w:rsidP="000562CD">
      <w:pPr>
        <w:widowControl w:val="0"/>
        <w:spacing w:line="276" w:lineRule="auto"/>
        <w:ind w:firstLine="720"/>
        <w:jc w:val="both"/>
        <w:rPr>
          <w:szCs w:val="20"/>
        </w:rPr>
      </w:pPr>
    </w:p>
    <w:p w14:paraId="6E5857A6" w14:textId="79F6B8F5" w:rsidR="00340146" w:rsidRDefault="00340146" w:rsidP="003A754E">
      <w:pPr>
        <w:spacing w:line="276" w:lineRule="auto"/>
        <w:ind w:firstLine="720"/>
        <w:jc w:val="both"/>
        <w:rPr>
          <w:i/>
        </w:rPr>
      </w:pPr>
      <w:r w:rsidRPr="00D34FCA">
        <w:rPr>
          <w:i/>
        </w:rPr>
        <w:t>Оперативна цел</w:t>
      </w:r>
      <w:r w:rsidRPr="00D34FCA">
        <w:rPr>
          <w:b/>
          <w:bCs/>
          <w:i/>
          <w:lang w:bidi="bg-BG"/>
        </w:rPr>
        <w:t xml:space="preserve"> </w:t>
      </w:r>
      <w:r>
        <w:rPr>
          <w:i/>
        </w:rPr>
        <w:t>3.4.</w:t>
      </w:r>
      <w:r w:rsidRPr="00340146">
        <w:t xml:space="preserve"> </w:t>
      </w:r>
      <w:r w:rsidRPr="00340146">
        <w:rPr>
          <w:i/>
        </w:rPr>
        <w:t>Повишаване на общественото доверие към дейността на Комисията чрез подобряване нивото на осведоменост</w:t>
      </w:r>
    </w:p>
    <w:p w14:paraId="7CE8D90C" w14:textId="6C689263" w:rsidR="00241281" w:rsidRPr="0032635C" w:rsidRDefault="00241281" w:rsidP="003A754E">
      <w:pPr>
        <w:spacing w:line="276" w:lineRule="auto"/>
        <w:ind w:firstLine="720"/>
        <w:jc w:val="both"/>
      </w:pPr>
      <w:r w:rsidRPr="0032635C">
        <w:t>През първото полугодие на 2025 г. К</w:t>
      </w:r>
      <w:r w:rsidR="00F004B4">
        <w:t>омисията</w:t>
      </w:r>
      <w:r w:rsidRPr="0032635C">
        <w:t xml:space="preserve"> продължи последователно да утвърждава своята роля на прозрачен, отговорен и общественоангажиран регулатор. </w:t>
      </w:r>
      <w:r w:rsidRPr="0032635C">
        <w:lastRenderedPageBreak/>
        <w:t>Усилията на Комисията бяха насочени към поддържане на активен диалог със заинтересованите страни, повишаване на финансовата грамотност и устойчиво изграждане на доверие чрез информираност, дигитална достъпност и институционална откритост.</w:t>
      </w:r>
    </w:p>
    <w:p w14:paraId="040B607A" w14:textId="6071FC62" w:rsidR="00241281" w:rsidRPr="0032635C" w:rsidRDefault="00241281" w:rsidP="003A754E">
      <w:pPr>
        <w:spacing w:line="276" w:lineRule="auto"/>
        <w:ind w:firstLine="720"/>
        <w:jc w:val="both"/>
      </w:pPr>
      <w:r w:rsidRPr="0032635C">
        <w:t xml:space="preserve">Официалният сайт на КФН – </w:t>
      </w:r>
      <w:hyperlink r:id="rId14" w:tgtFrame="_new" w:history="1">
        <w:r w:rsidRPr="0032635C">
          <w:rPr>
            <w:color w:val="0000FF"/>
            <w:u w:val="single"/>
          </w:rPr>
          <w:t>www.fsc.bg</w:t>
        </w:r>
      </w:hyperlink>
      <w:r w:rsidRPr="0032635C">
        <w:t xml:space="preserve"> – остана основен канал за публична комуникация. Продължи практиката за редовно публикуване на нормативни документи, предупреждения от европейските надзорни органи, указания и информация за поднадзорните лица. </w:t>
      </w:r>
    </w:p>
    <w:p w14:paraId="4380DC9F" w14:textId="20EC8528" w:rsidR="00241281" w:rsidRPr="0032635C" w:rsidRDefault="00241281" w:rsidP="003A754E">
      <w:pPr>
        <w:spacing w:line="276" w:lineRule="auto"/>
        <w:ind w:firstLine="720"/>
        <w:jc w:val="both"/>
      </w:pPr>
      <w:r w:rsidRPr="0032635C">
        <w:t xml:space="preserve">Расте интересът към мобилното приложение FSC Mobile, чрез което потребителите получават своевременни известия за срокове, лицензи и регулаторни промени. Продължи поддържането на комуникационните платформи </w:t>
      </w:r>
      <w:r w:rsidRPr="0032635C">
        <w:rPr>
          <w:bCs/>
        </w:rPr>
        <w:t>investsafely.fsc.bg</w:t>
      </w:r>
      <w:r w:rsidRPr="0032635C">
        <w:t xml:space="preserve"> и </w:t>
      </w:r>
      <w:r w:rsidRPr="0032635C">
        <w:rPr>
          <w:bCs/>
        </w:rPr>
        <w:t>tvoitefinansi.bg</w:t>
      </w:r>
      <w:r w:rsidRPr="0032635C">
        <w:t>, насочени към повишаване на информираността на гражданите и инвеститорите.</w:t>
      </w:r>
    </w:p>
    <w:p w14:paraId="419C915C" w14:textId="2F5AB4B6" w:rsidR="00241281" w:rsidRPr="0032635C" w:rsidRDefault="00241281" w:rsidP="003A754E">
      <w:pPr>
        <w:spacing w:line="276" w:lineRule="auto"/>
        <w:ind w:firstLine="720"/>
        <w:jc w:val="both"/>
      </w:pPr>
      <w:r w:rsidRPr="0032635C">
        <w:t>LinkedIn профилът на Комисията също отчете значителен растеж – към края на юни 2025 г. последователите надхвърлиха 1 500 души, с ръст от над 300 души за шест месеца. Платформата се утвърди като професионален канал за комуникация с индустрията, академичните среди и международните партньори.</w:t>
      </w:r>
    </w:p>
    <w:p w14:paraId="5FF48ED8" w14:textId="77777777" w:rsidR="000F5F83" w:rsidRPr="0032635C" w:rsidRDefault="000F5F83" w:rsidP="003A754E">
      <w:pPr>
        <w:spacing w:line="276" w:lineRule="auto"/>
        <w:ind w:firstLine="720"/>
        <w:jc w:val="both"/>
      </w:pPr>
      <w:r w:rsidRPr="0032635C">
        <w:t xml:space="preserve">С встъпването си в длъжност на 27 март 2025 г., новият председател на КФН г-н </w:t>
      </w:r>
      <w:r w:rsidRPr="0032635C">
        <w:rPr>
          <w:bCs/>
        </w:rPr>
        <w:t>Васил Големански</w:t>
      </w:r>
      <w:r w:rsidRPr="0032635C">
        <w:t xml:space="preserve"> заяви амбиция за модернизация на институцията, ефективна дигитализация и редуциране на административната тежест. Първите му публични участия затвърдиха последователен и експертен подход:</w:t>
      </w:r>
    </w:p>
    <w:p w14:paraId="4418EA55" w14:textId="77777777" w:rsidR="000F5F83" w:rsidRPr="0032635C" w:rsidRDefault="000F5F83" w:rsidP="003A754E">
      <w:pPr>
        <w:numPr>
          <w:ilvl w:val="0"/>
          <w:numId w:val="33"/>
        </w:numPr>
        <w:spacing w:line="276" w:lineRule="auto"/>
        <w:jc w:val="both"/>
      </w:pPr>
      <w:r w:rsidRPr="0032635C">
        <w:t xml:space="preserve">В интервю за </w:t>
      </w:r>
      <w:r w:rsidRPr="0032635C">
        <w:rPr>
          <w:bCs/>
        </w:rPr>
        <w:t>БТА</w:t>
      </w:r>
      <w:r w:rsidRPr="0032635C">
        <w:t xml:space="preserve"> той представи приоритетите на новото ръководство;</w:t>
      </w:r>
    </w:p>
    <w:p w14:paraId="0AE28E02" w14:textId="5E061F25" w:rsidR="000F5F83" w:rsidRPr="0032635C" w:rsidRDefault="000F5F83" w:rsidP="003A754E">
      <w:pPr>
        <w:numPr>
          <w:ilvl w:val="0"/>
          <w:numId w:val="33"/>
        </w:numPr>
        <w:tabs>
          <w:tab w:val="clear" w:pos="720"/>
          <w:tab w:val="num" w:pos="360"/>
        </w:tabs>
        <w:spacing w:before="100" w:beforeAutospacing="1" w:after="100" w:afterAutospacing="1" w:line="276" w:lineRule="auto"/>
        <w:ind w:left="0" w:firstLine="360"/>
        <w:jc w:val="both"/>
      </w:pPr>
      <w:r w:rsidRPr="0032635C">
        <w:t xml:space="preserve">В изказване за </w:t>
      </w:r>
      <w:r w:rsidRPr="0032635C">
        <w:rPr>
          <w:bCs/>
        </w:rPr>
        <w:t>бюлетина на Асоциацията на банките в България</w:t>
      </w:r>
      <w:r w:rsidR="001B7C36" w:rsidRPr="0032635C">
        <w:rPr>
          <w:bCs/>
          <w:lang w:val="en-US"/>
        </w:rPr>
        <w:t xml:space="preserve"> </w:t>
      </w:r>
      <w:r w:rsidR="001B7C36" w:rsidRPr="0032635C">
        <w:rPr>
          <w:bCs/>
        </w:rPr>
        <w:t xml:space="preserve">г-н Големански </w:t>
      </w:r>
      <w:r w:rsidRPr="0032635C">
        <w:rPr>
          <w:b/>
          <w:bCs/>
        </w:rPr>
        <w:t xml:space="preserve"> </w:t>
      </w:r>
      <w:r w:rsidRPr="0032635C">
        <w:t>подчерта необходимостта от интегриран подход към капиталовите пазари, прилагане на европейските регламенти MiCA и DORA и насърчаване на устойчивото финансиране;</w:t>
      </w:r>
    </w:p>
    <w:p w14:paraId="306E8F03" w14:textId="129FD643" w:rsidR="000F5F83" w:rsidRPr="0032635C" w:rsidRDefault="000F5F83" w:rsidP="003A754E">
      <w:pPr>
        <w:numPr>
          <w:ilvl w:val="0"/>
          <w:numId w:val="33"/>
        </w:numPr>
        <w:tabs>
          <w:tab w:val="clear" w:pos="720"/>
          <w:tab w:val="num" w:pos="360"/>
        </w:tabs>
        <w:spacing w:line="276" w:lineRule="auto"/>
        <w:ind w:left="0" w:firstLine="360"/>
        <w:jc w:val="both"/>
      </w:pPr>
      <w:r w:rsidRPr="0032635C">
        <w:t xml:space="preserve">В интервю за </w:t>
      </w:r>
      <w:r w:rsidRPr="0032635C">
        <w:rPr>
          <w:bCs/>
        </w:rPr>
        <w:t>бюлетина на Асоциацията на българските застрахователи</w:t>
      </w:r>
      <w:r w:rsidRPr="0032635C">
        <w:rPr>
          <w:b/>
          <w:bCs/>
        </w:rPr>
        <w:t xml:space="preserve"> </w:t>
      </w:r>
      <w:r w:rsidRPr="0032635C">
        <w:t>той очерта визията за стабилен, прозрачен и ориентиран към потребителите застрахователен сектор.</w:t>
      </w:r>
    </w:p>
    <w:p w14:paraId="540E9CF2" w14:textId="629B1BC4" w:rsidR="00C31641" w:rsidRPr="00570DC1" w:rsidRDefault="000F5F83" w:rsidP="003A754E">
      <w:pPr>
        <w:spacing w:line="276" w:lineRule="auto"/>
        <w:ind w:firstLine="720"/>
        <w:jc w:val="both"/>
      </w:pPr>
      <w:r w:rsidRPr="0032635C">
        <w:t xml:space="preserve">През периода Комисията бе спомената в над </w:t>
      </w:r>
      <w:r w:rsidRPr="0032635C">
        <w:rPr>
          <w:bCs/>
        </w:rPr>
        <w:t>1600 медийни публикации</w:t>
      </w:r>
      <w:r w:rsidRPr="0032635C">
        <w:t>. Сред по-значимите участия са интервюта и коментари на председателя и заместник-председателите в Bloomberg TV Bulgaria, БТА, БНТ, БНР, bTV, както и в специализирани икономически издания. Основни теми включваха въвеждането на еврото, устойчивото финансиране, мултифондовия пенсионен модел, както и защита на по</w:t>
      </w:r>
      <w:r w:rsidR="0032635C" w:rsidRPr="0032635C">
        <w:t xml:space="preserve">требителите от финансови измами, </w:t>
      </w:r>
      <w:r w:rsidRPr="0032635C">
        <w:t>Информационният център на КФН продължи да обслужва ежедневно граждани и поднадзорни лица по теми като застрахователни казуси, лицензи, пенсионни права и работа с Единната информационна система. Повишена активност бе отчетена особено в началото на годината, във връзка с регулаторните срокове и новите изисквания.</w:t>
      </w:r>
      <w:r w:rsidR="0032635C" w:rsidRPr="0032635C">
        <w:t xml:space="preserve"> </w:t>
      </w:r>
      <w:r w:rsidR="007C35AA" w:rsidRPr="0032635C">
        <w:t xml:space="preserve">През първото полугодие на 2025 г. общият брой на обажданията, постъпили в Информационния център на КФН, е 2060. От тях 1297 запитвания са свързани с трите области на небанковата финансова сфера. В процентно съотношение най-голям брой запитвания са свързани с управление „Застрахователен надзор“ – 50%, следва „Надзор на инвестиционната дейност“ с 47% и „Осигурителен надзор“ с 3%. 763 са обажданията на граждани и поднадзорни лица, свързани с административни въпроси. Посещенията от граждани на място са 13 броя. По месеци телефонните запитвания са както следва: 450 през януари, 391 през февруари, 397 </w:t>
      </w:r>
      <w:r w:rsidR="007C35AA" w:rsidRPr="0032635C">
        <w:lastRenderedPageBreak/>
        <w:t>през март, 249 през април,  281 през май, 292 през юни.</w:t>
      </w:r>
      <w:r w:rsidR="0032635C" w:rsidRPr="0032635C">
        <w:t xml:space="preserve"> През първите 6 месеца на 2025</w:t>
      </w:r>
      <w:r w:rsidR="00C31641" w:rsidRPr="0032635C">
        <w:t xml:space="preserve"> г. се осъществи активна комуникация с медиите, като се използваха разнообразни канали с цел информираност на потребителите на финансови услуги и повишаване на общественото доверие към дейността на Комисията. На интернет страницата на КФН бяха публикувани 115 новини</w:t>
      </w:r>
      <w:r w:rsidR="00292736" w:rsidRPr="0032635C">
        <w:t>, към медиите са изпратени 7 прессъобщения</w:t>
      </w:r>
      <w:r w:rsidR="00C31641" w:rsidRPr="0032635C">
        <w:t>.</w:t>
      </w:r>
      <w:r w:rsidR="003A4632" w:rsidRPr="0032635C">
        <w:t xml:space="preserve"> Общо за първите 6 месеца на 2025 г. са изготвени 264 мониторинга, като извънредни от тях са 4.</w:t>
      </w:r>
    </w:p>
    <w:p w14:paraId="36E1166D" w14:textId="77777777" w:rsidR="00B803BD" w:rsidRDefault="00B803BD" w:rsidP="001F5AE2">
      <w:pPr>
        <w:spacing w:line="276" w:lineRule="auto"/>
        <w:ind w:firstLine="720"/>
        <w:jc w:val="both"/>
        <w:rPr>
          <w:i/>
        </w:rPr>
      </w:pPr>
    </w:p>
    <w:p w14:paraId="443DC9C9" w14:textId="3AB7C3D8" w:rsidR="00340146" w:rsidRDefault="00340146" w:rsidP="001F5AE2">
      <w:pPr>
        <w:spacing w:line="276" w:lineRule="auto"/>
        <w:ind w:firstLine="720"/>
        <w:jc w:val="both"/>
        <w:rPr>
          <w:i/>
        </w:rPr>
      </w:pPr>
      <w:r w:rsidRPr="00340146">
        <w:rPr>
          <w:i/>
        </w:rPr>
        <w:t>Оперативна цел 3.</w:t>
      </w:r>
      <w:r>
        <w:rPr>
          <w:i/>
          <w:lang w:val="en-US"/>
        </w:rPr>
        <w:t>5</w:t>
      </w:r>
      <w:r w:rsidRPr="00340146">
        <w:rPr>
          <w:i/>
        </w:rPr>
        <w:t>.</w:t>
      </w:r>
      <w:r w:rsidRPr="00340146">
        <w:t xml:space="preserve"> </w:t>
      </w:r>
      <w:r w:rsidRPr="00340146">
        <w:rPr>
          <w:i/>
        </w:rPr>
        <w:t>Осигуряване защита на потребителите в небанковия финансов сектор в процеса на въвеждане на еврото в Република България</w:t>
      </w:r>
    </w:p>
    <w:p w14:paraId="3AAC4021" w14:textId="0F38ADFD" w:rsidR="0032635C" w:rsidRPr="00F80409" w:rsidRDefault="0032635C" w:rsidP="0032635C">
      <w:pPr>
        <w:spacing w:line="276" w:lineRule="auto"/>
        <w:ind w:firstLine="720"/>
        <w:jc w:val="both"/>
      </w:pPr>
      <w:r w:rsidRPr="00F80409">
        <w:t>През първите шест месеца на 2025 г. Комисията предприе целенасочени мерки за защита на потребителите в небанковия финансов сектор във връзка с процеса на въвеждане на еврото в Република България. Комисията е включена в Националния координационен съвет за подготовка за членство в еврозоната и активно участва в изпълнението на Националния план за въвеждане на еврото. Проведена е анкета сред поднадзорните лица с цел оценка на напредъка по подготовката за въвеждане на еврото, включително мерки за защита на клиентите и адаптация на информационните системи. Комисията подкрепя информационни кампании, насочени към потребителите, с цел:</w:t>
      </w:r>
    </w:p>
    <w:p w14:paraId="7D2507ED" w14:textId="77777777" w:rsidR="0032635C" w:rsidRPr="00F80409" w:rsidRDefault="0032635C" w:rsidP="0032635C">
      <w:pPr>
        <w:spacing w:line="276" w:lineRule="auto"/>
        <w:ind w:firstLine="720"/>
        <w:jc w:val="both"/>
      </w:pPr>
      <w:r w:rsidRPr="00F80409">
        <w:t xml:space="preserve">  - разбиране на процеса по замяна на лева с евро;</w:t>
      </w:r>
    </w:p>
    <w:p w14:paraId="10AE1C6A" w14:textId="77777777" w:rsidR="0032635C" w:rsidRPr="00F80409" w:rsidRDefault="0032635C" w:rsidP="0032635C">
      <w:pPr>
        <w:spacing w:line="276" w:lineRule="auto"/>
        <w:ind w:firstLine="720"/>
        <w:jc w:val="both"/>
      </w:pPr>
      <w:r w:rsidRPr="00F80409">
        <w:t xml:space="preserve">  - запознаване с правата и защитата им;</w:t>
      </w:r>
    </w:p>
    <w:p w14:paraId="7BB6575E" w14:textId="28A0A96F" w:rsidR="0032635C" w:rsidRPr="0032635C" w:rsidRDefault="0032635C" w:rsidP="00F80409">
      <w:pPr>
        <w:spacing w:line="276" w:lineRule="auto"/>
        <w:ind w:firstLine="720"/>
        <w:jc w:val="both"/>
        <w:rPr>
          <w:i/>
        </w:rPr>
      </w:pPr>
      <w:r w:rsidRPr="00F80409">
        <w:t xml:space="preserve">  - предотвратяване на зл</w:t>
      </w:r>
      <w:r w:rsidR="00F80409" w:rsidRPr="00F80409">
        <w:t>оупотреби и подвеждащи практики</w:t>
      </w:r>
      <w:r w:rsidR="00F80409">
        <w:rPr>
          <w:i/>
        </w:rPr>
        <w:t>.</w:t>
      </w:r>
    </w:p>
    <w:p w14:paraId="1D42B88C" w14:textId="77777777" w:rsidR="0032635C" w:rsidRPr="0032635C" w:rsidRDefault="0032635C" w:rsidP="0032635C">
      <w:pPr>
        <w:spacing w:line="276" w:lineRule="auto"/>
        <w:ind w:firstLine="720"/>
        <w:jc w:val="both"/>
        <w:rPr>
          <w:i/>
        </w:rPr>
      </w:pPr>
    </w:p>
    <w:p w14:paraId="0171CA28" w14:textId="1C8ACA07" w:rsidR="00340146" w:rsidRDefault="00340146" w:rsidP="001F5AE2">
      <w:pPr>
        <w:spacing w:line="276" w:lineRule="auto"/>
        <w:ind w:firstLine="720"/>
        <w:jc w:val="both"/>
        <w:rPr>
          <w:i/>
        </w:rPr>
      </w:pPr>
      <w:r w:rsidRPr="00340146">
        <w:rPr>
          <w:i/>
        </w:rPr>
        <w:t>Оперативна цел 3.</w:t>
      </w:r>
      <w:r>
        <w:rPr>
          <w:i/>
          <w:lang w:val="en-US"/>
        </w:rPr>
        <w:t>6</w:t>
      </w:r>
      <w:r w:rsidRPr="00340146">
        <w:rPr>
          <w:i/>
        </w:rPr>
        <w:t>.</w:t>
      </w:r>
      <w:r w:rsidRPr="00340146">
        <w:t xml:space="preserve"> </w:t>
      </w:r>
      <w:r w:rsidRPr="00340146">
        <w:rPr>
          <w:i/>
        </w:rPr>
        <w:t>Подпомагане процеса по разрешаване на потребителски спорове чрез сключване на извънсъдебни споразумения и предоставяне на полезна информация на потребителите</w:t>
      </w:r>
    </w:p>
    <w:p w14:paraId="54504F50" w14:textId="77777777" w:rsidR="00AE1B79" w:rsidRPr="00AE1B79" w:rsidRDefault="00AE1B79" w:rsidP="00F80409">
      <w:pPr>
        <w:widowControl w:val="0"/>
        <w:spacing w:line="276" w:lineRule="auto"/>
        <w:ind w:firstLine="720"/>
        <w:jc w:val="both"/>
        <w:rPr>
          <w:rFonts w:ascii="Hebar" w:hAnsi="Hebar"/>
          <w:szCs w:val="20"/>
          <w:lang w:val="en-US"/>
        </w:rPr>
      </w:pPr>
      <w:r w:rsidRPr="0032635C">
        <w:rPr>
          <w:szCs w:val="20"/>
        </w:rPr>
        <w:t>Комисията продължава да насърчава потребителите на небанкови продукти и услуги при възникнал спор с поднадзорно на КФН лице да се обръщат към помирителна комисия за  сключване на извънсъдебно споразумение. Целта е предоставяне на по-бърз и алтернативен начин за разрешаване на гражданскоправен спор възникнал между потребител и дружество, предоставящо продукти и услуги в небанковият финансов сектор.</w:t>
      </w:r>
      <w:r w:rsidRPr="00AE1B79">
        <w:rPr>
          <w:szCs w:val="20"/>
        </w:rPr>
        <w:t xml:space="preserve"> </w:t>
      </w:r>
    </w:p>
    <w:p w14:paraId="269E1FDE" w14:textId="77777777" w:rsidR="007D22B4" w:rsidRPr="0089243E" w:rsidRDefault="007D22B4" w:rsidP="001876F6">
      <w:pPr>
        <w:spacing w:line="360" w:lineRule="auto"/>
        <w:rPr>
          <w:highlight w:val="yellow"/>
        </w:rPr>
      </w:pPr>
    </w:p>
    <w:p w14:paraId="73193825" w14:textId="77777777" w:rsidR="0089243E" w:rsidRPr="0089243E" w:rsidRDefault="00567F06" w:rsidP="0089243E">
      <w:pPr>
        <w:pStyle w:val="Heading3"/>
        <w:spacing w:line="300" w:lineRule="atLeast"/>
        <w:jc w:val="both"/>
        <w:rPr>
          <w:rFonts w:ascii="Times New Roman" w:eastAsia="Times New Roman" w:hAnsi="Times New Roman" w:cs="Times New Roman"/>
          <w:b/>
          <w:color w:val="auto"/>
        </w:rPr>
      </w:pPr>
      <w:r w:rsidRPr="0089243E">
        <w:rPr>
          <w:rFonts w:ascii="Times New Roman" w:eastAsia="Times New Roman" w:hAnsi="Times New Roman" w:cs="Times New Roman"/>
          <w:b/>
          <w:color w:val="auto"/>
        </w:rPr>
        <w:tab/>
      </w:r>
      <w:bookmarkStart w:id="18" w:name="_Toc206148620"/>
      <w:r w:rsidR="0089243E" w:rsidRPr="0089243E">
        <w:rPr>
          <w:rFonts w:ascii="Times New Roman" w:eastAsia="Times New Roman" w:hAnsi="Times New Roman" w:cs="Times New Roman"/>
          <w:b/>
          <w:color w:val="auto"/>
        </w:rPr>
        <w:t>Приоритет 4: Създаване на условия за преход към устойчиво финансиране</w:t>
      </w:r>
      <w:bookmarkEnd w:id="18"/>
    </w:p>
    <w:p w14:paraId="298BDA5B" w14:textId="40A6D19A" w:rsidR="0089243E" w:rsidRPr="0089243E" w:rsidRDefault="0089243E" w:rsidP="001F5AE2">
      <w:pPr>
        <w:pStyle w:val="NormalWeb"/>
        <w:spacing w:line="276" w:lineRule="auto"/>
        <w:jc w:val="both"/>
        <w:rPr>
          <w:color w:val="auto"/>
        </w:rPr>
      </w:pPr>
      <w:r w:rsidRPr="0089243E">
        <w:rPr>
          <w:color w:val="auto"/>
        </w:rPr>
        <w:tab/>
        <w:t>В съответствие с ангажиментите на Република България по линия на Европейския зелен пакт и стратегията за устойчиво развитие, Комисията насочи усилията си към създаване на благоприятна регулаторна и надзорна среда, която да подпомага прехода към устойчиво финансиране в небанковия финансов сектор. Дейностите по този приоритет са насочени към повишаване на информираността, изграждане на капацитет и прилагане на новите европейски регулации, свързани с устойчивостта.</w:t>
      </w:r>
    </w:p>
    <w:p w14:paraId="1B394FF5" w14:textId="0A6F6E91" w:rsidR="00567F06" w:rsidRPr="0089243E" w:rsidRDefault="0089243E" w:rsidP="001F5AE2">
      <w:pPr>
        <w:tabs>
          <w:tab w:val="left" w:pos="0"/>
        </w:tabs>
        <w:spacing w:line="276" w:lineRule="auto"/>
        <w:jc w:val="both"/>
      </w:pPr>
      <w:r w:rsidRPr="0089243E">
        <w:rPr>
          <w:lang w:bidi="bg-BG"/>
        </w:rPr>
        <w:lastRenderedPageBreak/>
        <w:tab/>
      </w:r>
      <w:r w:rsidR="00567F06" w:rsidRPr="0089243E">
        <w:rPr>
          <w:lang w:bidi="bg-BG"/>
        </w:rPr>
        <w:t xml:space="preserve">За реализацията на </w:t>
      </w:r>
      <w:r w:rsidR="00567F06" w:rsidRPr="00086AE8">
        <w:rPr>
          <w:b/>
        </w:rPr>
        <w:t>Приоритет 4</w:t>
      </w:r>
      <w:r w:rsidR="00567F06" w:rsidRPr="00086AE8">
        <w:rPr>
          <w:b/>
          <w:lang w:bidi="bg-BG"/>
        </w:rPr>
        <w:t xml:space="preserve"> -</w:t>
      </w:r>
      <w:r w:rsidR="00567F06" w:rsidRPr="0089243E">
        <w:rPr>
          <w:lang w:bidi="bg-BG"/>
        </w:rPr>
        <w:t xml:space="preserve"> </w:t>
      </w:r>
      <w:r w:rsidR="00340146" w:rsidRPr="008C319F">
        <w:rPr>
          <w:b/>
          <w:lang w:bidi="bg-BG"/>
        </w:rPr>
        <w:t>Създаване на условия за преход към устойчиво финансиране</w:t>
      </w:r>
      <w:r w:rsidR="00567F06" w:rsidRPr="008C319F">
        <w:rPr>
          <w:b/>
          <w:lang w:bidi="bg-BG"/>
        </w:rPr>
        <w:t xml:space="preserve"> </w:t>
      </w:r>
      <w:r w:rsidR="00567F06" w:rsidRPr="0089243E">
        <w:t>Комисията залага следните оперативни цели:</w:t>
      </w:r>
    </w:p>
    <w:p w14:paraId="5508795A" w14:textId="77777777" w:rsidR="001F5AE2" w:rsidRDefault="00340146" w:rsidP="001F5AE2">
      <w:pPr>
        <w:tabs>
          <w:tab w:val="left" w:pos="0"/>
        </w:tabs>
        <w:spacing w:line="276" w:lineRule="auto"/>
        <w:jc w:val="both"/>
      </w:pPr>
      <w:r w:rsidRPr="0089243E">
        <w:rPr>
          <w:i/>
        </w:rPr>
        <w:tab/>
        <w:t>Оперативна цел 4.1. Подпомагане на поднадзорните лица в прехода към устойчиво финансиране</w:t>
      </w:r>
      <w:r w:rsidRPr="0089243E">
        <w:tab/>
      </w:r>
    </w:p>
    <w:p w14:paraId="059E2B63" w14:textId="0B4E7DC6" w:rsidR="0089243E" w:rsidRPr="0089243E" w:rsidRDefault="001F5AE2" w:rsidP="001F5AE2">
      <w:pPr>
        <w:tabs>
          <w:tab w:val="left" w:pos="0"/>
        </w:tabs>
        <w:spacing w:line="276" w:lineRule="auto"/>
        <w:jc w:val="both"/>
      </w:pPr>
      <w:r>
        <w:tab/>
      </w:r>
      <w:r w:rsidR="0089243E" w:rsidRPr="0089243E">
        <w:t xml:space="preserve">Комисията продължи да оказва методическа и експертна подкрепа на поднадзорните лица във връзка с прилагането на изискванията, свързани с устойчивото финансиране. Това включва предоставяне на насоки, участие в работни формати и разясняване на новите задължения, произтичащи от европейското законодателство, включително </w:t>
      </w:r>
      <w:r w:rsidR="00854437" w:rsidRPr="00854437">
        <w:t>Регламент (ЕС) 2020/852 на Европейския парламент и на Съвета от 18 юни 2020 година за създаване на рамка за улесняване на устойчивите инвестиции и за изменение на Регламент (ЕС) 2019/2088</w:t>
      </w:r>
      <w:r w:rsidR="0089243E" w:rsidRPr="0089243E">
        <w:t xml:space="preserve"> и</w:t>
      </w:r>
      <w:r w:rsidR="00854437" w:rsidRPr="00854437">
        <w:t xml:space="preserve"> Регламент (ЕС) 2019/2088 на Европейския парламент и на Съвета от 27 ноември 2019 година относно оповестяването на информация във връзка с устойчивостта в сектора на финансовите услуги</w:t>
      </w:r>
      <w:r w:rsidR="0089243E" w:rsidRPr="0089243E">
        <w:t>.</w:t>
      </w:r>
    </w:p>
    <w:p w14:paraId="7E70E421" w14:textId="77777777" w:rsidR="00A3748A" w:rsidRDefault="001F5AE2" w:rsidP="001F5AE2">
      <w:pPr>
        <w:tabs>
          <w:tab w:val="left" w:pos="0"/>
        </w:tabs>
        <w:spacing w:line="276" w:lineRule="auto"/>
        <w:jc w:val="both"/>
        <w:rPr>
          <w:i/>
        </w:rPr>
      </w:pPr>
      <w:r>
        <w:rPr>
          <w:i/>
        </w:rPr>
        <w:tab/>
      </w:r>
    </w:p>
    <w:p w14:paraId="77E34FDB" w14:textId="09D99E3F" w:rsidR="00340146" w:rsidRPr="0089243E" w:rsidRDefault="00A3748A" w:rsidP="001F5AE2">
      <w:pPr>
        <w:tabs>
          <w:tab w:val="left" w:pos="0"/>
        </w:tabs>
        <w:spacing w:line="276" w:lineRule="auto"/>
        <w:jc w:val="both"/>
        <w:rPr>
          <w:i/>
        </w:rPr>
      </w:pPr>
      <w:r>
        <w:rPr>
          <w:i/>
        </w:rPr>
        <w:tab/>
      </w:r>
      <w:r w:rsidR="00340146" w:rsidRPr="0089243E">
        <w:rPr>
          <w:i/>
        </w:rPr>
        <w:t>Оперативна цел 4.2. Осъществяване на ефективен и последователен надзор за спазване на изискванията, свързани с устойчивите финанси</w:t>
      </w:r>
    </w:p>
    <w:p w14:paraId="0AB600B0" w14:textId="1C88ADF6" w:rsidR="00567F06" w:rsidRDefault="0089243E" w:rsidP="001F5AE2">
      <w:pPr>
        <w:tabs>
          <w:tab w:val="left" w:pos="0"/>
        </w:tabs>
        <w:spacing w:line="276" w:lineRule="auto"/>
        <w:jc w:val="both"/>
        <w:rPr>
          <w:color w:val="000000"/>
        </w:rPr>
      </w:pPr>
      <w:r w:rsidRPr="0089243E">
        <w:tab/>
        <w:t>В рамките на надзорната си дейност Комисията прилага подход, основан на риска, за наблюдение на спазването на изискванията, свързани с устойчивото финансиране. Извършват се анализи на предоставяната от поднадзорните лица информация, оценява се степента на съответствие с нормативните актове и се предприемат действия при установени несъответствия. Целта е да се гарантира прозрачност, надеждност и съпоставимост на данните, свързани с устойчивостта, в интерес на инвеститорите и пазарната стабилност.</w:t>
      </w:r>
    </w:p>
    <w:p w14:paraId="1E7B6B62" w14:textId="77777777" w:rsidR="00A3748A" w:rsidRDefault="00A3748A" w:rsidP="001F5AE2">
      <w:pPr>
        <w:spacing w:line="276" w:lineRule="auto"/>
        <w:ind w:firstLine="720"/>
        <w:jc w:val="both"/>
        <w:rPr>
          <w:lang w:bidi="bg-BG"/>
        </w:rPr>
      </w:pPr>
    </w:p>
    <w:p w14:paraId="0AB92A2F" w14:textId="4CD7BA26" w:rsidR="007D22B4" w:rsidRPr="00984293" w:rsidRDefault="00984293" w:rsidP="001F5AE2">
      <w:pPr>
        <w:spacing w:line="276" w:lineRule="auto"/>
        <w:ind w:firstLine="720"/>
        <w:jc w:val="both"/>
        <w:rPr>
          <w:lang w:bidi="bg-BG"/>
        </w:rPr>
      </w:pPr>
      <w:r>
        <w:rPr>
          <w:lang w:bidi="bg-BG"/>
        </w:rPr>
        <w:t xml:space="preserve"> </w:t>
      </w:r>
      <w:r w:rsidR="007D22B4" w:rsidRPr="00984293">
        <w:rPr>
          <w:lang w:bidi="bg-BG"/>
        </w:rPr>
        <w:t xml:space="preserve">За реализацията на </w:t>
      </w:r>
      <w:r w:rsidR="007D22B4" w:rsidRPr="00984293">
        <w:rPr>
          <w:b/>
          <w:lang w:bidi="bg-BG"/>
        </w:rPr>
        <w:t>Приоритет 5</w:t>
      </w:r>
      <w:r w:rsidR="00086AE8">
        <w:rPr>
          <w:b/>
          <w:lang w:bidi="bg-BG"/>
        </w:rPr>
        <w:t xml:space="preserve"> -</w:t>
      </w:r>
      <w:r w:rsidR="007D22B4" w:rsidRPr="00984293">
        <w:rPr>
          <w:lang w:bidi="bg-BG"/>
        </w:rPr>
        <w:t xml:space="preserve"> </w:t>
      </w:r>
      <w:r w:rsidR="00340146" w:rsidRPr="00340146">
        <w:rPr>
          <w:b/>
          <w:lang w:bidi="bg-BG"/>
        </w:rPr>
        <w:t>Провеждане на последователна политика и управление на процесите в небанковия финансов сектор във връзка с въвеждане на еврото в Република България</w:t>
      </w:r>
      <w:r w:rsidR="007D22B4" w:rsidRPr="00984293">
        <w:rPr>
          <w:lang w:bidi="bg-BG"/>
        </w:rPr>
        <w:t xml:space="preserve"> </w:t>
      </w:r>
      <w:r w:rsidR="007D22B4" w:rsidRPr="00984293">
        <w:t>Комисията залага следните оперативни цели:</w:t>
      </w:r>
    </w:p>
    <w:p w14:paraId="7C9411C8" w14:textId="2EEE0F3B" w:rsidR="007D22B4" w:rsidRPr="00984293" w:rsidRDefault="007D22B4" w:rsidP="001F5AE2">
      <w:pPr>
        <w:tabs>
          <w:tab w:val="left" w:pos="0"/>
          <w:tab w:val="num" w:pos="720"/>
        </w:tabs>
        <w:spacing w:line="276" w:lineRule="auto"/>
        <w:jc w:val="both"/>
        <w:rPr>
          <w:i/>
          <w:lang w:bidi="bg-BG"/>
        </w:rPr>
      </w:pPr>
      <w:r w:rsidRPr="00984293">
        <w:rPr>
          <w:i/>
          <w:lang w:bidi="bg-BG"/>
        </w:rPr>
        <w:tab/>
      </w:r>
      <w:r w:rsidRPr="00984293">
        <w:rPr>
          <w:i/>
        </w:rPr>
        <w:t>Оперативна цел</w:t>
      </w:r>
      <w:r w:rsidRPr="00984293">
        <w:rPr>
          <w:i/>
          <w:lang w:bidi="bg-BG"/>
        </w:rPr>
        <w:t xml:space="preserve"> 5.1</w:t>
      </w:r>
      <w:r w:rsidR="000E0CC4">
        <w:rPr>
          <w:i/>
          <w:lang w:bidi="bg-BG"/>
        </w:rPr>
        <w:t>.</w:t>
      </w:r>
      <w:r w:rsidRPr="00984293">
        <w:rPr>
          <w:i/>
          <w:lang w:bidi="bg-BG"/>
        </w:rPr>
        <w:t xml:space="preserve"> </w:t>
      </w:r>
      <w:r w:rsidR="00340146" w:rsidRPr="00340146">
        <w:rPr>
          <w:i/>
          <w:lang w:bidi="bg-BG"/>
        </w:rPr>
        <w:t>Изпълнение на ангажиментите на Комисията и поднадзорните лица, заложени в Плана за действие към Националния план за въвеждане на еврото.</w:t>
      </w:r>
    </w:p>
    <w:p w14:paraId="32544F04" w14:textId="5DA6B286" w:rsidR="001876F6" w:rsidRDefault="001876F6" w:rsidP="001F5AE2">
      <w:pPr>
        <w:tabs>
          <w:tab w:val="left" w:pos="0"/>
          <w:tab w:val="num" w:pos="720"/>
        </w:tabs>
        <w:spacing w:line="276" w:lineRule="auto"/>
        <w:jc w:val="both"/>
        <w:rPr>
          <w:lang w:bidi="bg-BG"/>
        </w:rPr>
      </w:pPr>
      <w:r>
        <w:rPr>
          <w:lang w:bidi="bg-BG"/>
        </w:rPr>
        <w:tab/>
        <w:t>В рамките на отчетния период Комисията продължи да изпълнява своите ангажименти, произтичащи от Плана за действие към Националния план за въвеждане на еврото. Дейностите са насочени към осигуряване на плавен преход към единната валута, като се акцентира върху поддържането на стабилност и предвидимост в небанковия финансов сектор. В тази връзка се осъществява координация с поднадзорните лица с цел своевременно планиране и изпълнение на необходимите подготвителни мерки.</w:t>
      </w:r>
    </w:p>
    <w:p w14:paraId="2B5953CC" w14:textId="77777777" w:rsidR="008D747C" w:rsidRPr="00984293" w:rsidRDefault="008D747C" w:rsidP="001F5AE2">
      <w:pPr>
        <w:tabs>
          <w:tab w:val="left" w:pos="0"/>
        </w:tabs>
        <w:spacing w:line="276" w:lineRule="auto"/>
        <w:jc w:val="both"/>
        <w:rPr>
          <w:lang w:bidi="bg-BG"/>
        </w:rPr>
      </w:pPr>
    </w:p>
    <w:p w14:paraId="3F9BFD82" w14:textId="57844D68" w:rsidR="008D747C" w:rsidRPr="00984293" w:rsidRDefault="007D22B4" w:rsidP="001F5AE2">
      <w:pPr>
        <w:tabs>
          <w:tab w:val="left" w:pos="0"/>
        </w:tabs>
        <w:spacing w:line="276" w:lineRule="auto"/>
        <w:jc w:val="both"/>
        <w:rPr>
          <w:i/>
          <w:lang w:bidi="bg-BG"/>
        </w:rPr>
      </w:pPr>
      <w:r w:rsidRPr="00984293">
        <w:rPr>
          <w:i/>
          <w:lang w:bidi="bg-BG"/>
        </w:rPr>
        <w:tab/>
      </w:r>
      <w:r w:rsidRPr="00984293">
        <w:rPr>
          <w:i/>
        </w:rPr>
        <w:t>Оперативна цел</w:t>
      </w:r>
      <w:r w:rsidRPr="00984293">
        <w:rPr>
          <w:i/>
          <w:lang w:bidi="bg-BG"/>
        </w:rPr>
        <w:t xml:space="preserve"> 5.2. </w:t>
      </w:r>
      <w:r w:rsidR="00340146" w:rsidRPr="00340146">
        <w:rPr>
          <w:i/>
          <w:lang w:bidi="bg-BG"/>
        </w:rPr>
        <w:t>Предоставяне на необходимата информация и тясно сътрудничество със заинтересованите страни във връзка с приемането на еврото и неговото отражение върху небанковия финансов сектор</w:t>
      </w:r>
    </w:p>
    <w:p w14:paraId="58CBA9D4" w14:textId="4BAED492" w:rsidR="001876F6" w:rsidRDefault="007D22B4" w:rsidP="001F5AE2">
      <w:pPr>
        <w:tabs>
          <w:tab w:val="left" w:pos="0"/>
          <w:tab w:val="num" w:pos="720"/>
        </w:tabs>
        <w:spacing w:line="276" w:lineRule="auto"/>
        <w:jc w:val="both"/>
        <w:rPr>
          <w:lang w:bidi="bg-BG"/>
        </w:rPr>
      </w:pPr>
      <w:r w:rsidRPr="00984293">
        <w:rPr>
          <w:i/>
          <w:lang w:bidi="bg-BG"/>
        </w:rPr>
        <w:tab/>
      </w:r>
      <w:r w:rsidR="001876F6">
        <w:rPr>
          <w:lang w:bidi="bg-BG"/>
        </w:rPr>
        <w:t xml:space="preserve">Комисията поддържа активна комуникация със заинтересованите страни, като предоставя актуална и целенасочена информация относно процеса по въвеждане на еврото и неговото въздействие върху небанковия финансов сектор. В рамките на отчетния период </w:t>
      </w:r>
      <w:r w:rsidR="001876F6">
        <w:rPr>
          <w:lang w:bidi="bg-BG"/>
        </w:rPr>
        <w:lastRenderedPageBreak/>
        <w:t>се осъществяваше тясно сътрудничество с институции, пазарни участници и професионални организации, с цел осигуряване на информираност, координация и навременна подготовка за прехода към новата валута.</w:t>
      </w:r>
    </w:p>
    <w:p w14:paraId="7464A7E9" w14:textId="77777777" w:rsidR="001876F6" w:rsidRDefault="001876F6" w:rsidP="001876F6">
      <w:pPr>
        <w:tabs>
          <w:tab w:val="left" w:pos="0"/>
          <w:tab w:val="num" w:pos="720"/>
        </w:tabs>
        <w:spacing w:line="276" w:lineRule="auto"/>
        <w:jc w:val="both"/>
        <w:rPr>
          <w:lang w:bidi="bg-BG"/>
        </w:rPr>
      </w:pPr>
    </w:p>
    <w:p w14:paraId="673935AB" w14:textId="599EED65" w:rsidR="007D22B4" w:rsidRPr="00984293" w:rsidRDefault="007D22B4" w:rsidP="001F5AE2">
      <w:pPr>
        <w:tabs>
          <w:tab w:val="left" w:pos="0"/>
          <w:tab w:val="num" w:pos="720"/>
        </w:tabs>
        <w:spacing w:line="276" w:lineRule="auto"/>
        <w:jc w:val="both"/>
      </w:pPr>
      <w:r w:rsidRPr="00984293">
        <w:rPr>
          <w:lang w:bidi="bg-BG"/>
        </w:rPr>
        <w:tab/>
      </w:r>
      <w:r w:rsidRPr="00984293">
        <w:rPr>
          <w:b/>
          <w:lang w:bidi="bg-BG"/>
        </w:rPr>
        <w:t xml:space="preserve">Приоритет 6.  </w:t>
      </w:r>
      <w:r w:rsidR="000401C0" w:rsidRPr="000401C0">
        <w:rPr>
          <w:b/>
          <w:lang w:bidi="bg-BG"/>
        </w:rPr>
        <w:t>Подпомагане на процеса по изграждане на по-благоприятна бизнес среда за малки и средни предприятия и осигуряване на достъп до средства за финансиране</w:t>
      </w:r>
    </w:p>
    <w:p w14:paraId="1D5DE5C4" w14:textId="77777777" w:rsidR="007A60A6" w:rsidRDefault="007D22B4" w:rsidP="001F5AE2">
      <w:pPr>
        <w:pStyle w:val="ListParagraph"/>
        <w:spacing w:line="276" w:lineRule="auto"/>
        <w:ind w:left="0" w:firstLine="708"/>
        <w:jc w:val="both"/>
      </w:pPr>
      <w:r w:rsidRPr="00984293">
        <w:rPr>
          <w:i/>
          <w:lang w:bidi="bg-BG"/>
        </w:rPr>
        <w:tab/>
      </w:r>
      <w:r w:rsidR="007A60A6" w:rsidRPr="007D6D5F">
        <w:t>Малките и средни предприятия са важен източник на стабилност, иновации и конкурентоспособност на финансовите пазари</w:t>
      </w:r>
      <w:r w:rsidR="007A60A6">
        <w:t xml:space="preserve"> и осигуряване на достъп до средства за финансиране е жизнено важно за тях</w:t>
      </w:r>
      <w:r w:rsidR="007A60A6" w:rsidRPr="007D6D5F">
        <w:t xml:space="preserve">. </w:t>
      </w:r>
      <w:r w:rsidR="007A60A6">
        <w:t>За подпомагане на процеса по набиране на капитал от тези предприятия Комисията ще реализира следните цели:</w:t>
      </w:r>
    </w:p>
    <w:p w14:paraId="36446313" w14:textId="77777777" w:rsidR="007A60A6" w:rsidRDefault="007A60A6" w:rsidP="00481E9E">
      <w:pPr>
        <w:pStyle w:val="ListParagraph"/>
        <w:numPr>
          <w:ilvl w:val="0"/>
          <w:numId w:val="25"/>
        </w:numPr>
        <w:spacing w:line="276" w:lineRule="auto"/>
        <w:ind w:left="0" w:firstLine="426"/>
        <w:jc w:val="both"/>
      </w:pPr>
      <w:r>
        <w:t>Изпълнение на основните дейности, залегнали в Националната стратегия за малки и средни предприятия (МСП) в България 2021 – 2027 г.;</w:t>
      </w:r>
    </w:p>
    <w:p w14:paraId="7899A5B1" w14:textId="77777777" w:rsidR="007A60A6" w:rsidRPr="005B5D74" w:rsidRDefault="007A60A6" w:rsidP="00481E9E">
      <w:pPr>
        <w:pStyle w:val="ListParagraph"/>
        <w:numPr>
          <w:ilvl w:val="0"/>
          <w:numId w:val="25"/>
        </w:numPr>
        <w:spacing w:line="276" w:lineRule="auto"/>
        <w:ind w:left="0" w:firstLine="426"/>
        <w:jc w:val="both"/>
      </w:pPr>
      <w:r w:rsidRPr="005B5D74">
        <w:t>Осъществяване на тясно взаимодействие с операторите на пазарите за растеж с цел обезпечаване на тяхното развитие като важен фактор за финансиране на дейността на малките и средни предприятия;</w:t>
      </w:r>
    </w:p>
    <w:p w14:paraId="397676AE" w14:textId="77777777" w:rsidR="007A60A6" w:rsidRPr="005B5D74" w:rsidRDefault="007A60A6" w:rsidP="00481E9E">
      <w:pPr>
        <w:pStyle w:val="ListParagraph"/>
        <w:numPr>
          <w:ilvl w:val="0"/>
          <w:numId w:val="25"/>
        </w:numPr>
        <w:spacing w:line="276" w:lineRule="auto"/>
        <w:ind w:left="0" w:firstLine="426"/>
        <w:jc w:val="both"/>
      </w:pPr>
      <w:r w:rsidRPr="005B5D74">
        <w:t>Активна подкрепа за развитие на лицензираните платформи за колективно финансиране, които създават възможност за финансиране на иновативни проекти, разработени от малки и средни предприятия и подкрепа за създаването на нови платформи.</w:t>
      </w:r>
    </w:p>
    <w:p w14:paraId="3AE2B7B2" w14:textId="77777777" w:rsidR="007D22B4" w:rsidRPr="00984293" w:rsidRDefault="007D22B4" w:rsidP="007D22B4">
      <w:pPr>
        <w:tabs>
          <w:tab w:val="left" w:pos="0"/>
          <w:tab w:val="num" w:pos="720"/>
        </w:tabs>
        <w:spacing w:line="276" w:lineRule="auto"/>
        <w:jc w:val="both"/>
        <w:rPr>
          <w:lang w:bidi="bg-BG"/>
        </w:rPr>
      </w:pPr>
      <w:r w:rsidRPr="00984293">
        <w:rPr>
          <w:lang w:bidi="bg-BG"/>
        </w:rPr>
        <w:tab/>
      </w:r>
    </w:p>
    <w:p w14:paraId="70BA013E" w14:textId="578D3C53" w:rsidR="007D22B4" w:rsidRPr="00CA4DE5" w:rsidRDefault="007D22B4" w:rsidP="00A72E56">
      <w:pPr>
        <w:tabs>
          <w:tab w:val="left" w:pos="0"/>
          <w:tab w:val="num" w:pos="720"/>
        </w:tabs>
        <w:spacing w:line="276" w:lineRule="auto"/>
        <w:jc w:val="both"/>
      </w:pPr>
      <w:r w:rsidRPr="00984293">
        <w:rPr>
          <w:lang w:bidi="bg-BG"/>
        </w:rPr>
        <w:tab/>
      </w:r>
      <w:r w:rsidRPr="00984293">
        <w:rPr>
          <w:b/>
          <w:lang w:bidi="bg-BG"/>
        </w:rPr>
        <w:t xml:space="preserve">Приоритет 7. </w:t>
      </w:r>
      <w:r w:rsidR="000401C0" w:rsidRPr="000401C0">
        <w:rPr>
          <w:b/>
          <w:lang w:bidi="bg-BG"/>
        </w:rPr>
        <w:t>Създаване и поддържане на култура на финансови иновации в небанковия финансов сектор</w:t>
      </w:r>
      <w:r w:rsidR="00633C75" w:rsidRPr="00984293">
        <w:rPr>
          <w:lang w:bidi="bg-BG"/>
        </w:rPr>
        <w:tab/>
      </w:r>
    </w:p>
    <w:p w14:paraId="0DC4F505" w14:textId="77777777" w:rsidR="001876F6" w:rsidRPr="001876F6" w:rsidRDefault="007D22B4" w:rsidP="001876F6">
      <w:pPr>
        <w:pStyle w:val="NormalWeb"/>
        <w:spacing w:line="300" w:lineRule="atLeast"/>
        <w:jc w:val="both"/>
        <w:rPr>
          <w:color w:val="auto"/>
        </w:rPr>
      </w:pPr>
      <w:r w:rsidRPr="001876F6">
        <w:rPr>
          <w:color w:val="auto"/>
        </w:rPr>
        <w:tab/>
      </w:r>
      <w:r w:rsidR="001876F6" w:rsidRPr="001876F6">
        <w:rPr>
          <w:color w:val="auto"/>
        </w:rPr>
        <w:t>В съответствие със стратегическите насоки за модернизация и дигитализация на финансовия сектор, Комисията продължи да работи за утвърждаване на култура на иновации и технологично развитие сред участниците в небанковия финансов сектор. Усилията са насочени към създаване на благоприятна регулаторна среда, която насърчава внедряването на нови технологии, гарантира стабилност и защита на потребителите, и същевременно отговаря на динамично променящите се европейски изисквания.</w:t>
      </w:r>
    </w:p>
    <w:p w14:paraId="07F82069" w14:textId="1736B82B" w:rsidR="001876F6" w:rsidRPr="001F5AE2" w:rsidRDefault="001F5AE2" w:rsidP="001F5AE2">
      <w:pPr>
        <w:pStyle w:val="NormalWeb"/>
        <w:spacing w:before="0" w:beforeAutospacing="0" w:after="0" w:afterAutospacing="0" w:line="300" w:lineRule="atLeast"/>
        <w:jc w:val="both"/>
        <w:rPr>
          <w:i/>
          <w:color w:val="auto"/>
          <w:lang w:bidi="bg-BG"/>
        </w:rPr>
      </w:pPr>
      <w:r>
        <w:rPr>
          <w:i/>
          <w:color w:val="auto"/>
        </w:rPr>
        <w:tab/>
      </w:r>
      <w:r w:rsidR="007D22B4" w:rsidRPr="001F5AE2">
        <w:rPr>
          <w:i/>
          <w:color w:val="auto"/>
        </w:rPr>
        <w:t>Оперативна цел</w:t>
      </w:r>
      <w:r w:rsidR="007D22B4" w:rsidRPr="001F5AE2">
        <w:rPr>
          <w:i/>
          <w:color w:val="auto"/>
          <w:lang w:bidi="bg-BG"/>
        </w:rPr>
        <w:t xml:space="preserve"> 7.1. </w:t>
      </w:r>
      <w:r w:rsidR="000401C0" w:rsidRPr="001F5AE2">
        <w:rPr>
          <w:i/>
          <w:color w:val="auto"/>
          <w:lang w:bidi="bg-BG"/>
        </w:rPr>
        <w:t>Насърчаване на проактивен подход към финансовите технологии и приобщаване на потребителите към дигитални финансови решения</w:t>
      </w:r>
      <w:r w:rsidR="007D22B4" w:rsidRPr="001F5AE2">
        <w:rPr>
          <w:i/>
          <w:color w:val="auto"/>
          <w:lang w:bidi="bg-BG"/>
        </w:rPr>
        <w:tab/>
      </w:r>
    </w:p>
    <w:p w14:paraId="35BF24B2" w14:textId="25C51D33" w:rsidR="00AE1B79" w:rsidRPr="00F80409" w:rsidRDefault="001876F6" w:rsidP="00AE1B79">
      <w:pPr>
        <w:spacing w:before="100" w:beforeAutospacing="1" w:after="100" w:afterAutospacing="1" w:line="300" w:lineRule="atLeast"/>
        <w:jc w:val="both"/>
        <w:rPr>
          <w:rFonts w:eastAsia="Calibri"/>
        </w:rPr>
      </w:pPr>
      <w:r w:rsidRPr="001F5AE2">
        <w:tab/>
      </w:r>
      <w:r w:rsidR="00AE1B79" w:rsidRPr="00F80409">
        <w:rPr>
          <w:rFonts w:eastAsia="Calibri"/>
        </w:rPr>
        <w:t>Комисията насърчава иновативни подходи и решения в областта на финансовите технологии (FinTech), като създава условия за по-широко прилагане на дигитални услуги и продукти. Акцент се поставя върху приобщаването на потребителите чрез повишаване на тяхната информираност, достъпност до нови услуги и изграждане на доверие в дигиталната трансформация на сектора.</w:t>
      </w:r>
    </w:p>
    <w:p w14:paraId="05805AD8" w14:textId="0D11FB8F" w:rsidR="001876F6" w:rsidRPr="00F80409" w:rsidRDefault="001876F6" w:rsidP="00086AE8">
      <w:pPr>
        <w:pStyle w:val="NormalWeb"/>
        <w:spacing w:before="0" w:beforeAutospacing="0" w:after="0" w:afterAutospacing="0" w:line="300" w:lineRule="atLeast"/>
        <w:jc w:val="both"/>
        <w:rPr>
          <w:i/>
          <w:lang w:bidi="bg-BG"/>
        </w:rPr>
      </w:pPr>
      <w:r w:rsidRPr="00F80409">
        <w:rPr>
          <w:i/>
        </w:rPr>
        <w:tab/>
      </w:r>
      <w:r w:rsidR="007D22B4" w:rsidRPr="00086AE8">
        <w:rPr>
          <w:i/>
          <w:color w:val="auto"/>
          <w:lang w:bidi="bg-BG"/>
        </w:rPr>
        <w:t xml:space="preserve">Оперативна цел 7.2. </w:t>
      </w:r>
      <w:r w:rsidR="000401C0" w:rsidRPr="00086AE8">
        <w:rPr>
          <w:i/>
          <w:color w:val="auto"/>
          <w:lang w:bidi="bg-BG"/>
        </w:rPr>
        <w:t>Осигуряване на интегритет на пазара и финансова стабилност в небанковия финансов сектор</w:t>
      </w:r>
      <w:r w:rsidR="007D22B4" w:rsidRPr="00F80409">
        <w:rPr>
          <w:i/>
          <w:lang w:bidi="bg-BG"/>
        </w:rPr>
        <w:tab/>
      </w:r>
    </w:p>
    <w:p w14:paraId="54B3D059" w14:textId="286E7CE7" w:rsidR="00AE1B79" w:rsidRPr="00F80409" w:rsidRDefault="001876F6" w:rsidP="00AE1B79">
      <w:pPr>
        <w:spacing w:before="100" w:beforeAutospacing="1" w:after="100" w:afterAutospacing="1" w:line="300" w:lineRule="atLeast"/>
        <w:jc w:val="both"/>
        <w:rPr>
          <w:rFonts w:eastAsia="Calibri"/>
        </w:rPr>
      </w:pPr>
      <w:r w:rsidRPr="00F80409">
        <w:lastRenderedPageBreak/>
        <w:tab/>
      </w:r>
      <w:r w:rsidR="00AE1B79" w:rsidRPr="00F80409">
        <w:rPr>
          <w:rFonts w:eastAsia="Calibri"/>
        </w:rPr>
        <w:t>  В процеса на внедряване на иновации Комисията продължава да следи за запазване на пазарната интегритет и устойчивост. Чрез надзорни механизми и анализ на пазарното поведение се гарантира, че новите технологии се прилагат по начин, който не компрометира стабилността на сектора и защитата на инвеститорите.</w:t>
      </w:r>
    </w:p>
    <w:p w14:paraId="58640B84" w14:textId="77777777" w:rsidR="003F0975" w:rsidRPr="00F80409" w:rsidRDefault="001F5AE2" w:rsidP="00AE1B79">
      <w:pPr>
        <w:pStyle w:val="NormalWeb"/>
        <w:spacing w:before="0" w:beforeAutospacing="0" w:line="300" w:lineRule="atLeast"/>
        <w:jc w:val="both"/>
        <w:rPr>
          <w:color w:val="auto"/>
        </w:rPr>
      </w:pPr>
      <w:r w:rsidRPr="00F80409">
        <w:rPr>
          <w:i/>
        </w:rPr>
        <w:tab/>
      </w:r>
      <w:r w:rsidR="007D22B4" w:rsidRPr="00F80409">
        <w:rPr>
          <w:i/>
          <w:color w:val="auto"/>
        </w:rPr>
        <w:t>Оперативна цел</w:t>
      </w:r>
      <w:r w:rsidR="007D22B4" w:rsidRPr="00F80409">
        <w:rPr>
          <w:i/>
          <w:color w:val="auto"/>
          <w:lang w:bidi="bg-BG"/>
        </w:rPr>
        <w:t xml:space="preserve"> 7.3. </w:t>
      </w:r>
      <w:r w:rsidR="000401C0" w:rsidRPr="00F80409">
        <w:rPr>
          <w:i/>
          <w:color w:val="auto"/>
          <w:lang w:bidi="bg-BG"/>
        </w:rPr>
        <w:t>Регулаторна подкрепа при прилагане на новите европейски регулации в сферата на финансови технологии</w:t>
      </w:r>
      <w:r w:rsidR="007D22B4" w:rsidRPr="00F80409">
        <w:rPr>
          <w:color w:val="auto"/>
        </w:rPr>
        <w:tab/>
      </w:r>
    </w:p>
    <w:p w14:paraId="4E14F2BF" w14:textId="77777777" w:rsidR="003F0975" w:rsidRPr="003F0975" w:rsidRDefault="003F0975" w:rsidP="003F0975">
      <w:pPr>
        <w:spacing w:before="100" w:beforeAutospacing="1" w:after="100" w:afterAutospacing="1" w:line="300" w:lineRule="atLeast"/>
        <w:jc w:val="both"/>
        <w:rPr>
          <w:rFonts w:eastAsia="Calibri"/>
        </w:rPr>
      </w:pPr>
      <w:r w:rsidRPr="00F80409">
        <w:rPr>
          <w:rFonts w:eastAsia="Calibri"/>
        </w:rPr>
        <w:t>            Комисията активно следи развитието на европейската регулаторна рамка в областта на FinTech и предприема действия за своевременното ѝ прилагане на национално ниво. В тази връзка се осигурява методическа и регулаторна подкрепа за поднадзорните лица, с цел плавна адаптация към новите изисквания и насърчаване на иновациите в съответствие с принципите на правна сигурност и пазарна ефективност.</w:t>
      </w:r>
    </w:p>
    <w:p w14:paraId="08EB41C6" w14:textId="7786EBC8" w:rsidR="007D22B4" w:rsidRPr="00A72E56" w:rsidRDefault="00A3748A" w:rsidP="00A72E56">
      <w:pPr>
        <w:tabs>
          <w:tab w:val="left" w:pos="0"/>
          <w:tab w:val="num" w:pos="720"/>
        </w:tabs>
        <w:spacing w:line="276" w:lineRule="auto"/>
        <w:jc w:val="both"/>
      </w:pPr>
      <w:r>
        <w:rPr>
          <w:lang w:bidi="bg-BG"/>
        </w:rPr>
        <w:tab/>
      </w:r>
      <w:r w:rsidR="00A72E56" w:rsidRPr="00A72E56">
        <w:rPr>
          <w:lang w:bidi="bg-BG"/>
        </w:rPr>
        <w:t xml:space="preserve">За реализацията на </w:t>
      </w:r>
      <w:r w:rsidR="007D22B4" w:rsidRPr="00A72E56">
        <w:rPr>
          <w:b/>
          <w:lang w:bidi="bg-BG"/>
        </w:rPr>
        <w:t>Приоритет 8</w:t>
      </w:r>
      <w:r w:rsidR="00086AE8">
        <w:rPr>
          <w:b/>
          <w:lang w:bidi="bg-BG"/>
        </w:rPr>
        <w:t xml:space="preserve"> -</w:t>
      </w:r>
      <w:r w:rsidR="007D22B4" w:rsidRPr="00A72E56">
        <w:rPr>
          <w:b/>
          <w:lang w:bidi="bg-BG"/>
        </w:rPr>
        <w:t xml:space="preserve"> </w:t>
      </w:r>
      <w:r w:rsidR="00A72E56" w:rsidRPr="00A72E56">
        <w:rPr>
          <w:b/>
          <w:lang w:bidi="bg-BG"/>
        </w:rPr>
        <w:t xml:space="preserve">Институционално развитие и повишаване на капацитета за ефективно административно управление </w:t>
      </w:r>
      <w:r w:rsidR="00A72E56" w:rsidRPr="00A72E56">
        <w:t>Комисията залага следните оперативни цели:</w:t>
      </w:r>
    </w:p>
    <w:p w14:paraId="57685D6D" w14:textId="3EDBBE6B" w:rsidR="00A72E56" w:rsidRPr="00F80409" w:rsidRDefault="007A60A6" w:rsidP="00A72E56">
      <w:pPr>
        <w:tabs>
          <w:tab w:val="left" w:pos="0"/>
          <w:tab w:val="num" w:pos="720"/>
        </w:tabs>
        <w:spacing w:line="276" w:lineRule="auto"/>
        <w:jc w:val="both"/>
        <w:rPr>
          <w:i/>
          <w:lang w:bidi="bg-BG"/>
        </w:rPr>
      </w:pPr>
      <w:r>
        <w:rPr>
          <w:i/>
        </w:rPr>
        <w:tab/>
      </w:r>
      <w:r w:rsidR="00A72E56" w:rsidRPr="00F80409">
        <w:rPr>
          <w:i/>
        </w:rPr>
        <w:t>Оперативна цел</w:t>
      </w:r>
      <w:r w:rsidR="00A72E56" w:rsidRPr="00F80409">
        <w:rPr>
          <w:i/>
          <w:lang w:bidi="bg-BG"/>
        </w:rPr>
        <w:t xml:space="preserve"> 8.1. Поддържане на оптимална организационна структура</w:t>
      </w:r>
    </w:p>
    <w:p w14:paraId="407EFB54" w14:textId="5A81BF8F" w:rsidR="00512B0B" w:rsidRPr="00F80409" w:rsidRDefault="00512B0B" w:rsidP="00512B0B">
      <w:pPr>
        <w:spacing w:line="276" w:lineRule="auto"/>
        <w:ind w:firstLine="720"/>
        <w:jc w:val="both"/>
      </w:pPr>
      <w:r w:rsidRPr="00F80409">
        <w:t>Комисията за финансов надзор е специализиран държавен орган за регулиране и надзор върху дейността на лицата от небанковия финансов сектор. Комисията е колективен орган и се състои от петима членове: председател, трима заместник-председатели и член. При осъществяване на своите правомощия Комисията е независима от изпълнителната власт и се отчита за дейността си пред Народното събрание.</w:t>
      </w:r>
    </w:p>
    <w:p w14:paraId="627CA041" w14:textId="77777777" w:rsidR="00512B0B" w:rsidRPr="00F80409" w:rsidRDefault="00512B0B" w:rsidP="00512B0B">
      <w:pPr>
        <w:spacing w:line="276" w:lineRule="auto"/>
        <w:ind w:firstLine="698"/>
        <w:jc w:val="both"/>
      </w:pPr>
      <w:r w:rsidRPr="00F80409">
        <w:t>Комисията за финансов надзор изгражда и поддържа организационна структура на основата на следните принципи:</w:t>
      </w:r>
    </w:p>
    <w:p w14:paraId="621CB62D" w14:textId="77777777" w:rsidR="00512B0B" w:rsidRPr="00F80409" w:rsidRDefault="00512B0B" w:rsidP="00512B0B">
      <w:pPr>
        <w:numPr>
          <w:ilvl w:val="0"/>
          <w:numId w:val="35"/>
        </w:numPr>
        <w:spacing w:after="160" w:line="276" w:lineRule="auto"/>
        <w:ind w:left="1134" w:hanging="436"/>
        <w:contextualSpacing/>
        <w:jc w:val="both"/>
      </w:pPr>
      <w:r w:rsidRPr="00F80409">
        <w:t xml:space="preserve">Законност, безпристрастност и справедливост; </w:t>
      </w:r>
    </w:p>
    <w:p w14:paraId="0285D104" w14:textId="77777777" w:rsidR="00512B0B" w:rsidRPr="00F80409" w:rsidRDefault="00512B0B" w:rsidP="00512B0B">
      <w:pPr>
        <w:numPr>
          <w:ilvl w:val="0"/>
          <w:numId w:val="35"/>
        </w:numPr>
        <w:spacing w:after="160" w:line="276" w:lineRule="auto"/>
        <w:ind w:left="1134" w:hanging="436"/>
        <w:contextualSpacing/>
        <w:jc w:val="both"/>
      </w:pPr>
      <w:r w:rsidRPr="00F80409">
        <w:t xml:space="preserve">Отговорност, честност, прозрачност;  </w:t>
      </w:r>
    </w:p>
    <w:p w14:paraId="62B032CF" w14:textId="77777777" w:rsidR="00512B0B" w:rsidRPr="00F80409" w:rsidRDefault="00512B0B" w:rsidP="00512B0B">
      <w:pPr>
        <w:numPr>
          <w:ilvl w:val="0"/>
          <w:numId w:val="35"/>
        </w:numPr>
        <w:spacing w:after="160" w:line="276" w:lineRule="auto"/>
        <w:ind w:left="1134" w:hanging="436"/>
        <w:contextualSpacing/>
        <w:jc w:val="both"/>
      </w:pPr>
      <w:r w:rsidRPr="00F80409">
        <w:t>Ефективност, ефикасност, пропорционалност.</w:t>
      </w:r>
    </w:p>
    <w:p w14:paraId="1C9A1D6C" w14:textId="77777777" w:rsidR="00512B0B" w:rsidRPr="00F80409" w:rsidRDefault="00512B0B" w:rsidP="00512B0B">
      <w:pPr>
        <w:spacing w:line="276" w:lineRule="auto"/>
        <w:ind w:firstLine="698"/>
        <w:jc w:val="both"/>
      </w:pPr>
      <w:r w:rsidRPr="00F80409">
        <w:t>Всички служители и ръководители са лично отговорни за прилагането на тези ценности във всекидневната си работа, като тяхното поведение влияе върху имиджа на</w:t>
      </w:r>
      <w:r w:rsidRPr="00F80409">
        <w:rPr>
          <w:lang w:val="ru-RU"/>
        </w:rPr>
        <w:t xml:space="preserve"> </w:t>
      </w:r>
      <w:r w:rsidRPr="00F80409">
        <w:t xml:space="preserve">КФН. Интегритетът в прилагането на принципите и ценностите е ключов фактор във всички аспекти на дейността на КФН, осигуряван от спазването на етични норми за поведение, вътрешни правила, стратегии, годишни планове, финансово управление и контрол, управление на информационната сигурност, контрол и оценка на изпълнението и вътрешен одит. </w:t>
      </w:r>
    </w:p>
    <w:p w14:paraId="5F678A21" w14:textId="77777777" w:rsidR="00512B0B" w:rsidRPr="00F80409" w:rsidRDefault="00512B0B" w:rsidP="00512B0B">
      <w:pPr>
        <w:spacing w:line="276" w:lineRule="auto"/>
        <w:ind w:firstLine="709"/>
        <w:jc w:val="both"/>
      </w:pPr>
      <w:r w:rsidRPr="00F80409">
        <w:t>Резултат от ефективната дейност на Комисията е осигуряване на добра среда за развитие на бизнеса в трите сектора, които тя регулира – инвестиционен, застрахователен и допълнителното пенсионно осигуряване.</w:t>
      </w:r>
    </w:p>
    <w:p w14:paraId="222B0249" w14:textId="77777777" w:rsidR="00512B0B" w:rsidRPr="00F80409" w:rsidRDefault="00512B0B" w:rsidP="00512B0B">
      <w:pPr>
        <w:spacing w:line="276" w:lineRule="auto"/>
        <w:ind w:firstLine="709"/>
        <w:jc w:val="both"/>
      </w:pPr>
      <w:r w:rsidRPr="00F80409">
        <w:t>Комисията за финансов надзор е юридическо лице на бюджетна издръжка. Председателят на КФН е първостепенен разпоредител с бюджет.</w:t>
      </w:r>
    </w:p>
    <w:p w14:paraId="67036C61" w14:textId="084080EA" w:rsidR="00512B0B" w:rsidRPr="00F80409" w:rsidRDefault="00752085" w:rsidP="00512B0B">
      <w:pPr>
        <w:spacing w:line="276" w:lineRule="auto"/>
        <w:ind w:firstLine="709"/>
        <w:jc w:val="both"/>
      </w:pPr>
      <w:r w:rsidRPr="00F80409">
        <w:t>Съгласно ЗКФН</w:t>
      </w:r>
      <w:r w:rsidR="00512B0B" w:rsidRPr="00F80409">
        <w:t xml:space="preserve"> Комисията се подпомага от администрация, организирана в три основни управления – „Надзор на инвестиционната дейност“, „Застрахователен надзор“ и </w:t>
      </w:r>
      <w:r w:rsidR="00512B0B" w:rsidRPr="00F80409">
        <w:lastRenderedPageBreak/>
        <w:t>„Осигурителен надзор“, всяко от които се ръководи пряко от заместник-председател на Комисията. В съответствие с Правилника за устройството и дейността на Комисията за финансов надзор и нейната администрация, администрацията на Комисията е обща и специализирана, като общата численост на служителите в администрацията е 260 щатни бройки.</w:t>
      </w:r>
    </w:p>
    <w:p w14:paraId="0961B87B" w14:textId="77777777" w:rsidR="00512B0B" w:rsidRPr="00F80409" w:rsidRDefault="00512B0B" w:rsidP="00512B0B">
      <w:pPr>
        <w:spacing w:line="276" w:lineRule="auto"/>
        <w:ind w:firstLine="698"/>
        <w:jc w:val="both"/>
      </w:pPr>
      <w:r w:rsidRPr="00F80409">
        <w:t>Според разпределението на функциите, администрацията на Комисията е диференцирана, както следва:</w:t>
      </w:r>
    </w:p>
    <w:p w14:paraId="04EF081A" w14:textId="77777777" w:rsidR="00512B0B" w:rsidRPr="00F80409" w:rsidRDefault="00512B0B" w:rsidP="00512B0B">
      <w:pPr>
        <w:numPr>
          <w:ilvl w:val="0"/>
          <w:numId w:val="35"/>
        </w:numPr>
        <w:spacing w:after="160" w:line="276" w:lineRule="auto"/>
        <w:ind w:left="1134" w:hanging="436"/>
        <w:contextualSpacing/>
        <w:jc w:val="both"/>
      </w:pPr>
      <w:r w:rsidRPr="00F80409">
        <w:t>Звена и длъжности на пряко подчинение на председателя на КФН;</w:t>
      </w:r>
    </w:p>
    <w:p w14:paraId="61167083" w14:textId="4F9837DB" w:rsidR="00512B0B" w:rsidRPr="00F80409" w:rsidRDefault="002060AB" w:rsidP="002060AB">
      <w:pPr>
        <w:numPr>
          <w:ilvl w:val="0"/>
          <w:numId w:val="35"/>
        </w:numPr>
        <w:tabs>
          <w:tab w:val="left" w:pos="993"/>
        </w:tabs>
        <w:spacing w:after="160" w:line="276" w:lineRule="auto"/>
        <w:ind w:left="0" w:firstLine="698"/>
        <w:contextualSpacing/>
        <w:jc w:val="both"/>
      </w:pPr>
      <w:r w:rsidRPr="00F80409">
        <w:t xml:space="preserve">  </w:t>
      </w:r>
      <w:r w:rsidR="00512B0B" w:rsidRPr="00F80409">
        <w:t>Обща администрация, която подпомага осъществяването на правомощията на председателя на Комисията като ръководител на администрацията, осигурява технически дейността на Комисията и на специализираната администрация и осъществява дейността по административно обслужване на гражданите и юридическите лица;</w:t>
      </w:r>
    </w:p>
    <w:p w14:paraId="34E72BBB" w14:textId="77777777" w:rsidR="00512B0B" w:rsidRPr="00F80409" w:rsidRDefault="00512B0B" w:rsidP="002060AB">
      <w:pPr>
        <w:numPr>
          <w:ilvl w:val="0"/>
          <w:numId w:val="35"/>
        </w:numPr>
        <w:tabs>
          <w:tab w:val="left" w:pos="1134"/>
        </w:tabs>
        <w:spacing w:line="276" w:lineRule="auto"/>
        <w:ind w:left="0" w:firstLine="698"/>
        <w:contextualSpacing/>
        <w:jc w:val="both"/>
      </w:pPr>
      <w:r w:rsidRPr="00F80409">
        <w:t>Специализирана администрация, която осигурява осъществяването на правомощията на Комисията и нейните органи. В нейния състав са включени дирекциите от управление „Надзор на инвестиционната дейност“, „Застрахователен надзор“, „Осигурителен надзор“ и дирекция „Анализи, жалби и преструктуриране“.</w:t>
      </w:r>
    </w:p>
    <w:p w14:paraId="68F0D249" w14:textId="77777777" w:rsidR="002060AB" w:rsidRPr="00F80409" w:rsidRDefault="002060AB" w:rsidP="00A72E56">
      <w:pPr>
        <w:tabs>
          <w:tab w:val="left" w:pos="0"/>
          <w:tab w:val="num" w:pos="720"/>
        </w:tabs>
        <w:spacing w:line="276" w:lineRule="auto"/>
        <w:jc w:val="both"/>
        <w:rPr>
          <w:i/>
        </w:rPr>
      </w:pPr>
    </w:p>
    <w:p w14:paraId="1A35E567" w14:textId="2C05789C" w:rsidR="00A72E56" w:rsidRPr="00F80409" w:rsidRDefault="00374948" w:rsidP="00A72E56">
      <w:pPr>
        <w:tabs>
          <w:tab w:val="left" w:pos="0"/>
          <w:tab w:val="num" w:pos="720"/>
        </w:tabs>
        <w:spacing w:line="276" w:lineRule="auto"/>
        <w:jc w:val="both"/>
        <w:rPr>
          <w:i/>
          <w:lang w:bidi="bg-BG"/>
        </w:rPr>
      </w:pPr>
      <w:r w:rsidRPr="00F80409">
        <w:rPr>
          <w:i/>
        </w:rPr>
        <w:tab/>
      </w:r>
      <w:r w:rsidR="00A72E56" w:rsidRPr="00F80409">
        <w:rPr>
          <w:i/>
        </w:rPr>
        <w:t>Оперативна цел</w:t>
      </w:r>
      <w:r w:rsidR="00A72E56" w:rsidRPr="00F80409">
        <w:rPr>
          <w:i/>
          <w:lang w:bidi="bg-BG"/>
        </w:rPr>
        <w:t xml:space="preserve"> 8.2. Дигитална компетентност, мотивация и обучение на служителите</w:t>
      </w:r>
    </w:p>
    <w:p w14:paraId="17022D2E" w14:textId="60312471" w:rsidR="002060AB" w:rsidRPr="00F80409" w:rsidRDefault="002060AB" w:rsidP="00092CEB">
      <w:pPr>
        <w:spacing w:line="276" w:lineRule="auto"/>
        <w:ind w:firstLine="720"/>
        <w:jc w:val="both"/>
      </w:pPr>
      <w:r w:rsidRPr="00A01140">
        <w:t xml:space="preserve">За успешното реализиране на функциите и целите си, Комисията, чрез ефективното управление на човешките ресурси, цели да осигури способни, отговорни, мотивирани служители, притежаващи необходимите знания, компетентност и потенциал. Това се </w:t>
      </w:r>
      <w:r w:rsidR="00A01140" w:rsidRPr="00710780">
        <w:t xml:space="preserve">осъществява </w:t>
      </w:r>
      <w:r w:rsidRPr="00710780">
        <w:t>чрез провеждане на последователна политика в областта на управлението на човешките ресурси, насочена към осигуряване и развитие на експертния потенциал на служителите на Комисията, повишаване на професионалната им квалификация, осигуряване на последователност в лидерството и приемственост, изграждане и поддържане на работна среда, която повишава доверието, мотивацията и удовлетвореността на служителите и формиране на вътрешноинституционална принадлежност.</w:t>
      </w:r>
    </w:p>
    <w:p w14:paraId="498C026C" w14:textId="0E731497" w:rsidR="002060AB" w:rsidRPr="00F80409" w:rsidRDefault="002060AB" w:rsidP="00092CEB">
      <w:pPr>
        <w:spacing w:line="276" w:lineRule="auto"/>
        <w:ind w:firstLine="720"/>
        <w:jc w:val="both"/>
      </w:pPr>
      <w:r w:rsidRPr="00F80409">
        <w:t>Чрез предприетите действия по привличане и задържане на експерти с необходимите професионални качества и квалификации, броят на заетите щатни бройки в Комисията в края на месец юни е 219, а коефициентът на заетост възлиза на 82,6% от общата численост.</w:t>
      </w:r>
    </w:p>
    <w:p w14:paraId="1B45B25E" w14:textId="77777777" w:rsidR="002060AB" w:rsidRPr="00F80409" w:rsidRDefault="002060AB" w:rsidP="002060AB">
      <w:pPr>
        <w:spacing w:line="276" w:lineRule="auto"/>
        <w:ind w:firstLine="851"/>
        <w:jc w:val="both"/>
      </w:pPr>
      <w:r w:rsidRPr="00F80409">
        <w:t xml:space="preserve">В резултат на въведените правила за реализиране на програма за менторство на новопостъпилите в КФН служители се постига устойчива и трайна подкрепа, която спомага за навлизането на новите служители, както в специализираната работа, така и запознаване с организационната култура на Комисията. </w:t>
      </w:r>
    </w:p>
    <w:p w14:paraId="5BD87E6A" w14:textId="77777777" w:rsidR="002060AB" w:rsidRPr="00F80409" w:rsidRDefault="002060AB" w:rsidP="002060AB">
      <w:pPr>
        <w:spacing w:line="276" w:lineRule="auto"/>
        <w:ind w:firstLine="851"/>
        <w:jc w:val="both"/>
      </w:pPr>
      <w:r w:rsidRPr="00F80409">
        <w:t xml:space="preserve">Прилагането на менторството доведе до повишаване на мотивацията, ефективността при изпълнението на ежедневните работни задачи и по-бързото адаптиране на новоназначените служители към организацията, и в частност към работния процес в съответното звено. </w:t>
      </w:r>
    </w:p>
    <w:p w14:paraId="1B76802D" w14:textId="77777777" w:rsidR="002060AB" w:rsidRPr="00F80409" w:rsidRDefault="002060AB" w:rsidP="002060AB">
      <w:pPr>
        <w:spacing w:line="276" w:lineRule="auto"/>
        <w:ind w:firstLine="851"/>
        <w:jc w:val="both"/>
      </w:pPr>
      <w:r w:rsidRPr="00F80409">
        <w:t xml:space="preserve">През първото полугодие на 2025 г. се провежда менторство на 28 назначени служители, като част от тях са стартирали през 2024 г. </w:t>
      </w:r>
    </w:p>
    <w:p w14:paraId="2C2005C1" w14:textId="77777777" w:rsidR="002060AB" w:rsidRPr="00F80409" w:rsidRDefault="002060AB" w:rsidP="002060AB">
      <w:pPr>
        <w:spacing w:line="276" w:lineRule="auto"/>
        <w:ind w:firstLine="851"/>
        <w:jc w:val="both"/>
      </w:pPr>
      <w:r w:rsidRPr="00F80409">
        <w:lastRenderedPageBreak/>
        <w:t>Съобразно поставените стратегически цели и съответно постигането им чрез изпълнение на специфични подцели, през първото шестмесечие на настоящата година в областта на управлението на човешките ресурси са извършени целенасочени, рационални и ефективни действия, насочени към поддържане ритъма на изпълнение на работните процеси, посредством което са реализирани следните дейности:</w:t>
      </w:r>
    </w:p>
    <w:p w14:paraId="63899AEC" w14:textId="77777777" w:rsidR="002060AB" w:rsidRPr="00F80409" w:rsidRDefault="002060AB" w:rsidP="002060AB">
      <w:pPr>
        <w:numPr>
          <w:ilvl w:val="3"/>
          <w:numId w:val="36"/>
        </w:numPr>
        <w:spacing w:after="160" w:line="276" w:lineRule="auto"/>
        <w:ind w:left="0" w:firstLine="709"/>
        <w:contextualSpacing/>
        <w:jc w:val="both"/>
      </w:pPr>
      <w:r w:rsidRPr="00F80409">
        <w:t xml:space="preserve">Съобразно Процедурата за планиране, организиране и реализиране на обученията на служителите в КФН е извършен анализ и последваща оценка на проведените обучения през 2024 г., който допринесе за идентифициране на нуждите от обучение на служителите през 2025 г. Извършен е анализ на потребностите от обучение на служителите през 2025 г., въз основа на който е утвърден от председателя на КФН План за обучение на служителите; </w:t>
      </w:r>
    </w:p>
    <w:p w14:paraId="31093976" w14:textId="77777777" w:rsidR="002060AB" w:rsidRPr="00F80409" w:rsidRDefault="002060AB" w:rsidP="002060AB">
      <w:pPr>
        <w:numPr>
          <w:ilvl w:val="3"/>
          <w:numId w:val="36"/>
        </w:numPr>
        <w:spacing w:after="160" w:line="276" w:lineRule="auto"/>
        <w:ind w:left="0" w:firstLine="709"/>
        <w:contextualSpacing/>
        <w:jc w:val="both"/>
      </w:pPr>
      <w:r w:rsidRPr="00F80409">
        <w:t>С цел поддържане и повишаване на необходимата теоретична подготовка, както и придобиването на нови знания и умения от служителите, през периода на отчитане са проведени обучения в различна форма – присъствена, в електронна среда и/или смесена, за професионално и личностно развитие на служителите, разпределени както следва:</w:t>
      </w:r>
    </w:p>
    <w:p w14:paraId="49EE22A8" w14:textId="77777777" w:rsidR="002060AB" w:rsidRPr="00F80409" w:rsidRDefault="002060AB" w:rsidP="002060AB">
      <w:pPr>
        <w:numPr>
          <w:ilvl w:val="3"/>
          <w:numId w:val="36"/>
        </w:numPr>
        <w:spacing w:after="160" w:line="276" w:lineRule="auto"/>
        <w:ind w:left="0" w:firstLine="709"/>
        <w:contextualSpacing/>
        <w:jc w:val="both"/>
      </w:pPr>
      <w:r w:rsidRPr="00F80409">
        <w:t>Организирани и проведени са общо 48 обучителни сесии от Института по публична администрация, които са обхванали 24 теми, служителите, участвали в тях са 41, като един служител е участвал в повече от една тема на обучение. Обученията са в областта на дигиталната компетентност, правоприлагане, управление на данни и изкуствен интелект, регулаторни политики и др. Най-голям дял от проведените обучения обхващат теми, включени в програмата „Дигитална компетентност“ – 33%, програмите „Правоприлагане“ – 25%, „Интелигентно управление на данни и изкуствен интелект“ – 19%, „Регулаторна политика“ – 13%, програмата „Публични политики“ и „Управление и ефективност“ – 10%. Темите включени в останалите програми заемат по-малък относителен дял от проведените от Института по публична администрация курсове;</w:t>
      </w:r>
    </w:p>
    <w:p w14:paraId="4FB4691D" w14:textId="77777777" w:rsidR="002060AB" w:rsidRPr="00F80409" w:rsidRDefault="002060AB" w:rsidP="002060AB">
      <w:pPr>
        <w:numPr>
          <w:ilvl w:val="3"/>
          <w:numId w:val="36"/>
        </w:numPr>
        <w:spacing w:after="160" w:line="276" w:lineRule="auto"/>
        <w:ind w:left="0" w:firstLine="709"/>
        <w:contextualSpacing/>
        <w:jc w:val="both"/>
      </w:pPr>
      <w:r w:rsidRPr="00F80409">
        <w:t>Проведени са 67 обучителни сесии за повишаване на професионалната квалификация на служителите, организирани от обучаващи институции в България (Българско актюерско дружество, Институт на вътрешните одитори в България, Школа по публични финанси, Международен банков институт, Европейски цифров иновационен хъб „Тракия“ и др.) по общо 12 теми, с участието на 55 служители, един служител е участвал в повече от една тема на обучение. Основните области на проведените курсове са в областта на дигитализацията, европейско законодателство, финансите, вътрешния одит, управление на риска, вътрешния контрол, както и запознаването с промените в различни нормативни актове, касаещи дейността на Комисията и др.;</w:t>
      </w:r>
    </w:p>
    <w:p w14:paraId="57314E75" w14:textId="4A0B265C" w:rsidR="002060AB" w:rsidRPr="00F80409" w:rsidRDefault="002060AB" w:rsidP="002060AB">
      <w:pPr>
        <w:numPr>
          <w:ilvl w:val="3"/>
          <w:numId w:val="36"/>
        </w:numPr>
        <w:spacing w:after="160" w:line="276" w:lineRule="auto"/>
        <w:ind w:left="0" w:firstLine="709"/>
        <w:contextualSpacing/>
        <w:jc w:val="both"/>
      </w:pPr>
      <w:r w:rsidRPr="00F80409">
        <w:t>В обученията, организирани от чуждестранни организации – Европейската надзорна финансова дигитална академия (EU-SDFA), Joint Vienna Institute (JVI), Е</w:t>
      </w:r>
      <w:r w:rsidR="00710780">
        <w:t>К</w:t>
      </w:r>
      <w:r w:rsidRPr="00F80409">
        <w:t xml:space="preserve">, </w:t>
      </w:r>
      <w:r w:rsidRPr="00710780">
        <w:t>М</w:t>
      </w:r>
      <w:r w:rsidR="00710780">
        <w:t>ВФ</w:t>
      </w:r>
      <w:r w:rsidRPr="00710780">
        <w:t xml:space="preserve"> </w:t>
      </w:r>
      <w:r w:rsidRPr="00F80409">
        <w:t>и др. са проведени 30 обучителни сесии по 20 теми, участвалите служители са 22, като отново един служител е участвал в повече от една тема на обучение. Основната част от обученията, проведени от чуждестранни организации са в дистанционна форма;</w:t>
      </w:r>
    </w:p>
    <w:p w14:paraId="199BBEF0" w14:textId="4D8AD7C5" w:rsidR="002060AB" w:rsidRPr="00F80409" w:rsidRDefault="002060AB" w:rsidP="002060AB">
      <w:pPr>
        <w:numPr>
          <w:ilvl w:val="3"/>
          <w:numId w:val="36"/>
        </w:numPr>
        <w:spacing w:line="276" w:lineRule="auto"/>
        <w:ind w:left="0" w:firstLine="709"/>
        <w:contextualSpacing/>
        <w:jc w:val="both"/>
      </w:pPr>
      <w:r w:rsidRPr="00F80409">
        <w:t xml:space="preserve">През настоящата година Комисията продължава участието си в обучителните модули на Европейската надзорна финансова дигитална академия, проект за техническа </w:t>
      </w:r>
      <w:r w:rsidRPr="00F80409">
        <w:lastRenderedPageBreak/>
        <w:t xml:space="preserve">подкрепа към </w:t>
      </w:r>
      <w:r w:rsidRPr="00F80409">
        <w:rPr>
          <w:lang w:val="en-US"/>
        </w:rPr>
        <w:t>DG REFORM</w:t>
      </w:r>
      <w:r w:rsidRPr="00F80409">
        <w:t xml:space="preserve"> на Е</w:t>
      </w:r>
      <w:r w:rsidR="00086AE8">
        <w:t>К</w:t>
      </w:r>
      <w:r w:rsidRPr="00F80409">
        <w:t>, по който КФН е бенефициент. Обучителните модули са насочени към придобиване на знания в сферата на дигитализацията на финансовия сектор, които да подобрят надзорна практика на регулаторните органи</w:t>
      </w:r>
      <w:r w:rsidR="007F1C72">
        <w:t>.</w:t>
      </w:r>
    </w:p>
    <w:p w14:paraId="06F8CE44" w14:textId="77777777" w:rsidR="002060AB" w:rsidRPr="00F80409" w:rsidRDefault="002060AB" w:rsidP="002060AB">
      <w:pPr>
        <w:spacing w:line="276" w:lineRule="auto"/>
        <w:ind w:firstLine="708"/>
        <w:jc w:val="both"/>
      </w:pPr>
      <w:r w:rsidRPr="00F80409">
        <w:t>С цел ефективното осъществяване на регулаторната и надзорна дейност на Комисията през периода на отчитане са назначени общо 15 служители с необходимото образование и професионална квалификация, личностни качества и потенциал, които отговарят на високите стандарти, заложени в целите на КФН, а именно:</w:t>
      </w:r>
    </w:p>
    <w:p w14:paraId="120DA859" w14:textId="77777777" w:rsidR="002060AB" w:rsidRPr="00F80409" w:rsidRDefault="002060AB" w:rsidP="002060AB">
      <w:pPr>
        <w:numPr>
          <w:ilvl w:val="0"/>
          <w:numId w:val="37"/>
        </w:numPr>
        <w:spacing w:line="276" w:lineRule="auto"/>
        <w:ind w:hanging="11"/>
        <w:contextualSpacing/>
        <w:jc w:val="both"/>
      </w:pPr>
      <w:r w:rsidRPr="00F80409">
        <w:t>4 служители са назначени в общата администрация на КФН;</w:t>
      </w:r>
    </w:p>
    <w:p w14:paraId="3100272A" w14:textId="77777777" w:rsidR="002060AB" w:rsidRPr="00F80409" w:rsidRDefault="002060AB" w:rsidP="002060AB">
      <w:pPr>
        <w:numPr>
          <w:ilvl w:val="0"/>
          <w:numId w:val="37"/>
        </w:numPr>
        <w:spacing w:line="276" w:lineRule="auto"/>
        <w:ind w:hanging="11"/>
        <w:contextualSpacing/>
        <w:jc w:val="both"/>
      </w:pPr>
      <w:r w:rsidRPr="00F80409">
        <w:t>11 служители в специализираната администрация на регулатора.</w:t>
      </w:r>
    </w:p>
    <w:p w14:paraId="6DEB3F03" w14:textId="77777777" w:rsidR="002060AB" w:rsidRPr="00F80409" w:rsidRDefault="002060AB" w:rsidP="002060AB">
      <w:pPr>
        <w:spacing w:line="276" w:lineRule="auto"/>
        <w:ind w:firstLine="720"/>
        <w:jc w:val="both"/>
      </w:pPr>
      <w:r w:rsidRPr="00F80409">
        <w:t xml:space="preserve">Най-голям дял от новопостъпилите в администрацията на Комисията служители заемат експертните длъжности – главен експерт (47%), старши експерт (13%) и финансов анализатор (13%). Бройката на новоназначените се допълва от един служител, заемащ длъжността актюер, главен юрисконсулт, технически сътрудник и изпълнител. </w:t>
      </w:r>
    </w:p>
    <w:p w14:paraId="74DD3E3D" w14:textId="77777777" w:rsidR="002060AB" w:rsidRPr="00F80409" w:rsidRDefault="002060AB" w:rsidP="002060AB">
      <w:pPr>
        <w:spacing w:line="276" w:lineRule="auto"/>
        <w:jc w:val="both"/>
      </w:pPr>
      <w:r w:rsidRPr="00F80409">
        <w:tab/>
        <w:t>През отчетния период седем служители са повишени в по-висока длъжност, по инициатива на своите ръководители, други шестнадесет служители са получили увеличение на основното възнаграждение, въз основа на заложените във Вътрешните правила за работната заплата хипотези за преразглеждане на възнаграждението след изтичане на срока за изпитване, при повишен обем на изпълняваната работа и др., шест служители са преназначени в друго административно звено.</w:t>
      </w:r>
    </w:p>
    <w:p w14:paraId="66A99694" w14:textId="30555456" w:rsidR="002060AB" w:rsidRPr="00F80409" w:rsidRDefault="002060AB" w:rsidP="002060AB">
      <w:pPr>
        <w:spacing w:line="276" w:lineRule="auto"/>
        <w:ind w:firstLine="708"/>
        <w:jc w:val="both"/>
      </w:pPr>
      <w:r w:rsidRPr="00F80409">
        <w:t xml:space="preserve">През първото полугодие на настоящата година са прекратени трудовите правоотношения с общо 24 служители, като основната част от тях са с прекратени трудови договори по взаимно съгласие на страните или с предизвестие от служителя, един служител с прекратен трудов договор, на основание разпоредбите на чл. 327, ал. 1, т. 9 от Кодекса на труда, поради постъпване на държавна служба, един служител с прекратено трудово правоотношение, поради придобито право на пенсия. По инициатива на работодателя, срещу уговорено обезщетение, са прекратени трудовите договори с двама служители. </w:t>
      </w:r>
    </w:p>
    <w:p w14:paraId="1302A5AD" w14:textId="77777777" w:rsidR="002060AB" w:rsidRPr="002060AB" w:rsidRDefault="002060AB" w:rsidP="002060AB">
      <w:pPr>
        <w:spacing w:line="276" w:lineRule="auto"/>
        <w:ind w:firstLine="708"/>
        <w:jc w:val="both"/>
      </w:pPr>
      <w:r w:rsidRPr="00F80409">
        <w:t>През 2025 г. Комисията продължи участието си в Програмата за студентски стажове в държавната администрация, като в рамките на отчетния период стартира и организира предстоящите стажове на шест студенти в дирекциите „Регулаторни режими на застрахователния надзор“, „Правна“ и „Анализи, жалби и преструктуриране“.</w:t>
      </w:r>
    </w:p>
    <w:p w14:paraId="04332858" w14:textId="77777777" w:rsidR="002060AB" w:rsidRPr="00A72E56" w:rsidRDefault="002060AB" w:rsidP="00A72E56">
      <w:pPr>
        <w:tabs>
          <w:tab w:val="left" w:pos="0"/>
          <w:tab w:val="num" w:pos="720"/>
        </w:tabs>
        <w:spacing w:line="276" w:lineRule="auto"/>
        <w:jc w:val="both"/>
        <w:rPr>
          <w:lang w:bidi="bg-BG"/>
        </w:rPr>
      </w:pPr>
    </w:p>
    <w:p w14:paraId="4446F1EA" w14:textId="5C02DBC4" w:rsidR="008D747C" w:rsidRDefault="007A60A6" w:rsidP="007D22B4">
      <w:pPr>
        <w:tabs>
          <w:tab w:val="left" w:pos="0"/>
          <w:tab w:val="num" w:pos="720"/>
        </w:tabs>
        <w:spacing w:line="276" w:lineRule="auto"/>
        <w:jc w:val="both"/>
        <w:rPr>
          <w:i/>
          <w:lang w:bidi="bg-BG"/>
        </w:rPr>
      </w:pPr>
      <w:r>
        <w:rPr>
          <w:i/>
        </w:rPr>
        <w:tab/>
      </w:r>
      <w:r w:rsidR="00A72E56" w:rsidRPr="00A72E56">
        <w:rPr>
          <w:i/>
        </w:rPr>
        <w:t>Оперативна цел</w:t>
      </w:r>
      <w:r w:rsidR="00A72E56" w:rsidRPr="00A72E56">
        <w:rPr>
          <w:i/>
          <w:lang w:bidi="bg-BG"/>
        </w:rPr>
        <w:t xml:space="preserve"> 8.3. Осигуряване финансирането на набелязаните цели чрез планиране и управление на публичните средства в съответствие с принципите за добро финансово управление, законосъобразност и прозрачност</w:t>
      </w:r>
    </w:p>
    <w:p w14:paraId="72F96658" w14:textId="7008847B" w:rsidR="000A5556" w:rsidRDefault="00F80409" w:rsidP="00F80409">
      <w:pPr>
        <w:tabs>
          <w:tab w:val="left" w:pos="0"/>
          <w:tab w:val="num" w:pos="720"/>
        </w:tabs>
        <w:spacing w:line="276" w:lineRule="auto"/>
        <w:jc w:val="both"/>
        <w:rPr>
          <w:lang w:bidi="bg-BG"/>
        </w:rPr>
      </w:pPr>
      <w:r>
        <w:rPr>
          <w:lang w:bidi="bg-BG"/>
        </w:rPr>
        <w:tab/>
        <w:t xml:space="preserve">През първите шест месеца на 2025 г. Комисията е предприела конкретни мерки за осигуряване на финансирането на набелязаните цели, като е спазила принципите на добро финансово управление, законосъобразност и прозрачност. </w:t>
      </w:r>
    </w:p>
    <w:p w14:paraId="58E41173" w14:textId="77777777" w:rsidR="000A5556" w:rsidRPr="0032635C" w:rsidRDefault="000A5556" w:rsidP="000A5556">
      <w:pPr>
        <w:spacing w:line="276" w:lineRule="auto"/>
        <w:ind w:firstLine="708"/>
        <w:jc w:val="both"/>
        <w:rPr>
          <w:szCs w:val="32"/>
        </w:rPr>
      </w:pPr>
      <w:r w:rsidRPr="0032635C">
        <w:rPr>
          <w:szCs w:val="32"/>
        </w:rPr>
        <w:t xml:space="preserve">През отчетния период изпълняваните дейности са насочени към осигуряване на  финансова стабилност, разумно разходване на бюджетните средства, както и осигуряване на вярна и надеждна информация за финансовото и имуществено състояние на Комисията, с цел постоянно усъвършенстване на регулаторната и надзорна дейност на Комисията в </w:t>
      </w:r>
      <w:r w:rsidRPr="0032635C">
        <w:rPr>
          <w:szCs w:val="32"/>
        </w:rPr>
        <w:lastRenderedPageBreak/>
        <w:t xml:space="preserve">защита на правата и интересите на потребителите на небанкови финансови услуги. </w:t>
      </w:r>
      <w:r w:rsidRPr="0032635C">
        <w:rPr>
          <w:szCs w:val="32"/>
        </w:rPr>
        <w:tab/>
        <w:t>Планирането и разпределението на бюджета на Комисията цели осигуряване на приоритетните дейности на Комисията, съгласно принципите за икономичност, ефикасност, ефективност и устойчивост и при спазване на приложимото законодателство, на вътрешните актове и на договорите.</w:t>
      </w:r>
    </w:p>
    <w:p w14:paraId="407E5B6B" w14:textId="77777777" w:rsidR="000A5556" w:rsidRPr="0032635C" w:rsidRDefault="000A5556" w:rsidP="000A5556">
      <w:pPr>
        <w:spacing w:line="276" w:lineRule="auto"/>
        <w:ind w:firstLine="708"/>
        <w:jc w:val="both"/>
        <w:rPr>
          <w:szCs w:val="32"/>
        </w:rPr>
      </w:pPr>
      <w:r w:rsidRPr="0032635C">
        <w:rPr>
          <w:szCs w:val="32"/>
        </w:rPr>
        <w:t xml:space="preserve">Дейностите през периода са насочени към оптималното управление на финансовите ресурси, като се акцентира върху анализа и засилване на контрола при изпълнението на бюджетните показатели, в резултат на което е осигурена финансова стабилност на Комисията. </w:t>
      </w:r>
    </w:p>
    <w:p w14:paraId="4A85EE43" w14:textId="77777777" w:rsidR="000A5556" w:rsidRPr="0032635C" w:rsidRDefault="000A5556" w:rsidP="000A5556">
      <w:pPr>
        <w:spacing w:line="276" w:lineRule="auto"/>
        <w:ind w:firstLine="708"/>
        <w:jc w:val="both"/>
        <w:rPr>
          <w:szCs w:val="32"/>
        </w:rPr>
      </w:pPr>
      <w:r w:rsidRPr="0032635C">
        <w:rPr>
          <w:szCs w:val="32"/>
        </w:rPr>
        <w:t>През периода се осъществява текущо наблюдение на изпълнението на бюджета на КФН, като ежемесечно в МФ се представя актуализирано разпределението на бюджета, включващо приходите, помощите и даренията, разходите, бюджетните взаимоотношения (трансферите), бюджетното салдо и операциите в частта на финансирането на бюджетното салдо. За изтеклите месеци се посочват отчетни данни, а за предстоящите до края на годината се изготвя реалистична прогноза на база очакваните приходи и разходи.</w:t>
      </w:r>
    </w:p>
    <w:p w14:paraId="0F126ABE" w14:textId="77777777" w:rsidR="000A5556" w:rsidRPr="0032635C" w:rsidRDefault="000A5556" w:rsidP="000A5556">
      <w:pPr>
        <w:spacing w:line="276" w:lineRule="auto"/>
        <w:ind w:firstLine="708"/>
        <w:jc w:val="both"/>
        <w:rPr>
          <w:szCs w:val="32"/>
        </w:rPr>
      </w:pPr>
      <w:r w:rsidRPr="0032635C">
        <w:rPr>
          <w:szCs w:val="32"/>
        </w:rPr>
        <w:t>През периода е изготвена необходимата информация относно планиране и отчитане на разходите в областта на електронното управление и за използваните информационни и  комуникационни технологии (текущи и капиталови разходи) на КФН, съгласно Правила за предварително съгласуване на разходите на административните органи в областта на електронното управление и за използваните от тях информационни и комуникационни технологии в рамките на  бюджетния процес.</w:t>
      </w:r>
    </w:p>
    <w:p w14:paraId="5095ABCD" w14:textId="77777777" w:rsidR="000A5556" w:rsidRPr="0032635C" w:rsidRDefault="000A5556" w:rsidP="000A5556">
      <w:pPr>
        <w:spacing w:line="276" w:lineRule="auto"/>
        <w:ind w:firstLine="708"/>
        <w:jc w:val="both"/>
        <w:rPr>
          <w:szCs w:val="32"/>
        </w:rPr>
      </w:pPr>
      <w:r w:rsidRPr="0032635C">
        <w:rPr>
          <w:szCs w:val="32"/>
        </w:rPr>
        <w:t>Периодично са изготвяни ежемесечни и тримесечни отчети за извършените разходи, оборотни ведомости и тримесечна информация по бюджетна програма „Подобряване на регулацията и надзора на небанковия финансов сектор“, които са представени в МФ, съобразно указаните срокове. Тримесечните отчети и оборотните ведомости са представени и в Сметната палата. През същия период е изготвен и годишният финансов отчет на Комисията за финансов надзор за 2024 г., както и отчет</w:t>
      </w:r>
      <w:r>
        <w:rPr>
          <w:szCs w:val="32"/>
        </w:rPr>
        <w:t>ът</w:t>
      </w:r>
      <w:r w:rsidRPr="0032635C">
        <w:rPr>
          <w:szCs w:val="32"/>
        </w:rPr>
        <w:t xml:space="preserve"> на програмния бюджет за 2024 г. През отчетния период от Сметна палата е извършен финансов одит на годишния финансов отчет на Комисията за 2024 г., като в получения Одитен доклад № 0400100625 е изразено немодифицирано мнение, относно  представения годишен финансов отчет.</w:t>
      </w:r>
    </w:p>
    <w:p w14:paraId="18ECBAD5" w14:textId="77777777" w:rsidR="000A5556" w:rsidRPr="0032635C" w:rsidRDefault="000A5556" w:rsidP="000A5556">
      <w:pPr>
        <w:spacing w:line="276" w:lineRule="auto"/>
        <w:ind w:firstLine="708"/>
        <w:jc w:val="both"/>
        <w:rPr>
          <w:szCs w:val="32"/>
        </w:rPr>
      </w:pPr>
      <w:r w:rsidRPr="0032635C">
        <w:rPr>
          <w:szCs w:val="32"/>
        </w:rPr>
        <w:t xml:space="preserve">С цел осигуряване на прозрачност на институционалната страница на Комисията </w:t>
      </w:r>
      <w:r>
        <w:rPr>
          <w:szCs w:val="32"/>
        </w:rPr>
        <w:t>регулярно</w:t>
      </w:r>
      <w:r w:rsidRPr="0032635C">
        <w:rPr>
          <w:szCs w:val="32"/>
        </w:rPr>
        <w:t xml:space="preserve"> са публикувани ежемесечни и тримесечни отчети, тримесечна информация по бюджетна програма „Подобряване на регулацията и надзора на небанковия финансов сектор“, годишния финансов отчет за 2024 г., както и отчета на програмния бюджет за 2024 г. </w:t>
      </w:r>
    </w:p>
    <w:p w14:paraId="11CF5434" w14:textId="0785913E" w:rsidR="000A5556" w:rsidRDefault="000A5556" w:rsidP="000A5556">
      <w:pPr>
        <w:tabs>
          <w:tab w:val="left" w:pos="0"/>
          <w:tab w:val="num" w:pos="720"/>
        </w:tabs>
        <w:spacing w:line="276" w:lineRule="auto"/>
        <w:jc w:val="both"/>
        <w:rPr>
          <w:lang w:bidi="bg-BG"/>
        </w:rPr>
      </w:pPr>
      <w:r>
        <w:rPr>
          <w:szCs w:val="32"/>
        </w:rPr>
        <w:tab/>
      </w:r>
      <w:r w:rsidRPr="0032635C">
        <w:rPr>
          <w:szCs w:val="32"/>
        </w:rPr>
        <w:t xml:space="preserve">През периода дейностите по събиране на приходите на Комисията се извършват своевременно, като се предприемат необходимите действия за  внасянето на дължимите такси за осъществяване на общ финансов надзор по чл. 27, ал. 1 ЗКФН, действия по реда на Закона за административните нарушения и наказания и Данъчно-осигурителния процесуален кодекс за доброволно събиране на глоби и имуществени санкции по влезли в </w:t>
      </w:r>
      <w:r w:rsidRPr="0032635C">
        <w:rPr>
          <w:szCs w:val="32"/>
        </w:rPr>
        <w:lastRenderedPageBreak/>
        <w:t>сила наказателни постановления и присъдени съдебни разноски, както и предаването им на НАП или частни съдебни изпълнители за принудително изпълнение.</w:t>
      </w:r>
    </w:p>
    <w:p w14:paraId="262692CC" w14:textId="437CF353" w:rsidR="00F80409" w:rsidRDefault="000A5556" w:rsidP="00F80409">
      <w:pPr>
        <w:tabs>
          <w:tab w:val="left" w:pos="0"/>
          <w:tab w:val="num" w:pos="720"/>
        </w:tabs>
        <w:spacing w:line="276" w:lineRule="auto"/>
        <w:jc w:val="both"/>
        <w:rPr>
          <w:lang w:bidi="bg-BG"/>
        </w:rPr>
      </w:pPr>
      <w:r>
        <w:rPr>
          <w:lang w:bidi="bg-BG"/>
        </w:rPr>
        <w:tab/>
      </w:r>
      <w:r w:rsidR="00F80409">
        <w:rPr>
          <w:lang w:bidi="bg-BG"/>
        </w:rPr>
        <w:t>През отчетния период е приета Наредба № 76 от 12.06.2025 г. за таксите, събирани от Комисията за финансов надзор, чрез която са актуализирани видовете и размерите на таксите, които събира от поднадзорните лица, включително:</w:t>
      </w:r>
    </w:p>
    <w:p w14:paraId="30DA5462" w14:textId="2C76C433" w:rsidR="00F80409" w:rsidRDefault="00F80409" w:rsidP="00F80409">
      <w:pPr>
        <w:tabs>
          <w:tab w:val="left" w:pos="0"/>
          <w:tab w:val="num" w:pos="720"/>
        </w:tabs>
        <w:spacing w:line="276" w:lineRule="auto"/>
        <w:jc w:val="both"/>
        <w:rPr>
          <w:lang w:bidi="bg-BG"/>
        </w:rPr>
      </w:pPr>
      <w:r>
        <w:rPr>
          <w:lang w:bidi="bg-BG"/>
        </w:rPr>
        <w:tab/>
        <w:t>- за издаване на лицензи и разрешения;</w:t>
      </w:r>
    </w:p>
    <w:p w14:paraId="42E3F6E3" w14:textId="2A723598" w:rsidR="00F80409" w:rsidRDefault="00F80409" w:rsidP="00F80409">
      <w:pPr>
        <w:tabs>
          <w:tab w:val="left" w:pos="0"/>
          <w:tab w:val="num" w:pos="720"/>
        </w:tabs>
        <w:spacing w:line="276" w:lineRule="auto"/>
        <w:jc w:val="both"/>
        <w:rPr>
          <w:lang w:bidi="bg-BG"/>
        </w:rPr>
      </w:pPr>
      <w:r>
        <w:rPr>
          <w:lang w:bidi="bg-BG"/>
        </w:rPr>
        <w:tab/>
        <w:t>- за вписвания и отписвания от регистри;</w:t>
      </w:r>
    </w:p>
    <w:p w14:paraId="3E8340A6" w14:textId="6ED8B71A" w:rsidR="00F80409" w:rsidRDefault="00F80409" w:rsidP="00F80409">
      <w:pPr>
        <w:tabs>
          <w:tab w:val="left" w:pos="0"/>
          <w:tab w:val="num" w:pos="720"/>
        </w:tabs>
        <w:spacing w:line="276" w:lineRule="auto"/>
        <w:jc w:val="both"/>
        <w:rPr>
          <w:lang w:bidi="bg-BG"/>
        </w:rPr>
      </w:pPr>
      <w:r>
        <w:rPr>
          <w:lang w:bidi="bg-BG"/>
        </w:rPr>
        <w:t xml:space="preserve"> </w:t>
      </w:r>
      <w:r>
        <w:rPr>
          <w:lang w:bidi="bg-BG"/>
        </w:rPr>
        <w:tab/>
        <w:t>- за провеждане на изпити и преструктуриране;</w:t>
      </w:r>
    </w:p>
    <w:p w14:paraId="77AA1D49" w14:textId="72850455" w:rsidR="00F80409" w:rsidRDefault="00F80409" w:rsidP="00F80409">
      <w:pPr>
        <w:tabs>
          <w:tab w:val="left" w:pos="0"/>
          <w:tab w:val="num" w:pos="720"/>
        </w:tabs>
        <w:spacing w:line="276" w:lineRule="auto"/>
        <w:jc w:val="both"/>
        <w:rPr>
          <w:lang w:bidi="bg-BG"/>
        </w:rPr>
      </w:pPr>
      <w:r>
        <w:rPr>
          <w:lang w:bidi="bg-BG"/>
        </w:rPr>
        <w:tab/>
        <w:t>- за осъществяване на общ финансов надзор</w:t>
      </w:r>
      <w:r w:rsidR="007F1C72">
        <w:rPr>
          <w:lang w:bidi="bg-BG"/>
        </w:rPr>
        <w:t>.</w:t>
      </w:r>
    </w:p>
    <w:p w14:paraId="46DCD4D2" w14:textId="7B4735B4" w:rsidR="00F80409" w:rsidRDefault="00F80409" w:rsidP="00F80409">
      <w:pPr>
        <w:tabs>
          <w:tab w:val="left" w:pos="0"/>
          <w:tab w:val="num" w:pos="720"/>
        </w:tabs>
        <w:spacing w:line="276" w:lineRule="auto"/>
        <w:jc w:val="both"/>
        <w:rPr>
          <w:lang w:bidi="bg-BG"/>
        </w:rPr>
      </w:pPr>
      <w:r>
        <w:rPr>
          <w:lang w:bidi="bg-BG"/>
        </w:rPr>
        <w:tab/>
        <w:t>Целта е да се гарантира финансова независимост и стабилност на Комисията, като се избегне натрупване на дефицит или излишък. Размерът на таксите е определен въз основа на прогнозни разходи по програма „Подобряване на регулацията и надзора на небанковия сектор“.</w:t>
      </w:r>
    </w:p>
    <w:p w14:paraId="42491DC1" w14:textId="77777777" w:rsidR="005768C8" w:rsidRPr="006075EB" w:rsidRDefault="007D22B4" w:rsidP="006075EB">
      <w:pPr>
        <w:pStyle w:val="NormalWeb"/>
        <w:spacing w:line="276" w:lineRule="auto"/>
        <w:jc w:val="both"/>
        <w:rPr>
          <w:b/>
          <w:color w:val="auto"/>
          <w:lang w:bidi="bg-BG"/>
        </w:rPr>
      </w:pPr>
      <w:r w:rsidRPr="006075EB">
        <w:rPr>
          <w:color w:val="auto"/>
          <w:lang w:bidi="bg-BG"/>
        </w:rPr>
        <w:tab/>
      </w:r>
      <w:r w:rsidR="005768C8" w:rsidRPr="006075EB">
        <w:rPr>
          <w:b/>
          <w:color w:val="auto"/>
          <w:lang w:bidi="bg-BG"/>
        </w:rPr>
        <w:t xml:space="preserve">Приоритет 9. Поддържане и развиване на модерна информационна инфраструктура </w:t>
      </w:r>
    </w:p>
    <w:p w14:paraId="70BB858E" w14:textId="0F8EE386" w:rsidR="007D22B4" w:rsidRPr="006075EB" w:rsidRDefault="005768C8" w:rsidP="006075EB">
      <w:pPr>
        <w:pStyle w:val="NormalWeb"/>
        <w:spacing w:line="276" w:lineRule="auto"/>
        <w:jc w:val="both"/>
        <w:rPr>
          <w:color w:val="auto"/>
          <w:lang w:bidi="bg-BG"/>
        </w:rPr>
      </w:pPr>
      <w:r w:rsidRPr="006075EB">
        <w:rPr>
          <w:b/>
          <w:color w:val="auto"/>
          <w:lang w:bidi="bg-BG"/>
        </w:rPr>
        <w:tab/>
      </w:r>
      <w:r w:rsidRPr="006075EB">
        <w:rPr>
          <w:color w:val="auto"/>
        </w:rPr>
        <w:t xml:space="preserve">В контекста на стремежа към дигитална трансформация и ефективно административно обслужване, Комисията продължи да развива своята информационна инфраструктура, като постави акцент върху устойчивостта, сигурността и ориентираността към потребителите на финансови услуги. Дейностите по този приоритет са насочени към подобряване на технологичната среда, в която се осъществяват надзорните и регулаторни функции. </w:t>
      </w:r>
      <w:r w:rsidR="007D22B4" w:rsidRPr="006075EB">
        <w:rPr>
          <w:color w:val="auto"/>
          <w:lang w:bidi="bg-BG"/>
        </w:rPr>
        <w:t xml:space="preserve">За реализацията на </w:t>
      </w:r>
      <w:r w:rsidR="007D22B4" w:rsidRPr="0013720F">
        <w:rPr>
          <w:b/>
          <w:color w:val="auto"/>
          <w:lang w:bidi="bg-BG"/>
        </w:rPr>
        <w:t>Приоритет 9</w:t>
      </w:r>
      <w:r w:rsidR="0013720F">
        <w:rPr>
          <w:b/>
          <w:color w:val="auto"/>
          <w:lang w:val="en-US" w:bidi="bg-BG"/>
        </w:rPr>
        <w:t xml:space="preserve"> -</w:t>
      </w:r>
      <w:r w:rsidR="007D22B4" w:rsidRPr="0013720F">
        <w:rPr>
          <w:b/>
          <w:color w:val="auto"/>
          <w:lang w:bidi="bg-BG"/>
        </w:rPr>
        <w:t xml:space="preserve"> </w:t>
      </w:r>
      <w:r w:rsidR="00A72E56" w:rsidRPr="0013720F">
        <w:rPr>
          <w:b/>
          <w:color w:val="auto"/>
          <w:lang w:bidi="bg-BG"/>
        </w:rPr>
        <w:t xml:space="preserve">Поддържане и развиване на модерна информационна инфраструктура </w:t>
      </w:r>
      <w:r w:rsidR="007D22B4" w:rsidRPr="006075EB">
        <w:rPr>
          <w:color w:val="auto"/>
        </w:rPr>
        <w:t>Комисията залага следните оперативни цели:</w:t>
      </w:r>
    </w:p>
    <w:p w14:paraId="7021A254" w14:textId="77777777" w:rsidR="003F6A35" w:rsidRDefault="007D22B4" w:rsidP="006075EB">
      <w:pPr>
        <w:tabs>
          <w:tab w:val="left" w:pos="0"/>
        </w:tabs>
        <w:spacing w:line="276" w:lineRule="auto"/>
        <w:jc w:val="both"/>
      </w:pPr>
      <w:r w:rsidRPr="005768C8">
        <w:rPr>
          <w:lang w:bidi="bg-BG"/>
        </w:rPr>
        <w:tab/>
      </w:r>
      <w:r w:rsidRPr="005768C8">
        <w:rPr>
          <w:i/>
        </w:rPr>
        <w:t>Оперативна цел</w:t>
      </w:r>
      <w:r w:rsidRPr="005768C8">
        <w:rPr>
          <w:i/>
          <w:lang w:bidi="bg-BG"/>
        </w:rPr>
        <w:t xml:space="preserve"> 9.1. </w:t>
      </w:r>
      <w:r w:rsidR="00A72E56" w:rsidRPr="005768C8">
        <w:rPr>
          <w:i/>
          <w:lang w:bidi="bg-BG"/>
        </w:rPr>
        <w:t>Прилагане принципите на електронното управление, подобряване на административното обслужване и фокус върху потребителите на финансови услуги и продукти</w:t>
      </w:r>
      <w:r w:rsidR="005768C8" w:rsidRPr="005768C8">
        <w:tab/>
      </w:r>
    </w:p>
    <w:p w14:paraId="62334147" w14:textId="38082616" w:rsidR="005768C8" w:rsidRDefault="003F6A35" w:rsidP="006075EB">
      <w:pPr>
        <w:tabs>
          <w:tab w:val="left" w:pos="0"/>
        </w:tabs>
        <w:spacing w:line="276" w:lineRule="auto"/>
        <w:jc w:val="both"/>
      </w:pPr>
      <w:r>
        <w:tab/>
      </w:r>
      <w:r w:rsidR="005768C8" w:rsidRPr="005768C8">
        <w:t>Комисията продължи да интегрира принципите на електронното управление в своите процеси, с цел повишаване на ефективността и достъпността на административното обслужване. Усилията са насочени към създаване на удобни и прозрачни канали за комуникация с потребителите, както и към оптимизиране на вътрешните процеси чрез дигитализация.</w:t>
      </w:r>
    </w:p>
    <w:p w14:paraId="13FE756C" w14:textId="77777777" w:rsidR="006075EB" w:rsidRPr="005768C8" w:rsidRDefault="006075EB" w:rsidP="006075EB">
      <w:pPr>
        <w:tabs>
          <w:tab w:val="left" w:pos="0"/>
        </w:tabs>
        <w:spacing w:line="276" w:lineRule="auto"/>
        <w:jc w:val="both"/>
      </w:pPr>
    </w:p>
    <w:p w14:paraId="635D9B13" w14:textId="77777777" w:rsidR="003F6A35" w:rsidRDefault="007D22B4" w:rsidP="006075EB">
      <w:pPr>
        <w:tabs>
          <w:tab w:val="left" w:pos="0"/>
          <w:tab w:val="num" w:pos="720"/>
        </w:tabs>
        <w:spacing w:line="276" w:lineRule="auto"/>
        <w:jc w:val="both"/>
        <w:rPr>
          <w:i/>
        </w:rPr>
      </w:pPr>
      <w:r w:rsidRPr="005768C8">
        <w:rPr>
          <w:i/>
          <w:lang w:bidi="bg-BG"/>
        </w:rPr>
        <w:tab/>
      </w:r>
      <w:r w:rsidRPr="005768C8">
        <w:rPr>
          <w:i/>
        </w:rPr>
        <w:t>Оперативна цел</w:t>
      </w:r>
      <w:r w:rsidRPr="005768C8">
        <w:rPr>
          <w:i/>
          <w:lang w:bidi="bg-BG"/>
        </w:rPr>
        <w:t xml:space="preserve"> 9.2. </w:t>
      </w:r>
      <w:r w:rsidR="00A72E56" w:rsidRPr="005768C8">
        <w:rPr>
          <w:i/>
          <w:lang w:bidi="bg-BG"/>
        </w:rPr>
        <w:t xml:space="preserve">Повишаване нивото на информационната и киберсигурност и качеството на предоставяните ИТ услуги  </w:t>
      </w:r>
      <w:r w:rsidR="00A72E56" w:rsidRPr="005768C8">
        <w:rPr>
          <w:i/>
        </w:rPr>
        <w:tab/>
      </w:r>
    </w:p>
    <w:p w14:paraId="5E8225D3" w14:textId="23428BFE" w:rsidR="005768C8" w:rsidRPr="005768C8" w:rsidRDefault="003F6A35" w:rsidP="006075EB">
      <w:pPr>
        <w:tabs>
          <w:tab w:val="left" w:pos="0"/>
          <w:tab w:val="num" w:pos="720"/>
        </w:tabs>
        <w:spacing w:line="276" w:lineRule="auto"/>
        <w:jc w:val="both"/>
      </w:pPr>
      <w:r>
        <w:rPr>
          <w:i/>
        </w:rPr>
        <w:tab/>
      </w:r>
      <w:r w:rsidR="005768C8" w:rsidRPr="006075EB">
        <w:t>С оглед на нарастващите рискове в киберпространството, Комисията предприе действия за укрепване на информационната сигурност и подобряване на качеството на предоставяните ИТ услуги. В рамките на отчетния период се извършваха оценки на уязвимостите, актуализация на защитните механизми и внедряване на добри практики за управление на киберрискове.</w:t>
      </w:r>
    </w:p>
    <w:p w14:paraId="17268953" w14:textId="77777777" w:rsidR="006075EB" w:rsidRDefault="006075EB" w:rsidP="006075EB">
      <w:pPr>
        <w:tabs>
          <w:tab w:val="left" w:pos="0"/>
          <w:tab w:val="num" w:pos="720"/>
        </w:tabs>
        <w:spacing w:line="276" w:lineRule="auto"/>
        <w:jc w:val="both"/>
        <w:rPr>
          <w:i/>
        </w:rPr>
      </w:pPr>
      <w:r>
        <w:rPr>
          <w:i/>
        </w:rPr>
        <w:lastRenderedPageBreak/>
        <w:tab/>
      </w:r>
    </w:p>
    <w:p w14:paraId="4D5CB3A8" w14:textId="782BAFB5" w:rsidR="00A72E56" w:rsidRPr="005768C8" w:rsidRDefault="006075EB" w:rsidP="006075EB">
      <w:pPr>
        <w:tabs>
          <w:tab w:val="left" w:pos="0"/>
          <w:tab w:val="num" w:pos="720"/>
        </w:tabs>
        <w:spacing w:line="276" w:lineRule="auto"/>
        <w:jc w:val="both"/>
        <w:rPr>
          <w:i/>
          <w:lang w:bidi="bg-BG"/>
        </w:rPr>
      </w:pPr>
      <w:r>
        <w:rPr>
          <w:i/>
        </w:rPr>
        <w:tab/>
      </w:r>
      <w:r w:rsidR="00A72E56" w:rsidRPr="005768C8">
        <w:rPr>
          <w:i/>
        </w:rPr>
        <w:t>Оперативна цел</w:t>
      </w:r>
      <w:r w:rsidR="00A72E56" w:rsidRPr="005768C8">
        <w:rPr>
          <w:i/>
          <w:lang w:bidi="bg-BG"/>
        </w:rPr>
        <w:t xml:space="preserve"> 9.3.</w:t>
      </w:r>
      <w:r w:rsidR="00A72E56" w:rsidRPr="005768C8">
        <w:t xml:space="preserve"> </w:t>
      </w:r>
      <w:r w:rsidR="00A72E56" w:rsidRPr="005768C8">
        <w:rPr>
          <w:i/>
          <w:lang w:bidi="bg-BG"/>
        </w:rPr>
        <w:t>Поддържане и развитие на ефективна интегрирана информационна система за покриване на задачите и целите на Комисията</w:t>
      </w:r>
    </w:p>
    <w:p w14:paraId="383C5B94" w14:textId="77777777" w:rsidR="009062CB" w:rsidRDefault="005768C8" w:rsidP="006075EB">
      <w:pPr>
        <w:tabs>
          <w:tab w:val="left" w:pos="0"/>
          <w:tab w:val="num" w:pos="720"/>
        </w:tabs>
        <w:spacing w:line="276" w:lineRule="auto"/>
        <w:jc w:val="both"/>
        <w:rPr>
          <w:lang w:bidi="bg-BG"/>
        </w:rPr>
      </w:pPr>
      <w:r w:rsidRPr="005768C8">
        <w:tab/>
        <w:t>Комисията продължи да развива своята интегрирана информационна система, която служи като основен инструмент за изпълнение на надзорните, регулаторните и аналитичните функции. Системата се адаптира спрямо нуждите на институцията и се надгражда с цел осигуряване на надеждност, оперативна съвместимост и висока степен на автоматизация.</w:t>
      </w:r>
      <w:r w:rsidR="007D22B4" w:rsidRPr="00A526E7">
        <w:rPr>
          <w:lang w:bidi="bg-BG"/>
        </w:rPr>
        <w:tab/>
      </w:r>
    </w:p>
    <w:p w14:paraId="050B3DAE" w14:textId="77777777" w:rsidR="006075EB" w:rsidRDefault="009062CB" w:rsidP="006075EB">
      <w:pPr>
        <w:tabs>
          <w:tab w:val="left" w:pos="0"/>
          <w:tab w:val="num" w:pos="720"/>
        </w:tabs>
        <w:spacing w:line="276" w:lineRule="auto"/>
        <w:jc w:val="both"/>
        <w:rPr>
          <w:lang w:bidi="bg-BG"/>
        </w:rPr>
      </w:pPr>
      <w:r w:rsidRPr="009062CB">
        <w:rPr>
          <w:lang w:bidi="bg-BG"/>
        </w:rPr>
        <w:tab/>
      </w:r>
    </w:p>
    <w:p w14:paraId="39D168FB" w14:textId="00E45D48" w:rsidR="007D22B4" w:rsidRPr="009062CB" w:rsidRDefault="00A3748A" w:rsidP="006075EB">
      <w:pPr>
        <w:tabs>
          <w:tab w:val="left" w:pos="0"/>
          <w:tab w:val="num" w:pos="720"/>
        </w:tabs>
        <w:spacing w:line="276" w:lineRule="auto"/>
        <w:jc w:val="both"/>
        <w:rPr>
          <w:b/>
          <w:u w:val="single"/>
          <w:lang w:bidi="bg-BG"/>
        </w:rPr>
      </w:pPr>
      <w:r>
        <w:rPr>
          <w:lang w:bidi="bg-BG"/>
        </w:rPr>
        <w:tab/>
      </w:r>
      <w:r w:rsidR="007D22B4" w:rsidRPr="009062CB">
        <w:rPr>
          <w:lang w:bidi="bg-BG"/>
        </w:rPr>
        <w:t xml:space="preserve">За реализацията на </w:t>
      </w:r>
      <w:r w:rsidR="007D22B4" w:rsidRPr="009062CB">
        <w:rPr>
          <w:b/>
          <w:lang w:bidi="bg-BG"/>
        </w:rPr>
        <w:t>Приоритет</w:t>
      </w:r>
      <w:r w:rsidR="007D22B4" w:rsidRPr="009062CB">
        <w:rPr>
          <w:lang w:bidi="bg-BG"/>
        </w:rPr>
        <w:t xml:space="preserve"> </w:t>
      </w:r>
      <w:r w:rsidR="007D22B4" w:rsidRPr="009062CB">
        <w:rPr>
          <w:b/>
          <w:lang w:bidi="bg-BG"/>
        </w:rPr>
        <w:t>10. Поддържане на ефективно и ползотворно международно сътрудничество</w:t>
      </w:r>
      <w:r w:rsidR="007D22B4" w:rsidRPr="009062CB">
        <w:rPr>
          <w:lang w:bidi="bg-BG"/>
        </w:rPr>
        <w:t xml:space="preserve"> </w:t>
      </w:r>
      <w:r w:rsidR="007D22B4" w:rsidRPr="009062CB">
        <w:t>Комисията залага следните оперативни цели:</w:t>
      </w:r>
    </w:p>
    <w:p w14:paraId="5AA8FAC1" w14:textId="2DBBAAA3" w:rsidR="009062CB" w:rsidRPr="00F80409" w:rsidRDefault="007D22B4" w:rsidP="006075EB">
      <w:pPr>
        <w:tabs>
          <w:tab w:val="left" w:pos="0"/>
          <w:tab w:val="num" w:pos="720"/>
        </w:tabs>
        <w:spacing w:line="276" w:lineRule="auto"/>
        <w:jc w:val="both"/>
        <w:rPr>
          <w:lang w:bidi="bg-BG"/>
        </w:rPr>
      </w:pPr>
      <w:r w:rsidRPr="009062CB">
        <w:rPr>
          <w:i/>
          <w:lang w:bidi="bg-BG"/>
        </w:rPr>
        <w:tab/>
      </w:r>
      <w:r w:rsidRPr="009062CB">
        <w:rPr>
          <w:i/>
        </w:rPr>
        <w:t>Оперативна цел</w:t>
      </w:r>
      <w:r w:rsidRPr="009062CB">
        <w:rPr>
          <w:i/>
          <w:lang w:bidi="bg-BG"/>
        </w:rPr>
        <w:t xml:space="preserve"> 10.1.</w:t>
      </w:r>
      <w:r w:rsidR="00A3748A">
        <w:rPr>
          <w:i/>
          <w:lang w:bidi="bg-BG"/>
        </w:rPr>
        <w:t xml:space="preserve"> </w:t>
      </w:r>
      <w:r w:rsidR="00A72E56" w:rsidRPr="009062CB">
        <w:rPr>
          <w:i/>
          <w:lang w:bidi="bg-BG"/>
        </w:rPr>
        <w:t xml:space="preserve">Активно участие в дейността на европейските институции и органи, свързана с небанковия финансов сектор, и сътрудничество с националните </w:t>
      </w:r>
      <w:r w:rsidR="00A72E56" w:rsidRPr="00F80409">
        <w:rPr>
          <w:i/>
          <w:lang w:bidi="bg-BG"/>
        </w:rPr>
        <w:t>компетентни органи на държавите членки на ЕС</w:t>
      </w:r>
      <w:r w:rsidR="008D747C" w:rsidRPr="00F80409">
        <w:rPr>
          <w:lang w:bidi="bg-BG"/>
        </w:rPr>
        <w:tab/>
      </w:r>
    </w:p>
    <w:p w14:paraId="41285C88" w14:textId="59C6DFBF" w:rsidR="00A01CB8" w:rsidRPr="00F80409" w:rsidRDefault="009062CB" w:rsidP="00A01CB8">
      <w:pPr>
        <w:spacing w:line="276" w:lineRule="auto"/>
        <w:jc w:val="both"/>
        <w:rPr>
          <w:rFonts w:eastAsia="Calibri"/>
          <w:lang w:eastAsia="en-US"/>
        </w:rPr>
      </w:pPr>
      <w:r w:rsidRPr="00F80409">
        <w:rPr>
          <w:lang w:bidi="bg-BG"/>
        </w:rPr>
        <w:tab/>
      </w:r>
      <w:r w:rsidR="00A01CB8" w:rsidRPr="00F80409">
        <w:rPr>
          <w:rFonts w:eastAsia="Calibri"/>
          <w:lang w:eastAsia="en-US"/>
        </w:rPr>
        <w:t xml:space="preserve">През отчетния период КФН съсредоточи работата си в сътрудничество с държавите членки на ЕС, както и с европейските и международните организации, </w:t>
      </w:r>
      <w:r w:rsidR="001257D8">
        <w:rPr>
          <w:rFonts w:eastAsia="Calibri"/>
          <w:lang w:eastAsia="en-US"/>
        </w:rPr>
        <w:t>като</w:t>
      </w:r>
      <w:r w:rsidR="00A01CB8" w:rsidRPr="00F80409">
        <w:rPr>
          <w:rFonts w:eastAsia="Calibri"/>
          <w:lang w:eastAsia="en-US"/>
        </w:rPr>
        <w:t xml:space="preserve"> по линия на форума на държавите в Централна, Източна и Югоизточна Европа (CESEE) се осъществява сътрудничество и с надзорни органи на държави, които са кандидати за членство в ЕС.</w:t>
      </w:r>
    </w:p>
    <w:p w14:paraId="44729CC1" w14:textId="113408CD" w:rsidR="00A01CB8" w:rsidRPr="00F80409" w:rsidRDefault="00A01CB8" w:rsidP="00A01CB8">
      <w:pPr>
        <w:spacing w:line="276" w:lineRule="auto"/>
        <w:jc w:val="both"/>
        <w:rPr>
          <w:rFonts w:eastAsia="Calibri"/>
          <w:lang w:eastAsia="en-US"/>
        </w:rPr>
      </w:pPr>
      <w:r w:rsidRPr="00F80409">
        <w:rPr>
          <w:rFonts w:eastAsia="Calibri"/>
          <w:lang w:eastAsia="en-US"/>
        </w:rPr>
        <w:tab/>
        <w:t>По отношение на комуникацията с ЕК беше проведена активна комуникация от страна на КФН, като през февруари 2025 г. се проведе среща между представители на КФН и на ЕК относно обсъждане на приоритетите на КФН за бъдещето на Съюза на капиталовите пазари.</w:t>
      </w:r>
    </w:p>
    <w:p w14:paraId="6DD277A5" w14:textId="7744ACB0" w:rsidR="00A01CB8" w:rsidRPr="00F80409" w:rsidRDefault="00A01CB8" w:rsidP="00A01CB8">
      <w:pPr>
        <w:spacing w:line="276" w:lineRule="auto"/>
        <w:ind w:firstLine="708"/>
        <w:jc w:val="both"/>
        <w:rPr>
          <w:rFonts w:eastAsia="Calibri"/>
          <w:lang w:eastAsia="en-US"/>
        </w:rPr>
      </w:pPr>
      <w:r w:rsidRPr="00F80409">
        <w:rPr>
          <w:rFonts w:eastAsia="Calibri"/>
          <w:lang w:eastAsia="en-US"/>
        </w:rPr>
        <w:t>Участие е взето</w:t>
      </w:r>
      <w:r w:rsidRPr="00F80409">
        <w:rPr>
          <w:rFonts w:eastAsiaTheme="minorHAnsi"/>
          <w:lang w:eastAsia="en-US"/>
        </w:rPr>
        <w:t xml:space="preserve"> във </w:t>
      </w:r>
      <w:r w:rsidRPr="00F80409">
        <w:rPr>
          <w:rFonts w:eastAsia="Calibri"/>
          <w:lang w:eastAsia="en-US"/>
        </w:rPr>
        <w:t xml:space="preserve">видеоконферентно заседание на експертната група за скъсяване на периода за сетълмент към ЕК през януари, в среща на експертната група на </w:t>
      </w:r>
      <w:r w:rsidR="00501DE1">
        <w:rPr>
          <w:rFonts w:eastAsia="Calibri"/>
          <w:lang w:eastAsia="en-US"/>
        </w:rPr>
        <w:t>ЕК</w:t>
      </w:r>
      <w:r w:rsidRPr="00F80409">
        <w:rPr>
          <w:rFonts w:eastAsia="Calibri"/>
          <w:lang w:eastAsia="en-US"/>
        </w:rPr>
        <w:t xml:space="preserve"> - EGESC meeting FISMA C4 - Boosting venture and growth capital financing in the EU през февруари 2025 и в среща на EGESC Meeting (online) към ЕК по  отношение на новата стратегия на ЕК през юни.</w:t>
      </w:r>
    </w:p>
    <w:p w14:paraId="3E44DB85" w14:textId="611627D3" w:rsidR="00A01CB8" w:rsidRPr="00F80409" w:rsidRDefault="00A01CB8" w:rsidP="00A01CB8">
      <w:pPr>
        <w:spacing w:line="276" w:lineRule="auto"/>
        <w:jc w:val="both"/>
        <w:rPr>
          <w:rFonts w:eastAsia="Calibri"/>
          <w:lang w:eastAsia="en-US"/>
        </w:rPr>
      </w:pPr>
      <w:r w:rsidRPr="00F80409">
        <w:rPr>
          <w:rFonts w:eastAsia="Calibri"/>
          <w:lang w:eastAsia="en-US"/>
        </w:rPr>
        <w:tab/>
        <w:t xml:space="preserve">Проведена е среща с представители на администрацията на ЕК по въпросите на гаранционните схеми в застраховането, взето е участие в конферентен разговор на Експертната група по банково дело, платежни системи и застраховане към ЕК във формат застраховане относно изменения в Делегирания регламент, произтичащи от Прегледа на директивата Платежоспособност II, както и в първи семинар по транспониране на </w:t>
      </w:r>
      <w:r w:rsidR="00501DE1" w:rsidRPr="00501DE1">
        <w:rPr>
          <w:rFonts w:eastAsia="Calibri"/>
          <w:lang w:eastAsia="en-US"/>
        </w:rPr>
        <w:t>Директива (ЕС) 2025/1 на Европейския парламент и на Съвета от 27 ноември 2024 година за създаване на рамка за възстановяване и преструктуриране на застрахователни и презастрахователни предприятия и за изменение на директиви 2002/47/ЕО, 2004/25/ЕО, 2007/36/ЕО, 2014/59/ЕС и (ЕС) 2017/1132 и на регламенти (ЕС) № 1094/2010, (ЕС) № 648/2012, (ЕС) № 806/2014 и (ЕС) 2017/1129</w:t>
      </w:r>
      <w:r w:rsidRPr="00F80409">
        <w:rPr>
          <w:rFonts w:eastAsia="Calibri"/>
          <w:lang w:eastAsia="en-US"/>
        </w:rPr>
        <w:t>.</w:t>
      </w:r>
    </w:p>
    <w:p w14:paraId="72A64A6A" w14:textId="77777777" w:rsidR="00A01CB8" w:rsidRPr="00F80409" w:rsidRDefault="00A01CB8" w:rsidP="00A01CB8">
      <w:pPr>
        <w:spacing w:line="276" w:lineRule="auto"/>
        <w:ind w:firstLine="708"/>
        <w:jc w:val="both"/>
        <w:rPr>
          <w:rFonts w:eastAsia="Calibri"/>
          <w:lang w:eastAsia="en-US"/>
        </w:rPr>
      </w:pPr>
      <w:r w:rsidRPr="00F80409">
        <w:rPr>
          <w:rFonts w:eastAsia="Calibri"/>
          <w:lang w:eastAsia="en-US"/>
        </w:rPr>
        <w:t xml:space="preserve">През отчетния период КФН изготви и предостави становища по Listing Act, Retail Investment Strategy, FIDA и </w:t>
      </w:r>
      <w:r w:rsidRPr="00F80409">
        <w:rPr>
          <w:rFonts w:eastAsiaTheme="minorHAnsi"/>
          <w:lang w:eastAsia="en-US"/>
        </w:rPr>
        <w:t>Omnibus IV (</w:t>
      </w:r>
      <w:r w:rsidRPr="00F80409">
        <w:rPr>
          <w:rFonts w:eastAsiaTheme="minorHAnsi"/>
          <w:lang w:val="en-US" w:eastAsia="en-US"/>
        </w:rPr>
        <w:t>Sustainability Omnibus)</w:t>
      </w:r>
      <w:r w:rsidRPr="00F80409">
        <w:rPr>
          <w:rFonts w:eastAsiaTheme="minorHAnsi"/>
          <w:lang w:eastAsia="en-US"/>
        </w:rPr>
        <w:t>.</w:t>
      </w:r>
    </w:p>
    <w:p w14:paraId="7081C130" w14:textId="25BA97B7" w:rsidR="00A01CB8" w:rsidRPr="00F80409" w:rsidRDefault="00A01CB8" w:rsidP="00A01CB8">
      <w:pPr>
        <w:spacing w:line="276" w:lineRule="auto"/>
        <w:ind w:firstLine="708"/>
        <w:jc w:val="both"/>
        <w:rPr>
          <w:rFonts w:eastAsia="Calibri"/>
          <w:lang w:eastAsia="en-US"/>
        </w:rPr>
      </w:pPr>
      <w:r w:rsidRPr="00F80409">
        <w:rPr>
          <w:rFonts w:eastAsia="Calibri"/>
          <w:lang w:eastAsia="en-US"/>
        </w:rPr>
        <w:t xml:space="preserve">През 2025 г. КФН продължава да е бенефициент по три проекта, финансирани от службата за техническа подкрепа към </w:t>
      </w:r>
      <w:r w:rsidR="009635E5" w:rsidRPr="00F80409">
        <w:rPr>
          <w:rFonts w:eastAsia="Calibri"/>
          <w:lang w:eastAsia="en-US"/>
        </w:rPr>
        <w:t>ЕК</w:t>
      </w:r>
      <w:r w:rsidRPr="00F80409">
        <w:rPr>
          <w:rFonts w:eastAsia="Calibri"/>
          <w:lang w:eastAsia="en-US"/>
        </w:rPr>
        <w:t xml:space="preserve">: </w:t>
      </w:r>
    </w:p>
    <w:p w14:paraId="3CDD31DE" w14:textId="77777777" w:rsidR="00A01CB8" w:rsidRPr="00F80409" w:rsidRDefault="00A01CB8" w:rsidP="00A01CB8">
      <w:pPr>
        <w:spacing w:line="276" w:lineRule="auto"/>
        <w:jc w:val="both"/>
        <w:rPr>
          <w:rFonts w:eastAsia="Calibri"/>
          <w:lang w:eastAsia="en-US"/>
        </w:rPr>
      </w:pPr>
      <w:r w:rsidRPr="00F80409">
        <w:rPr>
          <w:rFonts w:eastAsia="Calibri"/>
          <w:lang w:eastAsia="en-US"/>
        </w:rPr>
        <w:lastRenderedPageBreak/>
        <w:t>•</w:t>
      </w:r>
      <w:r w:rsidRPr="00F80409">
        <w:rPr>
          <w:rFonts w:eastAsia="Calibri"/>
          <w:lang w:eastAsia="en-US"/>
        </w:rPr>
        <w:tab/>
        <w:t>Проект „ESG Risk Management“;</w:t>
      </w:r>
    </w:p>
    <w:p w14:paraId="0CCEECFD" w14:textId="77777777" w:rsidR="00A01CB8" w:rsidRPr="00F80409" w:rsidRDefault="00A01CB8" w:rsidP="00A01CB8">
      <w:pPr>
        <w:spacing w:line="276" w:lineRule="auto"/>
        <w:jc w:val="both"/>
        <w:rPr>
          <w:rFonts w:eastAsia="Calibri"/>
          <w:lang w:eastAsia="en-US"/>
        </w:rPr>
      </w:pPr>
      <w:r w:rsidRPr="00F80409">
        <w:rPr>
          <w:rFonts w:eastAsia="Calibri"/>
          <w:lang w:eastAsia="en-US"/>
        </w:rPr>
        <w:t>•</w:t>
      </w:r>
      <w:r w:rsidRPr="00F80409">
        <w:rPr>
          <w:rFonts w:eastAsia="Calibri"/>
          <w:lang w:eastAsia="en-US"/>
        </w:rPr>
        <w:tab/>
        <w:t>Проект „Европейска надзорна финансова дигитална академия“;</w:t>
      </w:r>
    </w:p>
    <w:p w14:paraId="7966697E" w14:textId="77777777" w:rsidR="00A01CB8" w:rsidRPr="00F80409" w:rsidRDefault="00A01CB8" w:rsidP="00A01CB8">
      <w:pPr>
        <w:spacing w:line="276" w:lineRule="auto"/>
        <w:jc w:val="both"/>
        <w:rPr>
          <w:rFonts w:eastAsia="Calibri"/>
          <w:lang w:eastAsia="en-US"/>
        </w:rPr>
      </w:pPr>
      <w:r w:rsidRPr="00F80409">
        <w:rPr>
          <w:rFonts w:eastAsia="Calibri"/>
          <w:lang w:eastAsia="en-US"/>
        </w:rPr>
        <w:t>•</w:t>
      </w:r>
      <w:r w:rsidRPr="00F80409">
        <w:rPr>
          <w:rFonts w:eastAsia="Calibri"/>
          <w:lang w:eastAsia="en-US"/>
        </w:rPr>
        <w:tab/>
        <w:t>Проект за изграждане на модел на изкуствен интелект за пазарни злоупотреби.</w:t>
      </w:r>
    </w:p>
    <w:p w14:paraId="68EA00D4" w14:textId="77777777" w:rsidR="00A01CB8" w:rsidRPr="00F80409" w:rsidRDefault="00A01CB8" w:rsidP="00A01CB8">
      <w:pPr>
        <w:spacing w:line="276" w:lineRule="auto"/>
        <w:jc w:val="both"/>
        <w:rPr>
          <w:rFonts w:eastAsia="Calibri"/>
          <w:lang w:eastAsia="en-US"/>
        </w:rPr>
      </w:pPr>
      <w:r w:rsidRPr="00F80409">
        <w:rPr>
          <w:rFonts w:eastAsia="Calibri"/>
          <w:lang w:eastAsia="en-US"/>
        </w:rPr>
        <w:tab/>
        <w:t>Проектът „Европейска надзорна финансова дигитална академия“ цели да подкрепи надзорните органи със справянето с риска и възможностите, предлагани от иновативните технологии във финансовия сектор, чрез провеждане на многобройни обучения за служителите им, като участници в събитията са и представители на европейските надзорни органи. До момента са засегнати теми, свързани с развиващата се дигитализация на финансовия сектор като Cyber Risk, SupTech, Big Data, AML, Blockchain, както и новата регулаторна европейска рамка – DLT, MiCA, DORA, AI Act.</w:t>
      </w:r>
    </w:p>
    <w:p w14:paraId="742EC12B" w14:textId="77777777" w:rsidR="00A01CB8" w:rsidRPr="00F80409" w:rsidRDefault="00A01CB8" w:rsidP="00A01CB8">
      <w:pPr>
        <w:spacing w:line="276" w:lineRule="auto"/>
        <w:jc w:val="both"/>
        <w:rPr>
          <w:rFonts w:eastAsia="Calibri"/>
          <w:lang w:eastAsia="en-US"/>
        </w:rPr>
      </w:pPr>
      <w:r w:rsidRPr="00F80409">
        <w:rPr>
          <w:rFonts w:eastAsia="Calibri"/>
          <w:lang w:eastAsia="en-US"/>
        </w:rPr>
        <w:tab/>
        <w:t>И по трите проекта представители от страна на КФН участваха в редица онлайн срещи и заседания и семинари на място, като през целия период бяха предоставяни становища и бележки по документи, свързани с проектите.</w:t>
      </w:r>
    </w:p>
    <w:p w14:paraId="2A740996" w14:textId="0051AB48" w:rsidR="00257FDE" w:rsidRDefault="00A01CB8" w:rsidP="00A01CB8">
      <w:pPr>
        <w:spacing w:line="276" w:lineRule="auto"/>
        <w:ind w:firstLine="708"/>
        <w:jc w:val="both"/>
        <w:rPr>
          <w:rFonts w:eastAsiaTheme="minorHAnsi"/>
          <w:bCs/>
          <w:lang w:eastAsia="en-US"/>
        </w:rPr>
      </w:pPr>
      <w:r w:rsidRPr="00F80409">
        <w:rPr>
          <w:rFonts w:eastAsia="Calibri"/>
          <w:iCs/>
          <w:lang w:eastAsia="en-US"/>
        </w:rPr>
        <w:t>През отчетния период се проведе и активно взаимодействие с Европейските надзорни органи</w:t>
      </w:r>
      <w:r w:rsidRPr="00F80409">
        <w:rPr>
          <w:rFonts w:eastAsia="Calibri"/>
          <w:i/>
          <w:iCs/>
          <w:lang w:eastAsia="en-US"/>
        </w:rPr>
        <w:t xml:space="preserve">. </w:t>
      </w:r>
      <w:r w:rsidRPr="00F80409">
        <w:rPr>
          <w:rFonts w:eastAsiaTheme="minorHAnsi"/>
          <w:bCs/>
          <w:lang w:eastAsia="en-US"/>
        </w:rPr>
        <w:t xml:space="preserve">През отчетния период участие е взето в 83 срещи на </w:t>
      </w:r>
      <w:r w:rsidR="00F87759">
        <w:rPr>
          <w:rFonts w:eastAsiaTheme="minorHAnsi"/>
          <w:bCs/>
          <w:lang w:eastAsia="en-US"/>
        </w:rPr>
        <w:t>ЕОЦКП</w:t>
      </w:r>
      <w:r w:rsidRPr="00F80409">
        <w:rPr>
          <w:rFonts w:eastAsiaTheme="minorHAnsi"/>
          <w:bCs/>
          <w:lang w:eastAsia="en-US"/>
        </w:rPr>
        <w:t xml:space="preserve"> и в </w:t>
      </w:r>
      <w:r w:rsidR="000401DC">
        <w:rPr>
          <w:rFonts w:eastAsiaTheme="minorHAnsi"/>
          <w:bCs/>
          <w:lang w:val="en-US" w:eastAsia="en-US"/>
        </w:rPr>
        <w:t>53</w:t>
      </w:r>
      <w:r w:rsidRPr="00F80409">
        <w:rPr>
          <w:rFonts w:eastAsiaTheme="minorHAnsi"/>
          <w:bCs/>
          <w:lang w:eastAsia="en-US"/>
        </w:rPr>
        <w:t xml:space="preserve"> срещи на </w:t>
      </w:r>
      <w:r w:rsidR="00F87759">
        <w:rPr>
          <w:rFonts w:eastAsiaTheme="minorHAnsi"/>
          <w:bCs/>
          <w:lang w:eastAsia="en-US"/>
        </w:rPr>
        <w:t>ЕОЗППО</w:t>
      </w:r>
      <w:r w:rsidRPr="00F80409">
        <w:rPr>
          <w:rFonts w:eastAsiaTheme="minorHAnsi"/>
          <w:bCs/>
          <w:lang w:eastAsia="en-US"/>
        </w:rPr>
        <w:t xml:space="preserve">. </w:t>
      </w:r>
    </w:p>
    <w:p w14:paraId="2039EABF" w14:textId="5EF9A677" w:rsidR="00A01CB8" w:rsidRPr="00F80409" w:rsidRDefault="00A01CB8" w:rsidP="00A01CB8">
      <w:pPr>
        <w:spacing w:line="276" w:lineRule="auto"/>
        <w:ind w:firstLine="708"/>
        <w:jc w:val="both"/>
        <w:rPr>
          <w:rFonts w:eastAsiaTheme="minorHAnsi"/>
          <w:bCs/>
          <w:lang w:eastAsia="en-US"/>
        </w:rPr>
      </w:pPr>
      <w:r w:rsidRPr="00F80409">
        <w:rPr>
          <w:rFonts w:eastAsiaTheme="minorHAnsi"/>
          <w:bCs/>
          <w:lang w:eastAsia="en-US"/>
        </w:rPr>
        <w:t>През отчетния период са изготвени приблизително 450 позиции и становища, като в това число се включва позиции за заседанията на най-високо ниво в европейските надзорни органи, а също така и документи, подготвени преди срещи на работни групи и допълнителни запитвания. В посоченото число попадат и становища по писмени процедури за коментари и гласуване от страна на представителите в Съветите на надзорниците, като има и такива, по които не е изпращан изричен отговор, тъй като се е прилагало мълчаливото съгласие.</w:t>
      </w:r>
    </w:p>
    <w:p w14:paraId="68EF6B7D" w14:textId="77777777" w:rsidR="00A01CB8" w:rsidRPr="00F80409" w:rsidRDefault="00A01CB8" w:rsidP="00A01CB8">
      <w:pPr>
        <w:spacing w:line="276" w:lineRule="auto"/>
        <w:ind w:firstLine="708"/>
        <w:jc w:val="both"/>
        <w:rPr>
          <w:rFonts w:eastAsiaTheme="minorHAnsi"/>
          <w:bCs/>
          <w:lang w:eastAsia="en-US"/>
        </w:rPr>
      </w:pPr>
      <w:r w:rsidRPr="00F80409">
        <w:rPr>
          <w:rFonts w:eastAsiaTheme="minorHAnsi"/>
          <w:bCs/>
          <w:lang w:eastAsia="en-US"/>
        </w:rPr>
        <w:t>Предприети са дейности по последващи действия по партньорски проверки, като по две от тях е отчетено пълно изпълнение.</w:t>
      </w:r>
    </w:p>
    <w:p w14:paraId="43FB8CE7" w14:textId="6B6E4BE2" w:rsidR="00A01CB8" w:rsidRPr="00F80409" w:rsidRDefault="00A01CB8" w:rsidP="00A01CB8">
      <w:pPr>
        <w:spacing w:line="276" w:lineRule="auto"/>
        <w:ind w:firstLine="708"/>
        <w:jc w:val="both"/>
        <w:rPr>
          <w:rFonts w:eastAsia="Calibri"/>
          <w:iCs/>
          <w:lang w:eastAsia="en-US"/>
        </w:rPr>
      </w:pPr>
      <w:r w:rsidRPr="00F80409">
        <w:rPr>
          <w:rFonts w:eastAsia="Calibri"/>
          <w:iCs/>
          <w:lang w:eastAsia="en-US"/>
        </w:rPr>
        <w:t xml:space="preserve">През първото шестмесечие </w:t>
      </w:r>
      <w:r w:rsidR="00086AE8">
        <w:rPr>
          <w:rFonts w:eastAsia="Calibri"/>
          <w:iCs/>
          <w:lang w:eastAsia="en-US"/>
        </w:rPr>
        <w:t>не</w:t>
      </w:r>
      <w:r w:rsidR="00086AE8" w:rsidRPr="00F80409">
        <w:rPr>
          <w:rFonts w:eastAsia="Calibri"/>
          <w:iCs/>
          <w:lang w:eastAsia="en-US"/>
        </w:rPr>
        <w:t xml:space="preserve"> </w:t>
      </w:r>
      <w:r w:rsidRPr="00F80409">
        <w:rPr>
          <w:rFonts w:eastAsia="Calibri"/>
          <w:iCs/>
          <w:lang w:eastAsia="en-US"/>
        </w:rPr>
        <w:t>с</w:t>
      </w:r>
      <w:r w:rsidR="00086AE8">
        <w:rPr>
          <w:rFonts w:eastAsia="Calibri"/>
          <w:iCs/>
          <w:lang w:eastAsia="en-US"/>
        </w:rPr>
        <w:t>а</w:t>
      </w:r>
      <w:r w:rsidRPr="00F80409">
        <w:rPr>
          <w:rFonts w:eastAsia="Calibri"/>
          <w:iCs/>
          <w:lang w:eastAsia="en-US"/>
        </w:rPr>
        <w:t xml:space="preserve"> извършва</w:t>
      </w:r>
      <w:r w:rsidR="00086AE8">
        <w:rPr>
          <w:rFonts w:eastAsia="Calibri"/>
          <w:iCs/>
          <w:lang w:eastAsia="en-US"/>
        </w:rPr>
        <w:t>ни</w:t>
      </w:r>
      <w:r w:rsidRPr="00F80409">
        <w:rPr>
          <w:rFonts w:eastAsia="Calibri"/>
          <w:iCs/>
          <w:lang w:eastAsia="en-US"/>
        </w:rPr>
        <w:t xml:space="preserve"> дейности по две общи надзорни действия </w:t>
      </w:r>
      <w:r w:rsidRPr="00F80409">
        <w:rPr>
          <w:rFonts w:eastAsiaTheme="minorHAnsi"/>
          <w:bCs/>
          <w:lang w:eastAsia="en-US"/>
        </w:rPr>
        <w:t xml:space="preserve">на </w:t>
      </w:r>
      <w:r w:rsidR="00F87759">
        <w:rPr>
          <w:rFonts w:eastAsiaTheme="minorHAnsi"/>
          <w:bCs/>
          <w:lang w:eastAsia="en-US"/>
        </w:rPr>
        <w:t>ЕОЦКП</w:t>
      </w:r>
      <w:r w:rsidRPr="00F80409">
        <w:rPr>
          <w:rFonts w:eastAsia="Calibri"/>
          <w:iCs/>
          <w:lang w:eastAsia="en-US"/>
        </w:rPr>
        <w:t>, а именно - Общо надзорно действие относно функциите по осигуряване на съответствие и вътрешен одит на управляващите дружества и лицензираните лица, управляващи алтернативни инвестиционни фондове, и Общо надзорно действие относно интегрирането на устойчивостта в оценката на пригодността на инвестиционните посредници.</w:t>
      </w:r>
    </w:p>
    <w:p w14:paraId="24594260" w14:textId="779B637C" w:rsidR="00A01CB8" w:rsidRPr="00F80409" w:rsidRDefault="00A01CB8" w:rsidP="00A01CB8">
      <w:pPr>
        <w:spacing w:line="276" w:lineRule="auto"/>
        <w:ind w:firstLine="708"/>
        <w:jc w:val="both"/>
        <w:rPr>
          <w:rFonts w:eastAsia="Calibri"/>
          <w:iCs/>
          <w:lang w:eastAsia="en-US"/>
        </w:rPr>
      </w:pPr>
      <w:r w:rsidRPr="00F80409">
        <w:rPr>
          <w:rFonts w:eastAsia="Calibri"/>
          <w:iCs/>
          <w:lang w:eastAsia="en-US"/>
        </w:rPr>
        <w:t xml:space="preserve">Броят на изготвените отговори на искания за информация, попълнените въпросници, предоставените анализи и статистически данни през последните години расте отново във връзка с предизвикателствата, пред които се изправи светът. Както и през предишните периоди, голям процент от изискваната информация се отнася до защитата на потребителите на небанковите финансови услуги. Отговори на запитвания са изпращани както на </w:t>
      </w:r>
      <w:r w:rsidR="00F87759">
        <w:rPr>
          <w:rFonts w:eastAsia="Calibri"/>
          <w:iCs/>
          <w:lang w:eastAsia="en-US"/>
        </w:rPr>
        <w:t>ЕОЦКП</w:t>
      </w:r>
      <w:r w:rsidR="00F87759" w:rsidRPr="00F80409">
        <w:rPr>
          <w:rFonts w:eastAsia="Calibri"/>
          <w:iCs/>
          <w:lang w:eastAsia="en-US"/>
        </w:rPr>
        <w:t xml:space="preserve"> </w:t>
      </w:r>
      <w:r w:rsidRPr="00F80409">
        <w:rPr>
          <w:rFonts w:eastAsia="Calibri"/>
          <w:iCs/>
          <w:lang w:eastAsia="en-US"/>
        </w:rPr>
        <w:t xml:space="preserve">и на </w:t>
      </w:r>
      <w:r w:rsidR="00F87759">
        <w:rPr>
          <w:rFonts w:eastAsia="Calibri"/>
          <w:iCs/>
          <w:lang w:eastAsia="en-US"/>
        </w:rPr>
        <w:t>ЕОЗППО</w:t>
      </w:r>
      <w:r w:rsidRPr="00F80409">
        <w:rPr>
          <w:rFonts w:eastAsia="Calibri"/>
          <w:iCs/>
          <w:lang w:eastAsia="en-US"/>
        </w:rPr>
        <w:t>, така и на национални компетентни органи. Разглеждани са и насоки, издадени  от Европейските надзорни органи.</w:t>
      </w:r>
    </w:p>
    <w:p w14:paraId="0F542928" w14:textId="443D143A" w:rsidR="00A01CB8" w:rsidRPr="00F80409" w:rsidRDefault="00A01CB8" w:rsidP="00A01CB8">
      <w:pPr>
        <w:spacing w:after="160" w:line="259" w:lineRule="auto"/>
        <w:ind w:firstLine="708"/>
        <w:contextualSpacing/>
        <w:jc w:val="both"/>
        <w:rPr>
          <w:rFonts w:eastAsiaTheme="minorHAnsi"/>
          <w:lang w:eastAsia="en-US"/>
        </w:rPr>
      </w:pPr>
      <w:r w:rsidRPr="00F80409">
        <w:rPr>
          <w:rFonts w:eastAsiaTheme="minorHAnsi"/>
          <w:bCs/>
          <w:lang w:eastAsia="en-US"/>
        </w:rPr>
        <w:t xml:space="preserve">На 15 май 2025 г. стартира системата за Fit&amp;Proper на Европейските надзорни органи – КФН е изпълнила всички свои ангажименти по </w:t>
      </w:r>
      <w:r w:rsidR="00927B56">
        <w:rPr>
          <w:rFonts w:eastAsiaTheme="minorHAnsi"/>
          <w:bCs/>
          <w:lang w:eastAsia="en-US"/>
        </w:rPr>
        <w:t>предоставяне</w:t>
      </w:r>
      <w:r w:rsidRPr="00F80409">
        <w:rPr>
          <w:rFonts w:eastAsiaTheme="minorHAnsi"/>
          <w:bCs/>
          <w:lang w:eastAsia="en-US"/>
        </w:rPr>
        <w:t xml:space="preserve"> на данни за физически лица.</w:t>
      </w:r>
    </w:p>
    <w:p w14:paraId="59B60D44" w14:textId="704FD196" w:rsidR="008D747C" w:rsidRPr="00F80409" w:rsidRDefault="008D747C" w:rsidP="006075EB">
      <w:pPr>
        <w:tabs>
          <w:tab w:val="left" w:pos="0"/>
          <w:tab w:val="num" w:pos="720"/>
        </w:tabs>
        <w:spacing w:line="276" w:lineRule="auto"/>
        <w:jc w:val="both"/>
        <w:rPr>
          <w:i/>
          <w:lang w:bidi="bg-BG"/>
        </w:rPr>
      </w:pPr>
    </w:p>
    <w:p w14:paraId="3827D2D4" w14:textId="5A04FCAC" w:rsidR="007D22B4" w:rsidRPr="00F80409" w:rsidRDefault="007D22B4" w:rsidP="006075EB">
      <w:pPr>
        <w:tabs>
          <w:tab w:val="left" w:pos="0"/>
          <w:tab w:val="num" w:pos="720"/>
        </w:tabs>
        <w:spacing w:line="276" w:lineRule="auto"/>
        <w:jc w:val="both"/>
        <w:rPr>
          <w:i/>
          <w:lang w:bidi="bg-BG"/>
        </w:rPr>
      </w:pPr>
      <w:r w:rsidRPr="00F80409">
        <w:rPr>
          <w:i/>
          <w:lang w:bidi="bg-BG"/>
        </w:rPr>
        <w:lastRenderedPageBreak/>
        <w:tab/>
      </w:r>
      <w:r w:rsidRPr="00F80409">
        <w:rPr>
          <w:i/>
        </w:rPr>
        <w:t>Оперативна цел</w:t>
      </w:r>
      <w:r w:rsidRPr="00F80409">
        <w:rPr>
          <w:i/>
          <w:lang w:bidi="bg-BG"/>
        </w:rPr>
        <w:t xml:space="preserve"> 10.2. </w:t>
      </w:r>
      <w:r w:rsidR="00A72E56" w:rsidRPr="00F80409">
        <w:rPr>
          <w:i/>
          <w:lang w:bidi="bg-BG"/>
        </w:rPr>
        <w:t>Тясно сътрудничество с надзорните органи на държавите кандидати за членство в Европейския съюз</w:t>
      </w:r>
    </w:p>
    <w:p w14:paraId="2BC0FF87" w14:textId="63DA9AB6" w:rsidR="004503EB" w:rsidRPr="004503EB" w:rsidRDefault="007D22B4" w:rsidP="00F80409">
      <w:pPr>
        <w:spacing w:before="100" w:beforeAutospacing="1" w:after="100" w:afterAutospacing="1" w:line="300" w:lineRule="atLeast"/>
        <w:jc w:val="both"/>
        <w:rPr>
          <w:rFonts w:eastAsia="Calibri"/>
        </w:rPr>
      </w:pPr>
      <w:r w:rsidRPr="00F80409">
        <w:rPr>
          <w:lang w:bidi="bg-BG"/>
        </w:rPr>
        <w:tab/>
      </w:r>
      <w:r w:rsidR="004503EB" w:rsidRPr="00F80409">
        <w:rPr>
          <w:rFonts w:eastAsia="Calibri"/>
        </w:rPr>
        <w:t>Комисията продължи да развива партньорски отношения с надзорните органи на държавите кандидати за членство в Европейския съюз, като предоставя експертна подкрепа и обменя добри практики в областта на регулирането и надзора на небанковия финансов сектор. Целта е да се подпомогне процесът на хармонизация с европейските стандарти и да се улесни институционалната подготовка за бъдещо членство. Проведен е значителен обем от кореспонденция, както и обмен на информация.</w:t>
      </w:r>
    </w:p>
    <w:p w14:paraId="18FDA8F5" w14:textId="6A647A9E" w:rsidR="00A72E56" w:rsidRPr="00C020FF" w:rsidRDefault="009062CB" w:rsidP="004503EB">
      <w:pPr>
        <w:pStyle w:val="NormalWeb"/>
        <w:spacing w:line="276" w:lineRule="auto"/>
        <w:jc w:val="both"/>
        <w:rPr>
          <w:i/>
          <w:color w:val="auto"/>
        </w:rPr>
      </w:pPr>
      <w:r w:rsidRPr="009062CB">
        <w:rPr>
          <w:i/>
        </w:rPr>
        <w:tab/>
      </w:r>
      <w:r w:rsidR="00A72E56" w:rsidRPr="00C020FF">
        <w:rPr>
          <w:i/>
          <w:color w:val="auto"/>
        </w:rPr>
        <w:t>Оперативна цел</w:t>
      </w:r>
      <w:r w:rsidR="00A72E56" w:rsidRPr="00C020FF">
        <w:rPr>
          <w:i/>
          <w:color w:val="auto"/>
          <w:lang w:bidi="bg-BG"/>
        </w:rPr>
        <w:t xml:space="preserve"> 10.3. </w:t>
      </w:r>
      <w:r w:rsidR="00A72E56" w:rsidRPr="00C020FF">
        <w:rPr>
          <w:i/>
          <w:color w:val="auto"/>
        </w:rPr>
        <w:t>Задълбочаване на дейностите по международно сътрудничество и обмен на информация с трети страни и изпълняване на задълженията към международни организации</w:t>
      </w:r>
    </w:p>
    <w:p w14:paraId="2F8C3596" w14:textId="4A4F7065" w:rsidR="00B51689" w:rsidRPr="00F80409" w:rsidRDefault="00B51689" w:rsidP="00F80409">
      <w:pPr>
        <w:pStyle w:val="NormalWeb"/>
        <w:spacing w:before="0" w:beforeAutospacing="0" w:after="0" w:afterAutospacing="0" w:line="276" w:lineRule="auto"/>
        <w:ind w:firstLine="708"/>
        <w:jc w:val="both"/>
        <w:rPr>
          <w:color w:val="auto"/>
        </w:rPr>
      </w:pPr>
      <w:r w:rsidRPr="00F80409">
        <w:rPr>
          <w:color w:val="auto"/>
        </w:rPr>
        <w:t>В рамките на отчетния период Комисията засили участието си в международни формати за сътрудничество, включително чрез активен обмен на информация с надзорни органи от трети страни, включително и на основание сключените с КФН меморандуми за сътрудничество.</w:t>
      </w:r>
    </w:p>
    <w:p w14:paraId="30F097CE" w14:textId="1708CAE5" w:rsidR="00B51689" w:rsidRPr="00F80409" w:rsidRDefault="00B51689" w:rsidP="00F80409">
      <w:pPr>
        <w:pStyle w:val="NormalWeb"/>
        <w:spacing w:before="0" w:beforeAutospacing="0" w:after="0" w:afterAutospacing="0" w:line="276" w:lineRule="auto"/>
        <w:ind w:firstLine="708"/>
        <w:jc w:val="both"/>
        <w:rPr>
          <w:color w:val="auto"/>
        </w:rPr>
      </w:pPr>
      <w:r w:rsidRPr="00F80409">
        <w:rPr>
          <w:color w:val="auto"/>
        </w:rPr>
        <w:t xml:space="preserve">Осъществява се изпълнение и на ангажиментите към международни организации, като се следи за съответствие с глобалните стандарти и се допринася за изграждането на устойчива и прозрачна международна регулаторна среда. </w:t>
      </w:r>
      <w:r w:rsidR="00F87759">
        <w:rPr>
          <w:color w:val="auto"/>
        </w:rPr>
        <w:t>Комисията</w:t>
      </w:r>
      <w:r w:rsidR="00F87759" w:rsidRPr="00F80409">
        <w:rPr>
          <w:color w:val="auto"/>
        </w:rPr>
        <w:t xml:space="preserve"> </w:t>
      </w:r>
      <w:r w:rsidRPr="00F80409">
        <w:rPr>
          <w:color w:val="auto"/>
        </w:rPr>
        <w:t xml:space="preserve">активно участва в инициативите на </w:t>
      </w:r>
      <w:r w:rsidR="001257D8" w:rsidRPr="00F2736B">
        <w:t>Международната асоциация на застрахователните надзори (IAIS)</w:t>
      </w:r>
      <w:r w:rsidRPr="00F80409">
        <w:rPr>
          <w:color w:val="auto"/>
        </w:rPr>
        <w:t xml:space="preserve">, </w:t>
      </w:r>
      <w:r w:rsidR="001257D8" w:rsidRPr="001257D8">
        <w:rPr>
          <w:color w:val="auto"/>
        </w:rPr>
        <w:t xml:space="preserve">Международната организация на комисиите по ценни книжа </w:t>
      </w:r>
      <w:r w:rsidR="001257D8">
        <w:rPr>
          <w:color w:val="auto"/>
        </w:rPr>
        <w:t>(</w:t>
      </w:r>
      <w:r w:rsidRPr="00F80409">
        <w:rPr>
          <w:color w:val="auto"/>
        </w:rPr>
        <w:t>IOSCO</w:t>
      </w:r>
      <w:r w:rsidR="001257D8">
        <w:rPr>
          <w:color w:val="auto"/>
        </w:rPr>
        <w:t>)</w:t>
      </w:r>
      <w:r w:rsidRPr="00F80409">
        <w:rPr>
          <w:color w:val="auto"/>
        </w:rPr>
        <w:t xml:space="preserve"> и </w:t>
      </w:r>
      <w:r w:rsidR="001257D8" w:rsidRPr="00F80409">
        <w:rPr>
          <w:color w:val="auto"/>
        </w:rPr>
        <w:t>Международната организация на пенсионните надзорни органи (IOPS)</w:t>
      </w:r>
      <w:r w:rsidRPr="00F80409">
        <w:rPr>
          <w:color w:val="auto"/>
        </w:rPr>
        <w:t xml:space="preserve">. През отчетния период КФН се включи в изготвянето на годишния доклад на IAIS за глобален мониторинг на застрахователния сектор през 2024 г. (IAIS 2025 GME SWM). През януари 2025 г. </w:t>
      </w:r>
      <w:r w:rsidR="002C1A36" w:rsidRPr="00F80409">
        <w:rPr>
          <w:color w:val="auto"/>
        </w:rPr>
        <w:t>К</w:t>
      </w:r>
      <w:r w:rsidR="002C1A36">
        <w:rPr>
          <w:color w:val="auto"/>
        </w:rPr>
        <w:t xml:space="preserve">омисията </w:t>
      </w:r>
      <w:r w:rsidRPr="00F80409">
        <w:rPr>
          <w:color w:val="auto"/>
        </w:rPr>
        <w:t xml:space="preserve">проведе онлайн среща с екип на IOSCO за обсъждане на работната програма на организацията и инициативите през 2025 г., като КФН участва в два тематични прегледа на IOSCO. През отчетния период бяха попълвани въпросници към IOSCO, IAIS и IOPS, на които КФН е член. </w:t>
      </w:r>
    </w:p>
    <w:p w14:paraId="18FC8B49" w14:textId="77777777" w:rsidR="00B51689" w:rsidRPr="00F80409" w:rsidRDefault="00B51689" w:rsidP="00F2736B">
      <w:pPr>
        <w:pStyle w:val="NormalWeb"/>
        <w:spacing w:before="0" w:beforeAutospacing="0" w:after="0" w:afterAutospacing="0" w:line="276" w:lineRule="auto"/>
        <w:ind w:firstLine="708"/>
        <w:jc w:val="both"/>
        <w:rPr>
          <w:color w:val="auto"/>
        </w:rPr>
      </w:pPr>
      <w:r w:rsidRPr="00F80409">
        <w:rPr>
          <w:color w:val="auto"/>
        </w:rPr>
        <w:t xml:space="preserve">През юни се проведе и среща между Световна банка и КФН. Целта на посещението бе да ни информират за стартирането на процеса по изготвяне на Доклад за изменението на климата и развитието на България.                </w:t>
      </w:r>
    </w:p>
    <w:p w14:paraId="5A6FD18A" w14:textId="1240ED25" w:rsidR="0001003A" w:rsidRDefault="0001003A" w:rsidP="00F2736B">
      <w:pPr>
        <w:pStyle w:val="NormalWeb"/>
        <w:spacing w:before="0" w:beforeAutospacing="0" w:after="0" w:afterAutospacing="0" w:line="276" w:lineRule="auto"/>
        <w:ind w:firstLine="708"/>
        <w:jc w:val="both"/>
        <w:rPr>
          <w:color w:val="auto"/>
        </w:rPr>
      </w:pPr>
      <w:r w:rsidRPr="00F80409">
        <w:rPr>
          <w:color w:val="auto"/>
        </w:rPr>
        <w:t>Служители от управление „Осигурителен надзор“ взеха участие в заседание на Работната група по частно пенсионно осигуряване към Комитета за застраховане и частно пенсионно осигуряване на ОИСР и Техническия комитет на IOPS и в международната конференция „Пенсионни фондове: предизвикателства в бъдеще“, проведени на 17 и 18 февруари 2025 г. в гр. Сан Хосе, Коста Рика. На срещата бяха разгледани развитието на пенсионните системи в отделни държави-членки, надзор над инвестициите на пенсионните фондове в чужбина,</w:t>
      </w:r>
      <w:r w:rsidR="00607819" w:rsidRPr="00F80409">
        <w:rPr>
          <w:color w:val="auto"/>
        </w:rPr>
        <w:t xml:space="preserve"> извънборсови деривати и крипто</w:t>
      </w:r>
      <w:r w:rsidRPr="00F80409">
        <w:rPr>
          <w:color w:val="auto"/>
        </w:rPr>
        <w:t xml:space="preserve">активи, управлението на кризи, насоките на IOPS за надзорна оценка на пенсионните фондове, работният план на проекта по проблема „стойност - цена“ („value for money“) при пенсионните продукти и др. В </w:t>
      </w:r>
      <w:r w:rsidRPr="00F80409">
        <w:rPr>
          <w:color w:val="auto"/>
        </w:rPr>
        <w:lastRenderedPageBreak/>
        <w:t xml:space="preserve">рамките на конференцията бяха проведени 4 сесии за обсъждане на развитието на многостълбовата пенсионна система в Коста Рика, демографските промени и тяхното въздействие, фондовете, обвързани с жизнения цикъл, както и опитът с пенсионните продукти във фазата на изплащане. В контекста на присъединяването на </w:t>
      </w:r>
      <w:r w:rsidR="002C1A36">
        <w:rPr>
          <w:color w:val="auto"/>
        </w:rPr>
        <w:t xml:space="preserve">Република </w:t>
      </w:r>
      <w:r w:rsidRPr="00F80409">
        <w:rPr>
          <w:color w:val="auto"/>
        </w:rPr>
        <w:t>България към ОИСР и получената препоръка по линия на Инвестиционния комитет относно даване на възможност за инвестиране на средствата на пенсионните фондове в инвестиционни имоти в страни извън ЕС представителите на КФН направиха предложение за обсъждане на разработването на меморандум за надзорно сътрудничество в рамките на IOPS и/или ОИСР по отношение на трансграничните инвестиции и други въпроси от взаимен интерес.</w:t>
      </w:r>
    </w:p>
    <w:p w14:paraId="72307188" w14:textId="77777777" w:rsidR="00F2736B" w:rsidRPr="00F80409" w:rsidRDefault="00F2736B" w:rsidP="00F2736B">
      <w:pPr>
        <w:pStyle w:val="NormalWeb"/>
        <w:spacing w:before="0" w:beforeAutospacing="0" w:after="0" w:afterAutospacing="0" w:line="276" w:lineRule="auto"/>
        <w:ind w:firstLine="708"/>
        <w:jc w:val="both"/>
        <w:rPr>
          <w:color w:val="auto"/>
        </w:rPr>
      </w:pPr>
    </w:p>
    <w:p w14:paraId="3D9D5A63" w14:textId="689140C4" w:rsidR="00A72E56" w:rsidRPr="009062CB" w:rsidRDefault="009062CB" w:rsidP="006075EB">
      <w:pPr>
        <w:tabs>
          <w:tab w:val="left" w:pos="0"/>
          <w:tab w:val="num" w:pos="720"/>
        </w:tabs>
        <w:spacing w:line="276" w:lineRule="auto"/>
        <w:jc w:val="both"/>
        <w:rPr>
          <w:i/>
        </w:rPr>
      </w:pPr>
      <w:r w:rsidRPr="00F80409">
        <w:rPr>
          <w:i/>
        </w:rPr>
        <w:tab/>
      </w:r>
      <w:r w:rsidR="00A72E56" w:rsidRPr="00F80409">
        <w:rPr>
          <w:i/>
        </w:rPr>
        <w:t>Оперативна цел</w:t>
      </w:r>
      <w:r w:rsidR="00A72E56" w:rsidRPr="00F80409">
        <w:rPr>
          <w:i/>
          <w:lang w:bidi="bg-BG"/>
        </w:rPr>
        <w:t xml:space="preserve"> 10.4. </w:t>
      </w:r>
      <w:r w:rsidR="00A72E56" w:rsidRPr="00F80409">
        <w:rPr>
          <w:i/>
        </w:rPr>
        <w:t>Активно участие в процеса по</w:t>
      </w:r>
      <w:r w:rsidR="00A72E56" w:rsidRPr="009062CB">
        <w:rPr>
          <w:i/>
        </w:rPr>
        <w:t xml:space="preserve"> присъединяване към комитетите на ОИСР</w:t>
      </w:r>
    </w:p>
    <w:p w14:paraId="473B5711" w14:textId="4F8687DD" w:rsidR="00634B4B" w:rsidRPr="00F2736B" w:rsidRDefault="00634B4B" w:rsidP="00F2736B">
      <w:pPr>
        <w:spacing w:before="100" w:beforeAutospacing="1" w:line="300" w:lineRule="atLeast"/>
        <w:ind w:firstLine="708"/>
        <w:jc w:val="both"/>
        <w:rPr>
          <w:rFonts w:eastAsia="Calibri"/>
          <w:color w:val="000000" w:themeColor="text1"/>
        </w:rPr>
      </w:pPr>
      <w:r w:rsidRPr="00F2736B">
        <w:rPr>
          <w:rFonts w:eastAsia="Calibri"/>
          <w:color w:val="000000" w:themeColor="text1"/>
        </w:rPr>
        <w:t xml:space="preserve">Комисията продължи да участва активно в процеса по присъединяване към комитетите на </w:t>
      </w:r>
      <w:r w:rsidR="003F36F6" w:rsidRPr="00F2736B">
        <w:rPr>
          <w:rFonts w:eastAsia="Calibri"/>
          <w:color w:val="000000" w:themeColor="text1"/>
        </w:rPr>
        <w:t>ОИСР</w:t>
      </w:r>
      <w:r w:rsidRPr="00F2736B">
        <w:rPr>
          <w:rFonts w:eastAsia="Calibri"/>
          <w:color w:val="000000" w:themeColor="text1"/>
        </w:rPr>
        <w:t>, като се стреми към интеграция в работата на ключови структури, свързани с финансовите пазари. Това участие е от стратегическо значение за повишаване на институционалния капацитет, обмен на експертиза и прилагане на добри практики в съответствие с международните стандарти.</w:t>
      </w:r>
      <w:r w:rsidRPr="00F2736B">
        <w:rPr>
          <w:rFonts w:eastAsia="Calibri"/>
          <w:color w:val="000000" w:themeColor="text1"/>
          <w:lang w:eastAsia="en-US"/>
        </w:rPr>
        <w:t xml:space="preserve"> КФН поддържа системна и активна комуникация с ОИСР.</w:t>
      </w:r>
    </w:p>
    <w:p w14:paraId="4A87FBD8" w14:textId="77777777" w:rsidR="00634B4B" w:rsidRPr="00F2736B" w:rsidRDefault="00634B4B" w:rsidP="00F2736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 xml:space="preserve">След като в края на 2024 г. от страна на МИИ, в качеството му на водеща институция, беше изпратен проект на писмо-отговор до Секретариата (Chair’s letter) във връзка с препоръки на ОИСР, касаещи присъединяването на България към Комитета за корпоративно управление (ККУ), на 11 март пристигнаха писмените коментари от ОИСР по писмото, като КФН и МФ съвместно изпратиха заедно приноса си по адресиране на коментарите на ОИСР, като описаха подробно какви мерки са били извършени на (4 април). </w:t>
      </w:r>
    </w:p>
    <w:p w14:paraId="5DD5710C" w14:textId="77777777" w:rsidR="00634B4B" w:rsidRPr="00F2736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На 7-8 април 2025 г. КФН взе участие в редовното заседание на ОИСР в Париж, като в неформална среща с представители на ОИСР беше потвърдено, че от КФН не се очаква допълнителна информация по писмото.</w:t>
      </w:r>
    </w:p>
    <w:p w14:paraId="605EC28F" w14:textId="77777777" w:rsidR="00634B4B" w:rsidRPr="00F2736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В периода 10-12 юни се проведе fact-finding мисия на ОИСР в София. Срещата от компетенциите на КФН се проведе на 10 юни, заедно с участието на БФБ и НККУ.</w:t>
      </w:r>
    </w:p>
    <w:p w14:paraId="2E5AC2B0" w14:textId="5C6F304F" w:rsidR="00634B4B" w:rsidRPr="00F2736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На 11 юни КФН в партньорство с НККУ организира конференция на тема „Принципи за корпоративно управление на ОИСР/Г-20 – добри практики за устойчив растеж“</w:t>
      </w:r>
      <w:r w:rsidR="00D31B73">
        <w:rPr>
          <w:rFonts w:eastAsia="Calibri"/>
          <w:color w:val="000000" w:themeColor="text1"/>
          <w:lang w:eastAsia="en-US"/>
        </w:rPr>
        <w:t>.</w:t>
      </w:r>
    </w:p>
    <w:p w14:paraId="6AEBB280" w14:textId="0EF2E6B9" w:rsidR="00634B4B" w:rsidRPr="00F2736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Направени са изменения на Националния кодекс, които  бяха одобрени за заседание на КФН</w:t>
      </w:r>
      <w:r w:rsidR="00D31B73">
        <w:rPr>
          <w:rFonts w:eastAsia="Calibri"/>
          <w:color w:val="000000" w:themeColor="text1"/>
          <w:lang w:eastAsia="en-US"/>
        </w:rPr>
        <w:t xml:space="preserve"> и към настоящия момент е</w:t>
      </w:r>
      <w:r w:rsidRPr="00F2736B">
        <w:rPr>
          <w:rFonts w:eastAsia="Calibri"/>
          <w:color w:val="000000" w:themeColor="text1"/>
          <w:lang w:eastAsia="en-US"/>
        </w:rPr>
        <w:t xml:space="preserve"> финализиран преводът на английски език</w:t>
      </w:r>
      <w:r w:rsidR="00D31B73">
        <w:rPr>
          <w:rFonts w:eastAsia="Calibri"/>
          <w:color w:val="000000" w:themeColor="text1"/>
          <w:lang w:eastAsia="en-US"/>
        </w:rPr>
        <w:t>.</w:t>
      </w:r>
    </w:p>
    <w:p w14:paraId="6F2BCD29" w14:textId="29FC82E1" w:rsidR="00634B4B" w:rsidRPr="00F2736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Изготвен е превод</w:t>
      </w:r>
      <w:r w:rsidR="00D31B73">
        <w:rPr>
          <w:rFonts w:eastAsia="Calibri"/>
          <w:color w:val="000000" w:themeColor="text1"/>
          <w:lang w:eastAsia="en-US"/>
        </w:rPr>
        <w:t>ът</w:t>
      </w:r>
      <w:r w:rsidRPr="00F2736B">
        <w:rPr>
          <w:rFonts w:eastAsia="Calibri"/>
          <w:color w:val="000000" w:themeColor="text1"/>
          <w:lang w:eastAsia="en-US"/>
        </w:rPr>
        <w:t xml:space="preserve"> на Принципи</w:t>
      </w:r>
      <w:r w:rsidR="00D31B73">
        <w:rPr>
          <w:rFonts w:eastAsia="Calibri"/>
          <w:color w:val="000000" w:themeColor="text1"/>
          <w:lang w:eastAsia="en-US"/>
        </w:rPr>
        <w:t>те</w:t>
      </w:r>
      <w:r w:rsidRPr="00F2736B">
        <w:rPr>
          <w:rFonts w:eastAsia="Calibri"/>
          <w:color w:val="000000" w:themeColor="text1"/>
          <w:lang w:eastAsia="en-US"/>
        </w:rPr>
        <w:t xml:space="preserve"> за корпоративно управление на ОИСР/Г-20 на български език, който предстои да бъде публикуван на сайта на ОИСР.</w:t>
      </w:r>
    </w:p>
    <w:p w14:paraId="7E6A970D" w14:textId="77777777" w:rsidR="00634B4B" w:rsidRPr="00F2736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 xml:space="preserve">КФН изпрати приноса си по актуализацията на Corporate Governance Factbook за 2025 г. </w:t>
      </w:r>
    </w:p>
    <w:p w14:paraId="5A31C2FC" w14:textId="178A0C12" w:rsidR="00634B4B" w:rsidRPr="00F2736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lastRenderedPageBreak/>
        <w:t>Изготвен и одобрен от КФН е Мониторингов доклад за 2023 г. в изпълнение на препоръка н</w:t>
      </w:r>
      <w:r w:rsidR="00FD6371" w:rsidRPr="00F2736B">
        <w:rPr>
          <w:rFonts w:eastAsia="Calibri"/>
          <w:color w:val="000000" w:themeColor="text1"/>
          <w:lang w:eastAsia="en-US"/>
        </w:rPr>
        <w:t>а ОИСР, който съдържа агрегиран</w:t>
      </w:r>
      <w:r w:rsidRPr="00F2736B">
        <w:rPr>
          <w:rFonts w:eastAsia="Calibri"/>
          <w:color w:val="000000" w:themeColor="text1"/>
          <w:lang w:eastAsia="en-US"/>
        </w:rPr>
        <w:t>и данни (колко от българските дружества спазват Кодекса), на ОИСР е предоставен превод на английски език.</w:t>
      </w:r>
    </w:p>
    <w:p w14:paraId="421221BA" w14:textId="77777777" w:rsidR="00634B4B" w:rsidRPr="00F2736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Изготвена е актуална статистическа информация за застрахователния пазар в България за 2023 г. и 2024 г. по ключови елементи (fast-track data request) за OECD, която е включена в изданието на „Застрахователните пазари в цифри“ (Insurance Markets in Figures), както и предоставяне на пояснителна информация за наблюдаваните пазарни тенденции.</w:t>
      </w:r>
    </w:p>
    <w:p w14:paraId="4CA4B0CA" w14:textId="45D8BC6E" w:rsidR="00634B4B" w:rsidRPr="00F2736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 xml:space="preserve">През февруари представители на КФН взеха участие в мисия на ОИСР в София относно подготовката на Икономическия преглед на България. За целта </w:t>
      </w:r>
      <w:r w:rsidR="00D31B73">
        <w:rPr>
          <w:rFonts w:eastAsia="Calibri"/>
          <w:color w:val="000000" w:themeColor="text1"/>
          <w:lang w:eastAsia="en-US"/>
        </w:rPr>
        <w:t xml:space="preserve">са </w:t>
      </w:r>
      <w:r w:rsidRPr="00F2736B">
        <w:rPr>
          <w:rFonts w:eastAsia="Calibri"/>
          <w:color w:val="000000" w:themeColor="text1"/>
          <w:lang w:eastAsia="en-US"/>
        </w:rPr>
        <w:t>изпрат</w:t>
      </w:r>
      <w:r w:rsidR="00D31B73">
        <w:rPr>
          <w:rFonts w:eastAsia="Calibri"/>
          <w:color w:val="000000" w:themeColor="text1"/>
          <w:lang w:eastAsia="en-US"/>
        </w:rPr>
        <w:t xml:space="preserve">ени </w:t>
      </w:r>
      <w:r w:rsidRPr="00F2736B">
        <w:rPr>
          <w:rFonts w:eastAsia="Calibri"/>
          <w:color w:val="000000" w:themeColor="text1"/>
          <w:lang w:eastAsia="en-US"/>
        </w:rPr>
        <w:t xml:space="preserve"> отговори на въпросите, които са в компетенциите на КФН. Във връзка с годишното събиране на статистическа информация от застрахователния сектор по линия на OECD (Statistical contribution for 'Global Insurance Statistics', 2024 data collection), КФН за първи път се включи в стартираната процедура за централно извличане на данни от </w:t>
      </w:r>
      <w:r w:rsidR="00F87759">
        <w:rPr>
          <w:bCs/>
          <w:iCs/>
          <w:szCs w:val="20"/>
        </w:rPr>
        <w:t>ЕОЗППО</w:t>
      </w:r>
      <w:r w:rsidRPr="00F2736B">
        <w:rPr>
          <w:rFonts w:eastAsia="Calibri"/>
          <w:color w:val="000000" w:themeColor="text1"/>
          <w:lang w:eastAsia="en-US"/>
        </w:rPr>
        <w:t xml:space="preserve"> съгласно годишните количествени справки по Платежоспособност II.</w:t>
      </w:r>
    </w:p>
    <w:p w14:paraId="651F1584" w14:textId="566F3990" w:rsidR="00634B4B" w:rsidRPr="00634B4B" w:rsidRDefault="00634B4B" w:rsidP="00634B4B">
      <w:pPr>
        <w:spacing w:line="276" w:lineRule="auto"/>
        <w:ind w:firstLine="708"/>
        <w:contextualSpacing/>
        <w:jc w:val="both"/>
        <w:rPr>
          <w:rFonts w:eastAsia="Calibri"/>
          <w:color w:val="000000" w:themeColor="text1"/>
          <w:lang w:eastAsia="en-US"/>
        </w:rPr>
      </w:pPr>
      <w:r w:rsidRPr="00F2736B">
        <w:rPr>
          <w:rFonts w:eastAsia="Calibri"/>
          <w:color w:val="000000" w:themeColor="text1"/>
          <w:lang w:eastAsia="en-US"/>
        </w:rPr>
        <w:t xml:space="preserve">През май </w:t>
      </w:r>
      <w:r w:rsidR="00D92239" w:rsidRPr="00F2736B">
        <w:rPr>
          <w:rFonts w:eastAsia="Calibri"/>
          <w:color w:val="000000" w:themeColor="text1"/>
          <w:lang w:eastAsia="en-US"/>
        </w:rPr>
        <w:t xml:space="preserve">КФН </w:t>
      </w:r>
      <w:r w:rsidRPr="00F2736B">
        <w:rPr>
          <w:rFonts w:eastAsia="Calibri"/>
          <w:color w:val="000000" w:themeColor="text1"/>
          <w:lang w:eastAsia="en-US"/>
        </w:rPr>
        <w:t>взе участие в Партньорска проверка на ОИСР, като изпрати своя принос по въпросника: Peer Review Questionnaire on Corporate Governance of Market Service Providers.</w:t>
      </w:r>
    </w:p>
    <w:p w14:paraId="69A2809B" w14:textId="02637A33" w:rsidR="007D22B4" w:rsidRPr="00FA0DC0" w:rsidRDefault="007D22B4" w:rsidP="00634B4B">
      <w:pPr>
        <w:pStyle w:val="Heading2"/>
        <w:spacing w:line="276" w:lineRule="auto"/>
        <w:jc w:val="both"/>
      </w:pPr>
      <w:bookmarkStart w:id="19" w:name="_Toc206148621"/>
      <w:r w:rsidRPr="00FA0DC0">
        <w:t>б) Отговорност за изпълнение на целите в съответната функционална област</w:t>
      </w:r>
      <w:bookmarkEnd w:id="19"/>
    </w:p>
    <w:p w14:paraId="1A2CA05D" w14:textId="77777777" w:rsidR="007D22B4" w:rsidRPr="00FA0DC0" w:rsidRDefault="007D22B4" w:rsidP="00CC456E">
      <w:pPr>
        <w:spacing w:line="276" w:lineRule="auto"/>
        <w:ind w:firstLine="709"/>
        <w:jc w:val="both"/>
        <w:rPr>
          <w:b/>
          <w:i/>
          <w:color w:val="000000"/>
        </w:rPr>
      </w:pPr>
    </w:p>
    <w:p w14:paraId="3D10D266" w14:textId="77777777" w:rsidR="007D22B4" w:rsidRDefault="007D22B4" w:rsidP="003066E8">
      <w:pPr>
        <w:spacing w:line="276" w:lineRule="auto"/>
        <w:ind w:firstLine="720"/>
        <w:jc w:val="both"/>
        <w:rPr>
          <w:color w:val="000000"/>
        </w:rPr>
      </w:pPr>
      <w:r w:rsidRPr="00FA0DC0">
        <w:rPr>
          <w:color w:val="000000"/>
        </w:rPr>
        <w:t>Отговорността за изпълнението на целите във функционална област „Регулация и надзор на небанковия финансов сектор“ се носи от лидерския екип на Комисията и ръководителите на структурните звена.</w:t>
      </w:r>
    </w:p>
    <w:p w14:paraId="29B2E165" w14:textId="77777777" w:rsidR="002005DE" w:rsidRDefault="00CB1668" w:rsidP="00CC456E">
      <w:pPr>
        <w:pStyle w:val="Heading2"/>
        <w:spacing w:line="276" w:lineRule="auto"/>
        <w:jc w:val="both"/>
      </w:pPr>
      <w:bookmarkStart w:id="20" w:name="_Toc206148622"/>
      <w:r>
        <w:t>в</w:t>
      </w:r>
      <w:r w:rsidR="002005DE" w:rsidRPr="009A243F">
        <w:rPr>
          <w:lang w:val="ru-RU"/>
        </w:rPr>
        <w:t xml:space="preserve">) </w:t>
      </w:r>
      <w:r w:rsidR="002005DE" w:rsidRPr="00D117F3">
        <w:t>Преглед на настъпили промени на нормативната уредба през отчетния период</w:t>
      </w:r>
      <w:bookmarkEnd w:id="20"/>
      <w:r w:rsidR="002005DE" w:rsidRPr="002F5499">
        <w:t xml:space="preserve"> </w:t>
      </w:r>
    </w:p>
    <w:p w14:paraId="465D9DEF" w14:textId="40313177" w:rsidR="002005DE" w:rsidRDefault="007C0257" w:rsidP="00CC456E">
      <w:pPr>
        <w:tabs>
          <w:tab w:val="num" w:pos="0"/>
        </w:tabs>
        <w:adjustRightInd w:val="0"/>
        <w:spacing w:line="276" w:lineRule="auto"/>
        <w:jc w:val="both"/>
      </w:pPr>
      <w:r w:rsidRPr="009E3555">
        <w:tab/>
      </w:r>
      <w:r w:rsidR="002005DE" w:rsidRPr="005C3582">
        <w:t xml:space="preserve"> </w:t>
      </w:r>
    </w:p>
    <w:p w14:paraId="27FF04BD" w14:textId="31BFF825" w:rsidR="00AA3E80" w:rsidRPr="00173F0A" w:rsidRDefault="00AA3E80" w:rsidP="00AA3E80">
      <w:pPr>
        <w:tabs>
          <w:tab w:val="num" w:pos="0"/>
        </w:tabs>
        <w:adjustRightInd w:val="0"/>
        <w:spacing w:line="276" w:lineRule="auto"/>
        <w:jc w:val="both"/>
        <w:rPr>
          <w:highlight w:val="cyan"/>
        </w:rPr>
      </w:pPr>
      <w:r>
        <w:tab/>
        <w:t>През последните години се наблюдава нарастване както в броя, така и в сложността на европейските нормативни актове, регламентиращи дейността по регулиране и надзор на небанковия финансов сектор. Паралелно с това се предприемат и национални инициативи, насочени към стимулиране на развитието на капиталовия пазар в страната. Комисията за финансов надзор прилага всички релевантни изисквания, произтичащи както от правото на Европейския съюз, така и от действащото национално законодателство. Европейската нормативна рамка в областта на финансовите услуги – включително актовете с пряко приложение и директивите, подлежащи на транспониране – оказва съществено влияние върху реализирането на целите, заложени в бюджетната програма, предвид факта, че Комисията осъществява регулация и надзор върху финансови пазари, интегрирани в единния европейски пазар на финансови услуги</w:t>
      </w:r>
    </w:p>
    <w:p w14:paraId="1080B923" w14:textId="1DF8CAF4" w:rsidR="002005DE" w:rsidRPr="00A4105D" w:rsidRDefault="002005DE" w:rsidP="00CC456E">
      <w:pPr>
        <w:tabs>
          <w:tab w:val="num" w:pos="0"/>
        </w:tabs>
        <w:adjustRightInd w:val="0"/>
        <w:spacing w:line="276" w:lineRule="auto"/>
        <w:ind w:firstLine="851"/>
        <w:jc w:val="both"/>
      </w:pPr>
      <w:r w:rsidRPr="00A526E7">
        <w:rPr>
          <w:color w:val="000000"/>
        </w:rPr>
        <w:t>Законодателните актове на Европейския съюз, които оказват въздействие през  първото полугодие на 202</w:t>
      </w:r>
      <w:r w:rsidR="00F354A1">
        <w:rPr>
          <w:color w:val="000000"/>
        </w:rPr>
        <w:t>5</w:t>
      </w:r>
      <w:r w:rsidRPr="00A526E7">
        <w:rPr>
          <w:color w:val="000000"/>
        </w:rPr>
        <w:t xml:space="preserve"> г. които са приети и публикувани в Официален вестник на </w:t>
      </w:r>
      <w:r w:rsidRPr="00A526E7">
        <w:rPr>
          <w:color w:val="000000"/>
        </w:rPr>
        <w:lastRenderedPageBreak/>
        <w:t xml:space="preserve">Европейския съюз, тези които предстои да бъдат приети, както и тези, които следва да се </w:t>
      </w:r>
      <w:r w:rsidRPr="00A4105D">
        <w:t>прилагат чрез предприемане на мерки на национално ниво, са както следва:</w:t>
      </w:r>
    </w:p>
    <w:p w14:paraId="19EA3987" w14:textId="77777777" w:rsidR="002A462A" w:rsidRDefault="002A462A" w:rsidP="00CC456E">
      <w:pPr>
        <w:tabs>
          <w:tab w:val="num" w:pos="0"/>
        </w:tabs>
        <w:adjustRightInd w:val="0"/>
        <w:spacing w:line="276" w:lineRule="auto"/>
        <w:ind w:firstLine="851"/>
        <w:jc w:val="both"/>
        <w:rPr>
          <w:b/>
          <w:bCs/>
        </w:rPr>
      </w:pPr>
    </w:p>
    <w:p w14:paraId="354B28FD" w14:textId="6E85B128" w:rsidR="00D22EE1" w:rsidRPr="00A4105D" w:rsidRDefault="00D22EE1" w:rsidP="00CC456E">
      <w:pPr>
        <w:tabs>
          <w:tab w:val="num" w:pos="0"/>
        </w:tabs>
        <w:adjustRightInd w:val="0"/>
        <w:spacing w:line="276" w:lineRule="auto"/>
        <w:ind w:firstLine="851"/>
        <w:jc w:val="both"/>
        <w:rPr>
          <w:b/>
          <w:bCs/>
        </w:rPr>
      </w:pPr>
      <w:r w:rsidRPr="00A4105D">
        <w:rPr>
          <w:b/>
          <w:bCs/>
        </w:rPr>
        <w:t>Директиви</w:t>
      </w:r>
    </w:p>
    <w:p w14:paraId="7F22F72C" w14:textId="77777777" w:rsidR="00A4105D" w:rsidRPr="00A4105D" w:rsidRDefault="00A4105D" w:rsidP="00A4105D">
      <w:pPr>
        <w:tabs>
          <w:tab w:val="num" w:pos="0"/>
        </w:tabs>
        <w:adjustRightInd w:val="0"/>
        <w:spacing w:line="276" w:lineRule="auto"/>
        <w:ind w:firstLine="851"/>
        <w:jc w:val="both"/>
        <w:rPr>
          <w:bCs/>
        </w:rPr>
      </w:pPr>
      <w:r w:rsidRPr="00A4105D">
        <w:rPr>
          <w:bCs/>
        </w:rPr>
        <w:t>1. Директива (ЕС) 2023/2673 на Европейския парламент и на Съвета от 22 ноември 2023 година за изменение на Директива 2011/83/ЕС по отношение на договорите за финансови услуги, сключени от разстояние, и за отмяна на Директива 2002/65/ЕО.</w:t>
      </w:r>
    </w:p>
    <w:p w14:paraId="75243230" w14:textId="77777777" w:rsidR="00A4105D" w:rsidRPr="00A4105D" w:rsidRDefault="00A4105D" w:rsidP="00A4105D">
      <w:pPr>
        <w:tabs>
          <w:tab w:val="num" w:pos="0"/>
        </w:tabs>
        <w:adjustRightInd w:val="0"/>
        <w:spacing w:line="276" w:lineRule="auto"/>
        <w:ind w:firstLine="851"/>
        <w:jc w:val="both"/>
        <w:rPr>
          <w:bCs/>
        </w:rPr>
      </w:pPr>
      <w:r w:rsidRPr="00A4105D">
        <w:rPr>
          <w:bCs/>
        </w:rPr>
        <w:t>2. Директива (ЕС) 2023/2864 на Европейския парламент и на Съвета от 13 декември 2023 г. за изменение на някои директиви във връзка със създаването и функционирането на европейската единна точка за достъп.</w:t>
      </w:r>
    </w:p>
    <w:p w14:paraId="5499CE9B" w14:textId="77777777" w:rsidR="00A4105D" w:rsidRPr="00A4105D" w:rsidRDefault="00A4105D" w:rsidP="00F004B4">
      <w:pPr>
        <w:tabs>
          <w:tab w:val="num" w:pos="0"/>
        </w:tabs>
        <w:adjustRightInd w:val="0"/>
        <w:spacing w:line="276" w:lineRule="auto"/>
        <w:ind w:firstLine="851"/>
        <w:jc w:val="both"/>
        <w:rPr>
          <w:bCs/>
        </w:rPr>
      </w:pPr>
      <w:r w:rsidRPr="00A4105D">
        <w:rPr>
          <w:bCs/>
        </w:rPr>
        <w:t>3. Директива (ЕС) 2024/790 на Европейския парламент и на Съвета от 28 февруари 2024 година за изменение на Директива 2014/65/EС относно пазарите на финансови инструменти.</w:t>
      </w:r>
    </w:p>
    <w:p w14:paraId="100B64AA" w14:textId="77777777" w:rsidR="00A4105D" w:rsidRPr="00A4105D" w:rsidRDefault="00A4105D" w:rsidP="00F004B4">
      <w:pPr>
        <w:tabs>
          <w:tab w:val="num" w:pos="0"/>
        </w:tabs>
        <w:adjustRightInd w:val="0"/>
        <w:spacing w:line="276" w:lineRule="auto"/>
        <w:ind w:firstLine="851"/>
        <w:jc w:val="both"/>
        <w:rPr>
          <w:bCs/>
        </w:rPr>
      </w:pPr>
      <w:r w:rsidRPr="00A4105D">
        <w:rPr>
          <w:bCs/>
        </w:rPr>
        <w:t>4. Директива (ЕС) 2024/927 на Европейския парламент и на Съвета от 13 март 2024 година за изменение на директиви 2011/61/ЕС и 2009/65/ЕО по отношение на договореностите за делегиране, управлението на ликвидния риск, надзорната отчетност, предоставянето на депозитарни услуги и услуги по отговорно пазене и предоставянето на заеми от алтернативни инвестиционни фондове.</w:t>
      </w:r>
    </w:p>
    <w:p w14:paraId="033D0DED" w14:textId="77777777" w:rsidR="00A4105D" w:rsidRPr="00A4105D" w:rsidRDefault="00A4105D" w:rsidP="00F004B4">
      <w:pPr>
        <w:tabs>
          <w:tab w:val="num" w:pos="0"/>
        </w:tabs>
        <w:adjustRightInd w:val="0"/>
        <w:spacing w:line="276" w:lineRule="auto"/>
        <w:ind w:firstLine="851"/>
        <w:jc w:val="both"/>
        <w:rPr>
          <w:bCs/>
        </w:rPr>
      </w:pPr>
      <w:r w:rsidRPr="00A4105D">
        <w:rPr>
          <w:bCs/>
        </w:rPr>
        <w:t>5. Директива (ЕС) 2024/1174 на Европейския парламент и на Съвета от 11 април 2024 година за изменение на Директива 2014/59/ЕС и Регламент (ЕС) № 806/2014 по отношение на някои аспекти на минималното изискване за собствен капитал и приемливи задължения.</w:t>
      </w:r>
    </w:p>
    <w:p w14:paraId="1885D541" w14:textId="77777777" w:rsidR="00A4105D" w:rsidRPr="00A4105D" w:rsidRDefault="00A4105D" w:rsidP="00F004B4">
      <w:pPr>
        <w:tabs>
          <w:tab w:val="num" w:pos="0"/>
        </w:tabs>
        <w:adjustRightInd w:val="0"/>
        <w:spacing w:line="276" w:lineRule="auto"/>
        <w:ind w:firstLine="851"/>
        <w:jc w:val="both"/>
        <w:rPr>
          <w:bCs/>
        </w:rPr>
      </w:pPr>
      <w:r w:rsidRPr="00A4105D">
        <w:rPr>
          <w:bCs/>
        </w:rPr>
        <w:t>6. Директива (ЕС) 2024/2810 на Европейския парламент и на Съвета от 23 октомври 2024 година относно структурите с акции с право на повече гласове в дружествата, които кандидатстват акциите им да бъдат допуснати до търговия на многостранна система за търговия.</w:t>
      </w:r>
    </w:p>
    <w:p w14:paraId="2A629EC9" w14:textId="77777777" w:rsidR="00A4105D" w:rsidRPr="00A4105D" w:rsidRDefault="00A4105D" w:rsidP="00F004B4">
      <w:pPr>
        <w:tabs>
          <w:tab w:val="num" w:pos="0"/>
        </w:tabs>
        <w:adjustRightInd w:val="0"/>
        <w:spacing w:line="276" w:lineRule="auto"/>
        <w:ind w:firstLine="851"/>
        <w:jc w:val="both"/>
        <w:rPr>
          <w:bCs/>
        </w:rPr>
      </w:pPr>
      <w:r w:rsidRPr="00A4105D">
        <w:rPr>
          <w:bCs/>
        </w:rPr>
        <w:t>7. Директива (ЕС) 2024/2811 на Европейския парламент и на Съвета от 23 октомври 2024 година за изменение на Директива 2014/65/ЕС с цел повишаване на привлекателността на публичните капиталови пазари в Съюза за дружествата и улесняване на достъпа до капитал за малките и средните предприятия и за отмяна на Директива 2001/34/ЕО.</w:t>
      </w:r>
    </w:p>
    <w:p w14:paraId="77D374C7" w14:textId="77777777" w:rsidR="00A4105D" w:rsidRPr="00A4105D" w:rsidRDefault="00A4105D" w:rsidP="00F004B4">
      <w:pPr>
        <w:tabs>
          <w:tab w:val="num" w:pos="0"/>
        </w:tabs>
        <w:adjustRightInd w:val="0"/>
        <w:spacing w:line="276" w:lineRule="auto"/>
        <w:ind w:firstLine="851"/>
        <w:jc w:val="both"/>
        <w:rPr>
          <w:bCs/>
        </w:rPr>
      </w:pPr>
      <w:r w:rsidRPr="00A4105D">
        <w:rPr>
          <w:bCs/>
        </w:rPr>
        <w:t>8. Директива (ЕС) 2024/1640 на Европейския парламент и на Съвета от 31 май 2024 година относно механизмите, които да бъдат въведени от държавите членки за предотвратяване на използването на финансовата система за целите на изпирането на пари или финансирането на тероризма, за изменение на Директива(ЕС) 2019/1937 и за изменение и отмяна на Директива (ЕС) 2015/849.</w:t>
      </w:r>
    </w:p>
    <w:p w14:paraId="3ADCA243" w14:textId="77777777" w:rsidR="00A4105D" w:rsidRPr="00A4105D" w:rsidRDefault="00A4105D" w:rsidP="00F004B4">
      <w:pPr>
        <w:tabs>
          <w:tab w:val="num" w:pos="0"/>
        </w:tabs>
        <w:adjustRightInd w:val="0"/>
        <w:spacing w:line="276" w:lineRule="auto"/>
        <w:ind w:firstLine="851"/>
        <w:jc w:val="both"/>
        <w:rPr>
          <w:bCs/>
        </w:rPr>
      </w:pPr>
      <w:r w:rsidRPr="00A4105D">
        <w:rPr>
          <w:bCs/>
        </w:rPr>
        <w:t xml:space="preserve">9. Директива (ЕС) 2024/2994 на Европейския парламент и на Съвета от 27 ноември 2024 година за изменение на директиви 2009/65/ЕО, 2013/36/ЕС и (ЕС) 2019/2034 по отношение на третирането на риска от концентрация, произтичащ от експозициите към централни контрагенти, и на риска от контрагента при сделките с деривати, преминаващи централен клиринг. </w:t>
      </w:r>
    </w:p>
    <w:p w14:paraId="3C98DC04" w14:textId="77777777" w:rsidR="00A4105D" w:rsidRPr="00A4105D" w:rsidRDefault="00A4105D" w:rsidP="00F004B4">
      <w:pPr>
        <w:tabs>
          <w:tab w:val="num" w:pos="0"/>
        </w:tabs>
        <w:adjustRightInd w:val="0"/>
        <w:spacing w:line="276" w:lineRule="auto"/>
        <w:ind w:firstLine="851"/>
        <w:jc w:val="both"/>
        <w:rPr>
          <w:bCs/>
        </w:rPr>
      </w:pPr>
      <w:r w:rsidRPr="00A4105D">
        <w:rPr>
          <w:bCs/>
        </w:rPr>
        <w:lastRenderedPageBreak/>
        <w:t>10. Директива (ЕС) 2024/1619 на Европейския парламент и на Съвета от 31 май 2024 година за изменение на Директива 2013/36/ЕС по отношение на надзорните правомощия, санкциите, клоновете от трети държави и рисковете от екологичен, социален и управленски характер.</w:t>
      </w:r>
    </w:p>
    <w:p w14:paraId="7E0D53DE" w14:textId="77777777" w:rsidR="00A4105D" w:rsidRPr="00A4105D" w:rsidRDefault="00A4105D" w:rsidP="00F004B4">
      <w:pPr>
        <w:tabs>
          <w:tab w:val="num" w:pos="0"/>
        </w:tabs>
        <w:adjustRightInd w:val="0"/>
        <w:spacing w:line="276" w:lineRule="auto"/>
        <w:ind w:firstLine="851"/>
        <w:jc w:val="both"/>
        <w:rPr>
          <w:bCs/>
        </w:rPr>
      </w:pPr>
      <w:r w:rsidRPr="00A4105D">
        <w:rPr>
          <w:bCs/>
        </w:rPr>
        <w:t>11. Директива (ЕС) 2025/2 на Европейския парламент и на Съвета от 27 ноември 2024 година за изменение на Директива 2009/138/ЕО по отношение на пропорционалността, качеството на надзора, отчетността, дългосрочните гаранционни мерки, макропруденциалните инструменти, рисковете за устойчивостта и груповия и трансграничния надзор и за изменение на директиви 2002/87/EО и 2013/34/EС.</w:t>
      </w:r>
    </w:p>
    <w:p w14:paraId="54798A7C" w14:textId="77777777" w:rsidR="00A4105D" w:rsidRPr="00A4105D" w:rsidRDefault="00A4105D" w:rsidP="00F004B4">
      <w:pPr>
        <w:tabs>
          <w:tab w:val="num" w:pos="0"/>
        </w:tabs>
        <w:adjustRightInd w:val="0"/>
        <w:spacing w:line="276" w:lineRule="auto"/>
        <w:ind w:firstLine="851"/>
        <w:jc w:val="both"/>
        <w:rPr>
          <w:bCs/>
        </w:rPr>
      </w:pPr>
      <w:r w:rsidRPr="00A4105D">
        <w:rPr>
          <w:bCs/>
        </w:rPr>
        <w:t>12. Директива (ЕС) 2025/1 на Европейския парламент и на Съвета от 27 ноември 2024 година за създаване на рамка за възстановяване и преструктуриране на застрахователни и презастрахователни предприятия и за изменение на директиви 2002/47/ЕО, 2004/25/ЕО, 2007/36/ЕО, 2014/59/ЕС и (ЕС) 2017/1132 и на регламенти (ЕС) № 1094/2010, (ЕС) № 648/2012, (ЕС) № 806/2014 и (ЕС) 2017/1129.</w:t>
      </w:r>
    </w:p>
    <w:p w14:paraId="2D237AFD" w14:textId="77777777" w:rsidR="00A4105D" w:rsidRPr="00A4105D" w:rsidRDefault="00A4105D" w:rsidP="00F004B4">
      <w:pPr>
        <w:tabs>
          <w:tab w:val="num" w:pos="0"/>
        </w:tabs>
        <w:adjustRightInd w:val="0"/>
        <w:spacing w:line="276" w:lineRule="auto"/>
        <w:ind w:firstLine="851"/>
        <w:jc w:val="both"/>
        <w:rPr>
          <w:bCs/>
        </w:rPr>
      </w:pPr>
      <w:r w:rsidRPr="00A4105D">
        <w:rPr>
          <w:bCs/>
        </w:rPr>
        <w:t>13. Директива (ЕС) 2025/794 на Eвропейския парламент и на Съвета от 14 април 2025 година за изменение на директиви (ЕС) 2022/2464 и (ЕС) 2024/1760 по отношение на датите, от които държавите членки трябва да прилагат някои изисквания за отчитане и за дължима грижа на дружествата във връзка с устойчивостта.</w:t>
      </w:r>
    </w:p>
    <w:p w14:paraId="4FF87BFD" w14:textId="77777777" w:rsidR="00D22EE1" w:rsidRPr="00A4105D" w:rsidRDefault="00D22EE1" w:rsidP="00F004B4">
      <w:pPr>
        <w:tabs>
          <w:tab w:val="num" w:pos="0"/>
        </w:tabs>
        <w:adjustRightInd w:val="0"/>
        <w:spacing w:line="276" w:lineRule="auto"/>
        <w:ind w:firstLine="851"/>
        <w:jc w:val="both"/>
        <w:rPr>
          <w:b/>
          <w:bCs/>
        </w:rPr>
      </w:pPr>
    </w:p>
    <w:p w14:paraId="0AB97035" w14:textId="77777777" w:rsidR="00D22EE1" w:rsidRPr="00A4105D" w:rsidRDefault="00D22EE1" w:rsidP="00F004B4">
      <w:pPr>
        <w:tabs>
          <w:tab w:val="num" w:pos="0"/>
        </w:tabs>
        <w:adjustRightInd w:val="0"/>
        <w:spacing w:line="276" w:lineRule="auto"/>
        <w:ind w:firstLine="851"/>
        <w:jc w:val="both"/>
        <w:rPr>
          <w:b/>
          <w:bCs/>
        </w:rPr>
      </w:pPr>
      <w:r w:rsidRPr="00A4105D">
        <w:rPr>
          <w:b/>
          <w:bCs/>
        </w:rPr>
        <w:t>II. Регламенти</w:t>
      </w:r>
    </w:p>
    <w:p w14:paraId="16DF6627" w14:textId="77777777" w:rsidR="00A4105D" w:rsidRPr="00A4105D" w:rsidRDefault="00A4105D" w:rsidP="00F004B4">
      <w:pPr>
        <w:tabs>
          <w:tab w:val="num" w:pos="0"/>
        </w:tabs>
        <w:adjustRightInd w:val="0"/>
        <w:spacing w:line="276" w:lineRule="auto"/>
        <w:ind w:firstLine="851"/>
        <w:jc w:val="both"/>
        <w:rPr>
          <w:bCs/>
        </w:rPr>
      </w:pPr>
      <w:r w:rsidRPr="00A4105D">
        <w:rPr>
          <w:bCs/>
        </w:rPr>
        <w:t>1.</w:t>
      </w:r>
      <w:r w:rsidRPr="00A4105D">
        <w:rPr>
          <w:bCs/>
        </w:rPr>
        <w:tab/>
        <w:t>Регламент (ЕС) 2022/2554 на Европейския парламент и на Съвета от 14 декември 2022 година относно оперативната устойчивост на цифровите технологии във финансовия сектор и за изменение на регламенти (ЕО) № 1060/2009, (ЕС) № 648/2012, (ЕС) № 600/2014, (ЕС) № 909/2014 и (ЕС) 2016/1011. Регламентът се прилага от 17 януари 2025 г.</w:t>
      </w:r>
    </w:p>
    <w:p w14:paraId="135E9214" w14:textId="77777777" w:rsidR="00A4105D" w:rsidRPr="00A4105D" w:rsidRDefault="00A4105D" w:rsidP="00F004B4">
      <w:pPr>
        <w:tabs>
          <w:tab w:val="num" w:pos="0"/>
        </w:tabs>
        <w:adjustRightInd w:val="0"/>
        <w:spacing w:line="276" w:lineRule="auto"/>
        <w:ind w:firstLine="851"/>
        <w:jc w:val="both"/>
        <w:rPr>
          <w:bCs/>
        </w:rPr>
      </w:pPr>
      <w:r w:rsidRPr="00A4105D">
        <w:rPr>
          <w:bCs/>
        </w:rPr>
        <w:t>2.</w:t>
      </w:r>
      <w:r w:rsidRPr="00A4105D">
        <w:rPr>
          <w:bCs/>
        </w:rPr>
        <w:tab/>
        <w:t>Регламент (ЕС) 2023/606 на Европейския парламент и на Съвета от 15 март 2023 година за изменение на Регламент (ЕС) 2015/760 по отношение на изискванията, свързани с инвестиционните политики и условията за дейността на европейските фондове за дългосрочни инвестиции, и обхвата на допустимите инвестиционни активи, изискванията за състава на портфейла и за диверсификацията, както и заемането на парични средства и други правила на фондовете. Срокът за въвеждане на тези изменения и за влизане в сила на регламента е 10 януари 2024 г. Мерките по прилагането на Регламент (ЕС) 2015/760 (ЕФДИ) са въведени в ЗДКИСДПКИ, което предполага някои промени в ЗДКИСДПКИ.</w:t>
      </w:r>
    </w:p>
    <w:p w14:paraId="2E16CDAD" w14:textId="76C1689C" w:rsidR="00A4105D" w:rsidRPr="00A4105D" w:rsidRDefault="00A4105D" w:rsidP="00F004B4">
      <w:pPr>
        <w:tabs>
          <w:tab w:val="num" w:pos="0"/>
        </w:tabs>
        <w:adjustRightInd w:val="0"/>
        <w:spacing w:line="276" w:lineRule="auto"/>
        <w:ind w:firstLine="851"/>
        <w:jc w:val="both"/>
        <w:rPr>
          <w:bCs/>
        </w:rPr>
      </w:pPr>
      <w:r w:rsidRPr="00A4105D">
        <w:rPr>
          <w:bCs/>
        </w:rPr>
        <w:t>3.</w:t>
      </w:r>
      <w:r w:rsidRPr="00A4105D">
        <w:rPr>
          <w:bCs/>
        </w:rPr>
        <w:tab/>
        <w:t xml:space="preserve">Регламент (ЕС) 2023/2631 на Европейския парламент и на Съвета от 22 ноември 2023 година относно европейските зелени облигации и незадължителното разкриване на информация за облигации, предлагани на пазара като екологично устойчиви, и за облигации, свързани с устойчивостта. Регламентът се прилага от 21 декември 2024 г., като чрез дерогация член 20, член 21, параграф 4, член 23, параграфи 6 и 7, член 24, параграф 2, член 26, параграф 3, член 27, параграф 2, член 28, параграф 3, член 29, параграф 4, член 30, параграф 3, член 31, параграф 4, член 33, параграф 7, член 42, параграф 9, член 46, параграфи 6 и 7, член 49, параграфи 1, 2 и 3, член 63, параграф 10, член 66, параграф 3 и </w:t>
      </w:r>
      <w:r w:rsidRPr="00A4105D">
        <w:rPr>
          <w:bCs/>
        </w:rPr>
        <w:lastRenderedPageBreak/>
        <w:t xml:space="preserve">членове 68, 69 и 70 се прилагат от 20 декември 2023 г. Чрез дерогация член 40, член 42, параграф 1 – 8 и член 43 се прилагат от 21 юни 2026 г. Държавите членки </w:t>
      </w:r>
      <w:r w:rsidR="001257D8">
        <w:rPr>
          <w:bCs/>
        </w:rPr>
        <w:t xml:space="preserve">трябва да </w:t>
      </w:r>
      <w:r w:rsidRPr="00A4105D">
        <w:rPr>
          <w:bCs/>
        </w:rPr>
        <w:t>предприе</w:t>
      </w:r>
      <w:r w:rsidR="001257D8">
        <w:rPr>
          <w:bCs/>
        </w:rPr>
        <w:t>ли</w:t>
      </w:r>
      <w:r w:rsidRPr="00A4105D">
        <w:rPr>
          <w:bCs/>
        </w:rPr>
        <w:t xml:space="preserve"> необходимите мерки, за да изпълнят изискванията на членове 45 и 49 до 21 декември 2024 г.</w:t>
      </w:r>
    </w:p>
    <w:p w14:paraId="3BDD3978" w14:textId="5C45342D" w:rsidR="00A4105D" w:rsidRPr="00A4105D" w:rsidRDefault="00A4105D" w:rsidP="00F004B4">
      <w:pPr>
        <w:tabs>
          <w:tab w:val="num" w:pos="0"/>
        </w:tabs>
        <w:adjustRightInd w:val="0"/>
        <w:spacing w:line="276" w:lineRule="auto"/>
        <w:ind w:firstLine="851"/>
        <w:jc w:val="both"/>
        <w:rPr>
          <w:bCs/>
        </w:rPr>
      </w:pPr>
      <w:r w:rsidRPr="00A4105D">
        <w:rPr>
          <w:bCs/>
        </w:rPr>
        <w:t>4.</w:t>
      </w:r>
      <w:r w:rsidRPr="00A4105D">
        <w:rPr>
          <w:bCs/>
        </w:rPr>
        <w:tab/>
        <w:t xml:space="preserve">Регламент (ЕС) 2024/791 на Европейския парламент и на Съвета от 28 февруари 2024 година за изменение на Регламент (ЕС) № 600/2014 във връзка с повишаване на прозрачността на данните, премахване на пречките пред създаването на системи за консолидирани данни, оптимизиране на задълженията за търговия и забрана за получаване на плащане за поток от нареждания. Влиза в сила на 17.04.2024 г. Съгласно Известие от 21.03.2024 г. </w:t>
      </w:r>
      <w:r w:rsidR="00F87759">
        <w:rPr>
          <w:bCs/>
        </w:rPr>
        <w:t>ЕОЦКП</w:t>
      </w:r>
      <w:r w:rsidR="00F87759" w:rsidRPr="00A4105D">
        <w:rPr>
          <w:bCs/>
        </w:rPr>
        <w:t xml:space="preserve"> </w:t>
      </w:r>
      <w:r w:rsidRPr="00A4105D">
        <w:rPr>
          <w:bCs/>
        </w:rPr>
        <w:t>обяви, че е необходимо издаването на ръководство по прилагането на чл. 54 (3) от Регламент (ЕС) № 600/2014, предвиждащ удължаване на действието на делегираните актове, приети преди 28 март 2024 г., до извършването на окончателния им преглед. ЕK ще публикува тълкувателно съобщение относно преходния период по прилагане на регламента.</w:t>
      </w:r>
    </w:p>
    <w:p w14:paraId="30F27F58" w14:textId="77777777" w:rsidR="00A4105D" w:rsidRPr="00A4105D" w:rsidRDefault="00A4105D" w:rsidP="00F004B4">
      <w:pPr>
        <w:tabs>
          <w:tab w:val="num" w:pos="0"/>
        </w:tabs>
        <w:adjustRightInd w:val="0"/>
        <w:spacing w:line="276" w:lineRule="auto"/>
        <w:ind w:firstLine="851"/>
        <w:jc w:val="both"/>
        <w:rPr>
          <w:bCs/>
        </w:rPr>
      </w:pPr>
      <w:r w:rsidRPr="00A4105D">
        <w:rPr>
          <w:bCs/>
        </w:rPr>
        <w:t>5.</w:t>
      </w:r>
      <w:r w:rsidRPr="00A4105D">
        <w:rPr>
          <w:bCs/>
        </w:rPr>
        <w:tab/>
        <w:t xml:space="preserve">Регламент (ЕС) 2023/2845 на Европейския парламент и на Съвета от 13 декември 2023 година за изменение на Регламент (ЕС) № 909/2014 по отношение на дисциплината при сетълмента, трансграничното предоставяне на услуги, сътрудничеството между надзорните органи, предоставянето на спомагателни услуги от банков тип и изискванията към централните депозитари на ценни книжа от трети държави и за изменение на Регламент (ЕС) № 236/2012. Регламентът се прилага от 16 януари 2024 г. </w:t>
      </w:r>
    </w:p>
    <w:p w14:paraId="620C2922" w14:textId="656B4DE9" w:rsidR="00A4105D" w:rsidRPr="00A4105D" w:rsidRDefault="00A4105D" w:rsidP="00F004B4">
      <w:pPr>
        <w:tabs>
          <w:tab w:val="num" w:pos="0"/>
        </w:tabs>
        <w:adjustRightInd w:val="0"/>
        <w:spacing w:line="276" w:lineRule="auto"/>
        <w:ind w:firstLine="851"/>
        <w:jc w:val="both"/>
        <w:rPr>
          <w:bCs/>
        </w:rPr>
      </w:pPr>
      <w:r w:rsidRPr="00A4105D">
        <w:rPr>
          <w:bCs/>
        </w:rPr>
        <w:t>6.</w:t>
      </w:r>
      <w:r w:rsidRPr="00A4105D">
        <w:rPr>
          <w:bCs/>
        </w:rPr>
        <w:tab/>
        <w:t xml:space="preserve">Регламент (ЕС) 2023/2859 на Европейския парламент и на Съвета от 13 декември 2023 година за създаване на европейска единна точка за достъп, осигуряваща централизиран достъп до публично достъпна информация от значение за финансовите услуги, капиталовите пазари и устойчивото развитие. Регламентът </w:t>
      </w:r>
      <w:r w:rsidR="00EF0BEE">
        <w:rPr>
          <w:bCs/>
        </w:rPr>
        <w:t>се прилага</w:t>
      </w:r>
      <w:r w:rsidRPr="00A4105D">
        <w:rPr>
          <w:bCs/>
        </w:rPr>
        <w:t xml:space="preserve"> от 9 януари 2024 г. </w:t>
      </w:r>
    </w:p>
    <w:p w14:paraId="0792F936" w14:textId="0C985948" w:rsidR="00A4105D" w:rsidRPr="00A4105D" w:rsidRDefault="00A4105D" w:rsidP="00F004B4">
      <w:pPr>
        <w:tabs>
          <w:tab w:val="num" w:pos="0"/>
        </w:tabs>
        <w:adjustRightInd w:val="0"/>
        <w:spacing w:line="276" w:lineRule="auto"/>
        <w:ind w:firstLine="851"/>
        <w:jc w:val="both"/>
        <w:rPr>
          <w:bCs/>
        </w:rPr>
      </w:pPr>
      <w:r w:rsidRPr="00A4105D">
        <w:rPr>
          <w:bCs/>
        </w:rPr>
        <w:t>7.</w:t>
      </w:r>
      <w:r w:rsidRPr="00A4105D">
        <w:rPr>
          <w:bCs/>
        </w:rPr>
        <w:tab/>
        <w:t xml:space="preserve">Регламент (ЕС) 2023/2869 на Европейския парламент и на Съвета от 13 декември 2023 г. за изменение на някои регламенти във връзка със създаването и функционирането на европейската единна точка за достъп. Регламентът </w:t>
      </w:r>
      <w:r w:rsidR="00EF0BEE">
        <w:rPr>
          <w:bCs/>
        </w:rPr>
        <w:t>се прилага</w:t>
      </w:r>
      <w:r w:rsidRPr="00A4105D">
        <w:rPr>
          <w:bCs/>
        </w:rPr>
        <w:t xml:space="preserve"> от 9 януари 2024 г. </w:t>
      </w:r>
    </w:p>
    <w:p w14:paraId="2C6F49C3" w14:textId="77777777" w:rsidR="00A4105D" w:rsidRPr="00A4105D" w:rsidRDefault="00A4105D" w:rsidP="00F004B4">
      <w:pPr>
        <w:tabs>
          <w:tab w:val="num" w:pos="0"/>
        </w:tabs>
        <w:adjustRightInd w:val="0"/>
        <w:spacing w:line="276" w:lineRule="auto"/>
        <w:ind w:firstLine="851"/>
        <w:jc w:val="both"/>
        <w:rPr>
          <w:bCs/>
        </w:rPr>
      </w:pPr>
      <w:r w:rsidRPr="00A4105D">
        <w:rPr>
          <w:bCs/>
        </w:rPr>
        <w:t>8.</w:t>
      </w:r>
      <w:r w:rsidRPr="00A4105D">
        <w:rPr>
          <w:bCs/>
        </w:rPr>
        <w:tab/>
        <w:t>Регламент (ЕС) 2024/1106 на Европейския парламент и на Съвета от 11 април 2024 година за изменение на регламенти (ЕС) № 1227/2011 и (ЕС) 2019/942 във връзка с подобряването на защитата на Съюза срещу манипулиране на пазара за търговия на едро с енергия. Регламентът влиза в сила на 7 май 2024 г. Чрез дерогация от параграф 1 се прилагат следните дати: а) член 1, точки 6 и 13, по отношение на членове 4а, параграфи 1 — 7 и член 9а, параграфи 1 — 5 от Регламент (ЕС) № 1227/2011, се прилагат на датата, на която делегираните актове, приети съгласно посочените точки, влизат в сила; б) член 1, точка 10, по отношение на членове 7а — 7д от Регламент (ЕС) № 1227/2011, се прилага от 1 януари 2025 г.; в) член 1, точка 18 по отношение на член 15, параграф 2 от Регламент (ЕС) № 1227/2011 се прилага от 8 ноември 2024 г.</w:t>
      </w:r>
    </w:p>
    <w:p w14:paraId="446D79B5" w14:textId="77777777" w:rsidR="00A4105D" w:rsidRPr="00A4105D" w:rsidRDefault="00A4105D" w:rsidP="00F004B4">
      <w:pPr>
        <w:tabs>
          <w:tab w:val="num" w:pos="0"/>
        </w:tabs>
        <w:adjustRightInd w:val="0"/>
        <w:spacing w:line="276" w:lineRule="auto"/>
        <w:ind w:firstLine="851"/>
        <w:jc w:val="both"/>
        <w:rPr>
          <w:bCs/>
        </w:rPr>
      </w:pPr>
      <w:r w:rsidRPr="00A4105D">
        <w:rPr>
          <w:bCs/>
        </w:rPr>
        <w:t>9.</w:t>
      </w:r>
      <w:r w:rsidRPr="00A4105D">
        <w:rPr>
          <w:bCs/>
        </w:rPr>
        <w:tab/>
        <w:t xml:space="preserve">Регламент (ЕС) 2024/1624 на Европейския парламент и на Съвета от 31 май 2024 година за предотвратяване на използването на финансовата система за целите на </w:t>
      </w:r>
      <w:r w:rsidRPr="00A4105D">
        <w:rPr>
          <w:bCs/>
        </w:rPr>
        <w:lastRenderedPageBreak/>
        <w:t>изпирането на пари или финансирането на тероризма. Регламентът се прилага от 10 юли 2027 г., с изключение във връзка със задължени субекти, посочени в член 3, точка 3, буква н), за които се прилага от 10 юли 2029 г.</w:t>
      </w:r>
    </w:p>
    <w:p w14:paraId="36E2F39D" w14:textId="77777777" w:rsidR="00A4105D" w:rsidRPr="00A4105D" w:rsidRDefault="00A4105D" w:rsidP="00F004B4">
      <w:pPr>
        <w:tabs>
          <w:tab w:val="num" w:pos="0"/>
        </w:tabs>
        <w:adjustRightInd w:val="0"/>
        <w:spacing w:line="276" w:lineRule="auto"/>
        <w:ind w:firstLine="851"/>
        <w:jc w:val="both"/>
        <w:rPr>
          <w:bCs/>
        </w:rPr>
      </w:pPr>
      <w:r w:rsidRPr="00A4105D">
        <w:rPr>
          <w:bCs/>
        </w:rPr>
        <w:t>10.</w:t>
      </w:r>
      <w:r w:rsidRPr="00A4105D">
        <w:rPr>
          <w:bCs/>
        </w:rPr>
        <w:tab/>
        <w:t xml:space="preserve">Регламент (ЕС) 2024/2809 на Европейския парламент и на Съвета от 23 октомври 2024 година за изменение на регламенти (ЕС) 2017/1129, (ЕС) № 596/2014 и (ЕС) № 600/2014 с цел повишаване на привлекателността на публичните капиталови пазари в Съюза за дружествата и улесняване на достъпа до капитал за малките и средните предприятия. Член 1, точка 7, буква ж) и точки 11 – 14 се прилагат от 5 март 2026 г. Член 1, точка 3, точка 6, букви б) и в), точка 7, букви а) – е), точка 10, буква а), точки i), ii) и iii), точка 10, букви б) и в) и точка 21, буква а) по отношение на член 27, параграф 1 от Регламент (ЕС) 2017/1129 и член 2, точка 6, букви а), б), в) и д) от настоящия регламент за изменение се прилагат от 5 юни 2026 г. </w:t>
      </w:r>
    </w:p>
    <w:p w14:paraId="3BA8A63A" w14:textId="77777777" w:rsidR="00A4105D" w:rsidRPr="00A4105D" w:rsidRDefault="00A4105D" w:rsidP="00F004B4">
      <w:pPr>
        <w:tabs>
          <w:tab w:val="num" w:pos="0"/>
        </w:tabs>
        <w:adjustRightInd w:val="0"/>
        <w:spacing w:line="276" w:lineRule="auto"/>
        <w:ind w:firstLine="851"/>
        <w:jc w:val="both"/>
        <w:rPr>
          <w:bCs/>
        </w:rPr>
      </w:pPr>
      <w:r w:rsidRPr="00A4105D">
        <w:rPr>
          <w:bCs/>
        </w:rPr>
        <w:t>11.</w:t>
      </w:r>
      <w:r w:rsidRPr="00A4105D">
        <w:rPr>
          <w:bCs/>
        </w:rPr>
        <w:tab/>
        <w:t>Регламент (ЕС) 2024/1620 на Европейския парламент и на Съвета oт 31 май 2024 година за създаване на Орган за борба с изпирането на пари и финансирането на тероризма и за изменение на регламенти (ЕС) № 1093/2010, (ЕС) № 1094/2010 и (ЕС) № 1095/2010. Регламентът се прилага от 1 юли 2025 г.</w:t>
      </w:r>
    </w:p>
    <w:p w14:paraId="4FFDD0E4" w14:textId="77777777" w:rsidR="00A4105D" w:rsidRPr="00A4105D" w:rsidRDefault="00A4105D" w:rsidP="00F004B4">
      <w:pPr>
        <w:tabs>
          <w:tab w:val="num" w:pos="0"/>
        </w:tabs>
        <w:adjustRightInd w:val="0"/>
        <w:spacing w:line="276" w:lineRule="auto"/>
        <w:ind w:firstLine="851"/>
        <w:jc w:val="both"/>
        <w:rPr>
          <w:bCs/>
        </w:rPr>
      </w:pPr>
      <w:r w:rsidRPr="00A4105D">
        <w:rPr>
          <w:bCs/>
        </w:rPr>
        <w:t>12.</w:t>
      </w:r>
      <w:r w:rsidRPr="00A4105D">
        <w:rPr>
          <w:bCs/>
        </w:rPr>
        <w:tab/>
        <w:t>Регламент (ЕС) 2024/1624 на Европейския парламент и на Съвета от 31 май 2024 година за предотвратяване на използването на финансовата система за целите на изпирането на пари или финансирането на тероризма. Регламентът се прилага от 10 юли 2027 г., с изключение във връзка със задължени субекти, посочени в член 3, точка 3, буква н), за които се прилага от 10 юли 2029 г.</w:t>
      </w:r>
    </w:p>
    <w:p w14:paraId="5743A227" w14:textId="77777777" w:rsidR="00A4105D" w:rsidRPr="00A4105D" w:rsidRDefault="00A4105D" w:rsidP="00F004B4">
      <w:pPr>
        <w:tabs>
          <w:tab w:val="num" w:pos="0"/>
        </w:tabs>
        <w:adjustRightInd w:val="0"/>
        <w:spacing w:line="276" w:lineRule="auto"/>
        <w:ind w:firstLine="851"/>
        <w:jc w:val="both"/>
        <w:rPr>
          <w:bCs/>
        </w:rPr>
      </w:pPr>
      <w:r w:rsidRPr="00A4105D">
        <w:rPr>
          <w:bCs/>
        </w:rPr>
        <w:t>13.</w:t>
      </w:r>
      <w:r w:rsidRPr="00A4105D">
        <w:rPr>
          <w:bCs/>
        </w:rPr>
        <w:tab/>
        <w:t>Регламент (ЕС) 2024/2987 на Европейския парламент и на Съвета от 27 ноември 2024 година за изменение на регламенти (ЕС) № 648/2012, (ЕС) № 575/2013 и (ЕС) 2017/1131 по отношение на мерките за ограничаване на прекомерните експозиции към централни контрагенти от трети държави и за подобряване на ефективността на клиринговите пазари на Съюза. Регламентът се прилага от 24 декември 2024 г., с изключение на член 1, точки 4 и 9, които изменят съответно член 4а, параграфи 1, 2 и 3 и член 10, параграфи 1, 2 и 3 от Регламент (ЕС) № 648/2012, които не се прилагат до датата на влизане в сила на регулаторните технически стандарти, посочени в член 10, параграф 4 от Регламент (ЕС) № 648/2012, изменен с член 1, точка 9 от същия регламент.</w:t>
      </w:r>
    </w:p>
    <w:p w14:paraId="58B09E83" w14:textId="4A5B79E2" w:rsidR="00A4105D" w:rsidRPr="00A4105D" w:rsidRDefault="00A4105D" w:rsidP="00F004B4">
      <w:pPr>
        <w:tabs>
          <w:tab w:val="num" w:pos="0"/>
        </w:tabs>
        <w:adjustRightInd w:val="0"/>
        <w:spacing w:line="276" w:lineRule="auto"/>
        <w:ind w:firstLine="851"/>
        <w:jc w:val="both"/>
        <w:rPr>
          <w:bCs/>
        </w:rPr>
      </w:pPr>
      <w:r w:rsidRPr="00A4105D">
        <w:rPr>
          <w:bCs/>
        </w:rPr>
        <w:t>14.</w:t>
      </w:r>
      <w:r w:rsidRPr="00A4105D">
        <w:rPr>
          <w:bCs/>
        </w:rPr>
        <w:tab/>
        <w:t xml:space="preserve">Регламент (ЕС) 2024/2847 на Европейския парламент и на Съвета от 23 октомври 2024 година относно хоризонтални изисквания за киберсигурност за продукти с цифрови елементи и за изменение на регламенти (ЕС) № 168/2013 и (ЕС) 2019/1020 и Директива (ЕС) 2020/1828 (Акт за киберустойчивост). Регламентът </w:t>
      </w:r>
      <w:r w:rsidR="00EF0BEE">
        <w:rPr>
          <w:bCs/>
        </w:rPr>
        <w:t xml:space="preserve">ще </w:t>
      </w:r>
      <w:r w:rsidRPr="00A4105D">
        <w:rPr>
          <w:bCs/>
        </w:rPr>
        <w:t>се прилага от 11 декември 2027 г.</w:t>
      </w:r>
    </w:p>
    <w:p w14:paraId="0ABDFA75" w14:textId="7B8F9C72" w:rsidR="00A4105D" w:rsidRPr="00A4105D" w:rsidRDefault="00A4105D" w:rsidP="00F004B4">
      <w:pPr>
        <w:tabs>
          <w:tab w:val="num" w:pos="0"/>
        </w:tabs>
        <w:adjustRightInd w:val="0"/>
        <w:spacing w:line="276" w:lineRule="auto"/>
        <w:ind w:firstLine="851"/>
        <w:jc w:val="both"/>
        <w:rPr>
          <w:bCs/>
        </w:rPr>
      </w:pPr>
      <w:r w:rsidRPr="00A4105D">
        <w:rPr>
          <w:bCs/>
        </w:rPr>
        <w:t>15.</w:t>
      </w:r>
      <w:r w:rsidRPr="00A4105D">
        <w:rPr>
          <w:bCs/>
        </w:rPr>
        <w:tab/>
        <w:t xml:space="preserve">Регламент (ЕС) 2024/2747 на Европейския парламент и на Съвета от 9 октомври 2024 година за създаване на рамка от мерки, отнасящи се до извънредните ситуации на вътрешния пазар и до устойчивостта на вътрешния пазар и за изменение на Регламент (ЕО) № 2679/98 на Съвета (Aкт за извънредните ситуации и устойчивостта на вътрешния пазар). Регламентът </w:t>
      </w:r>
      <w:r w:rsidR="00EF0BEE">
        <w:rPr>
          <w:bCs/>
        </w:rPr>
        <w:t xml:space="preserve">ще </w:t>
      </w:r>
      <w:r w:rsidRPr="00A4105D">
        <w:rPr>
          <w:bCs/>
        </w:rPr>
        <w:t>се прилага от 29 май 2026 г.</w:t>
      </w:r>
    </w:p>
    <w:p w14:paraId="353E1F70" w14:textId="12F20A2B" w:rsidR="00A4105D" w:rsidRPr="00A4105D" w:rsidRDefault="00A4105D" w:rsidP="00F004B4">
      <w:pPr>
        <w:tabs>
          <w:tab w:val="num" w:pos="0"/>
        </w:tabs>
        <w:adjustRightInd w:val="0"/>
        <w:spacing w:line="276" w:lineRule="auto"/>
        <w:ind w:firstLine="851"/>
        <w:jc w:val="both"/>
        <w:rPr>
          <w:bCs/>
        </w:rPr>
      </w:pPr>
      <w:r w:rsidRPr="00A4105D">
        <w:rPr>
          <w:bCs/>
        </w:rPr>
        <w:lastRenderedPageBreak/>
        <w:t>16.</w:t>
      </w:r>
      <w:r w:rsidRPr="00A4105D">
        <w:rPr>
          <w:bCs/>
        </w:rPr>
        <w:tab/>
        <w:t xml:space="preserve">Регламент (ЕС) 2024/2748 на Европейския парламент и на Съвета от 9 октомври 2024 година за изменение на регламенти (ЕС) № 305/2011, (ЕС) 2016/424, (ЕС) 2016/425, (ЕС) 2016/426, (ЕС) 2023/988 и (ЕС) 2023/1230 с оглед на процедурите при извънредни ситуации за оценяване на съответствието, презумпция за съответствие, приемане на общи спецификации и надзор на пазара при извънредна ситуация на вътрешния пазар. Регламентът </w:t>
      </w:r>
      <w:r w:rsidR="00EF0BEE">
        <w:rPr>
          <w:bCs/>
        </w:rPr>
        <w:t xml:space="preserve">ще </w:t>
      </w:r>
      <w:r w:rsidRPr="00A4105D">
        <w:rPr>
          <w:bCs/>
        </w:rPr>
        <w:t>се прилага от 29 май 2026 г.;</w:t>
      </w:r>
    </w:p>
    <w:p w14:paraId="2B48E9B9" w14:textId="263E7F24" w:rsidR="00A4105D" w:rsidRPr="00A4105D" w:rsidRDefault="00A4105D" w:rsidP="00F004B4">
      <w:pPr>
        <w:tabs>
          <w:tab w:val="num" w:pos="0"/>
        </w:tabs>
        <w:adjustRightInd w:val="0"/>
        <w:spacing w:line="276" w:lineRule="auto"/>
        <w:ind w:firstLine="851"/>
        <w:jc w:val="both"/>
        <w:rPr>
          <w:bCs/>
        </w:rPr>
      </w:pPr>
      <w:r w:rsidRPr="00A4105D">
        <w:rPr>
          <w:bCs/>
        </w:rPr>
        <w:t>17.</w:t>
      </w:r>
      <w:r w:rsidRPr="00A4105D">
        <w:rPr>
          <w:bCs/>
        </w:rPr>
        <w:tab/>
        <w:t xml:space="preserve">Регламент (ЕС) 2025/914 на Европейския парламент и на Съвета от 7 май 2025 година за изменение на Регламент (ЕС) 2016/1011 по отношение на обхвата на правилата за бенчмарковете, използването в Съюза на бенчмаркове, изготвяни от администратор, намиращ се в трета държава, и някои изисквания за докладване. Регламентът </w:t>
      </w:r>
      <w:r w:rsidR="00EF0BEE">
        <w:rPr>
          <w:bCs/>
        </w:rPr>
        <w:t xml:space="preserve">ще </w:t>
      </w:r>
      <w:r w:rsidRPr="00A4105D">
        <w:rPr>
          <w:bCs/>
        </w:rPr>
        <w:t>се прилага от 1 януари 2026 г.</w:t>
      </w:r>
    </w:p>
    <w:p w14:paraId="273B3679" w14:textId="49535B41" w:rsidR="00A4105D" w:rsidRPr="00A4105D" w:rsidRDefault="00A4105D" w:rsidP="00F004B4">
      <w:pPr>
        <w:tabs>
          <w:tab w:val="num" w:pos="0"/>
        </w:tabs>
        <w:adjustRightInd w:val="0"/>
        <w:spacing w:line="276" w:lineRule="auto"/>
        <w:ind w:firstLine="851"/>
        <w:jc w:val="both"/>
        <w:rPr>
          <w:bCs/>
        </w:rPr>
      </w:pPr>
      <w:r w:rsidRPr="00A4105D">
        <w:rPr>
          <w:bCs/>
        </w:rPr>
        <w:t>18.</w:t>
      </w:r>
      <w:r w:rsidRPr="00A4105D">
        <w:rPr>
          <w:bCs/>
        </w:rPr>
        <w:tab/>
        <w:t xml:space="preserve">Регламент (ЕС) 2024/3005 на Европейския парламент и на Съвета от 27 ноември 2024 година относно прозрачността и интегритета на дейностите по определяне на рейтинг от екологичен, социален и управленски характер (ЕСУ рейтинги) и за изменение на регламенти (ЕС) 2019/2088 и (ЕС) 2023/2859. Регламентът </w:t>
      </w:r>
      <w:r w:rsidR="00EF0BEE">
        <w:rPr>
          <w:bCs/>
        </w:rPr>
        <w:t xml:space="preserve">ще </w:t>
      </w:r>
      <w:r w:rsidRPr="00A4105D">
        <w:rPr>
          <w:bCs/>
        </w:rPr>
        <w:t>се прилага от 2 юли 2026 г.</w:t>
      </w:r>
    </w:p>
    <w:p w14:paraId="25A598C0" w14:textId="77777777" w:rsidR="00A4105D" w:rsidRPr="00A4105D" w:rsidRDefault="00A4105D" w:rsidP="00F004B4">
      <w:pPr>
        <w:tabs>
          <w:tab w:val="num" w:pos="0"/>
        </w:tabs>
        <w:adjustRightInd w:val="0"/>
        <w:spacing w:line="276" w:lineRule="auto"/>
        <w:ind w:firstLine="851"/>
        <w:jc w:val="both"/>
        <w:rPr>
          <w:bCs/>
        </w:rPr>
      </w:pPr>
      <w:r w:rsidRPr="00A4105D">
        <w:rPr>
          <w:bCs/>
        </w:rPr>
        <w:t>19.</w:t>
      </w:r>
      <w:r w:rsidRPr="00A4105D">
        <w:rPr>
          <w:bCs/>
        </w:rPr>
        <w:tab/>
        <w:t>Регламент (ЕС) 2025/37 на Европейския парламент и на Съвета от 19 декември 2024 година за изменение на Регламент (ЕС) 2019/881 по отношение на управляваните услуги за сигурност. Регламентът се прилага от 9 януари 2025 г.</w:t>
      </w:r>
    </w:p>
    <w:p w14:paraId="2CB35C51" w14:textId="4127BF0E" w:rsidR="008D747C" w:rsidRDefault="00A4105D" w:rsidP="00F004B4">
      <w:pPr>
        <w:tabs>
          <w:tab w:val="num" w:pos="0"/>
        </w:tabs>
        <w:adjustRightInd w:val="0"/>
        <w:spacing w:line="276" w:lineRule="auto"/>
        <w:ind w:firstLine="851"/>
        <w:jc w:val="both"/>
        <w:rPr>
          <w:bCs/>
        </w:rPr>
      </w:pPr>
      <w:r w:rsidRPr="00A4105D">
        <w:rPr>
          <w:bCs/>
        </w:rPr>
        <w:t>20.</w:t>
      </w:r>
      <w:r w:rsidRPr="00A4105D">
        <w:rPr>
          <w:bCs/>
        </w:rPr>
        <w:tab/>
        <w:t>Регламент (ЕС) 2025/38 на Европейския парламент и на Съвета от 19 декември 2024 година за определяне на мерки за укрепване на солидарността и способностите на Съюза за откриване, подготовка и реагиране при киберзаплахи и инциденти, и за изменение на Регламент (ЕС) 2021/694. Регламентът се прилага от 9 януари 2025 г.</w:t>
      </w:r>
    </w:p>
    <w:p w14:paraId="2CD9588D" w14:textId="77777777" w:rsidR="00927B56" w:rsidRPr="00A4105D" w:rsidRDefault="00927B56" w:rsidP="00F004B4">
      <w:pPr>
        <w:tabs>
          <w:tab w:val="num" w:pos="0"/>
        </w:tabs>
        <w:adjustRightInd w:val="0"/>
        <w:spacing w:line="276" w:lineRule="auto"/>
        <w:ind w:firstLine="851"/>
        <w:jc w:val="both"/>
        <w:rPr>
          <w:bCs/>
        </w:rPr>
      </w:pPr>
    </w:p>
    <w:p w14:paraId="77E96451" w14:textId="77777777" w:rsidR="00D22EE1" w:rsidRPr="00251EEB" w:rsidRDefault="00D22EE1" w:rsidP="00F004B4">
      <w:pPr>
        <w:tabs>
          <w:tab w:val="num" w:pos="0"/>
        </w:tabs>
        <w:adjustRightInd w:val="0"/>
        <w:spacing w:line="276" w:lineRule="auto"/>
        <w:ind w:firstLine="851"/>
        <w:jc w:val="both"/>
        <w:rPr>
          <w:b/>
          <w:bCs/>
        </w:rPr>
      </w:pPr>
      <w:r w:rsidRPr="00251EEB">
        <w:rPr>
          <w:b/>
          <w:bCs/>
        </w:rPr>
        <w:t>III. Насоки, които предвиждат изменения в нормативната уредба, поради факта, че КФН е декларирала, че ще ги спазва:</w:t>
      </w:r>
    </w:p>
    <w:p w14:paraId="4FBA6FE9" w14:textId="72B43FD1" w:rsidR="00D22EE1" w:rsidRDefault="00D22EE1" w:rsidP="00F004B4">
      <w:pPr>
        <w:tabs>
          <w:tab w:val="num" w:pos="0"/>
        </w:tabs>
        <w:adjustRightInd w:val="0"/>
        <w:spacing w:line="276" w:lineRule="auto"/>
        <w:ind w:firstLine="851"/>
        <w:jc w:val="both"/>
        <w:rPr>
          <w:bCs/>
        </w:rPr>
      </w:pPr>
      <w:r w:rsidRPr="00251EEB">
        <w:rPr>
          <w:bCs/>
        </w:rPr>
        <w:t xml:space="preserve">Информация за решенията на КФН относно спазване или възнамеряване за спазване на Насоките на Европейските органи са публикувани в регистъра на КФН, който е публичен и се намира на следния адрес: https://www.fsc.bg/?page_id=49011.   </w:t>
      </w:r>
    </w:p>
    <w:p w14:paraId="08013B47" w14:textId="77777777" w:rsidR="00927B56" w:rsidRPr="00251EEB" w:rsidRDefault="00927B56" w:rsidP="00F004B4">
      <w:pPr>
        <w:tabs>
          <w:tab w:val="num" w:pos="0"/>
        </w:tabs>
        <w:adjustRightInd w:val="0"/>
        <w:spacing w:line="276" w:lineRule="auto"/>
        <w:ind w:firstLine="851"/>
        <w:jc w:val="both"/>
        <w:rPr>
          <w:bCs/>
        </w:rPr>
      </w:pPr>
    </w:p>
    <w:p w14:paraId="3E641A7B" w14:textId="77777777" w:rsidR="00D22EE1" w:rsidRPr="00251EEB" w:rsidRDefault="00D22EE1" w:rsidP="00F004B4">
      <w:pPr>
        <w:tabs>
          <w:tab w:val="num" w:pos="0"/>
        </w:tabs>
        <w:adjustRightInd w:val="0"/>
        <w:spacing w:line="276" w:lineRule="auto"/>
        <w:ind w:firstLine="851"/>
        <w:jc w:val="both"/>
        <w:rPr>
          <w:b/>
          <w:bCs/>
        </w:rPr>
      </w:pPr>
      <w:r w:rsidRPr="00251EEB">
        <w:rPr>
          <w:b/>
          <w:bCs/>
        </w:rPr>
        <w:t xml:space="preserve">IV. Препоръки от проведени партньорски проверки от </w:t>
      </w:r>
      <w:r w:rsidR="008D747C" w:rsidRPr="00251EEB">
        <w:rPr>
          <w:b/>
          <w:bCs/>
        </w:rPr>
        <w:t>ЕОЦКП</w:t>
      </w:r>
      <w:r w:rsidRPr="00251EEB">
        <w:rPr>
          <w:b/>
          <w:bCs/>
        </w:rPr>
        <w:t xml:space="preserve"> и </w:t>
      </w:r>
      <w:r w:rsidR="008D747C" w:rsidRPr="00251EEB">
        <w:rPr>
          <w:b/>
          <w:bCs/>
        </w:rPr>
        <w:t>ЕОЗППО</w:t>
      </w:r>
      <w:r w:rsidRPr="00251EEB">
        <w:rPr>
          <w:b/>
          <w:bCs/>
        </w:rPr>
        <w:t xml:space="preserve"> – препоръките на Европейските органи са задължителни за КФН, следва да се изпълнят и подлежат на последваща проверка.</w:t>
      </w:r>
    </w:p>
    <w:p w14:paraId="5BEC0BC1" w14:textId="77777777" w:rsidR="00251EEB" w:rsidRPr="00251EEB" w:rsidRDefault="00251EEB" w:rsidP="00F004B4">
      <w:pPr>
        <w:numPr>
          <w:ilvl w:val="0"/>
          <w:numId w:val="28"/>
        </w:numPr>
        <w:spacing w:after="120" w:line="276" w:lineRule="auto"/>
        <w:jc w:val="both"/>
      </w:pPr>
      <w:r w:rsidRPr="00251EEB">
        <w:t xml:space="preserve">Peer Review on Prudent Person Principle (PPP), преписка 32-02-11/2024 г. </w:t>
      </w:r>
    </w:p>
    <w:p w14:paraId="098BC88D" w14:textId="77777777" w:rsidR="00251EEB" w:rsidRPr="00251EEB" w:rsidRDefault="00251EEB" w:rsidP="00F004B4">
      <w:pPr>
        <w:numPr>
          <w:ilvl w:val="0"/>
          <w:numId w:val="28"/>
        </w:numPr>
        <w:spacing w:after="120" w:line="276" w:lineRule="auto"/>
        <w:jc w:val="both"/>
      </w:pPr>
      <w:r w:rsidRPr="00251EEB">
        <w:t>Follow-up on Peer Review on EIOPA's Decision on Collaboration: Assessment (BG), преписка 32-02-24/2024 г. и преписка 32-02-24 от 18.02.2025 г.</w:t>
      </w:r>
    </w:p>
    <w:p w14:paraId="5299901B" w14:textId="77777777" w:rsidR="00251EEB" w:rsidRPr="00251EEB" w:rsidRDefault="00251EEB" w:rsidP="00F004B4">
      <w:pPr>
        <w:numPr>
          <w:ilvl w:val="0"/>
          <w:numId w:val="28"/>
        </w:numPr>
        <w:spacing w:after="120" w:line="276" w:lineRule="auto"/>
        <w:jc w:val="both"/>
      </w:pPr>
      <w:r w:rsidRPr="00251EEB">
        <w:t xml:space="preserve"> Follow-up on the Peer review on Outsourcing - DL 24 January 2025, преписка - № 32-02-42 от 3 декември 2024 г.</w:t>
      </w:r>
    </w:p>
    <w:p w14:paraId="6F9B1921" w14:textId="77777777" w:rsidR="00D22EE1" w:rsidRPr="00251EEB" w:rsidRDefault="00D22EE1" w:rsidP="00F004B4">
      <w:pPr>
        <w:tabs>
          <w:tab w:val="num" w:pos="0"/>
        </w:tabs>
        <w:adjustRightInd w:val="0"/>
        <w:spacing w:line="276" w:lineRule="auto"/>
        <w:ind w:firstLine="851"/>
        <w:jc w:val="both"/>
        <w:rPr>
          <w:b/>
          <w:bCs/>
        </w:rPr>
      </w:pPr>
      <w:r w:rsidRPr="00251EEB">
        <w:rPr>
          <w:b/>
          <w:bCs/>
        </w:rPr>
        <w:t>V. Нови законодателни предложения, които се очаква да бъдат приключени през 2024/25 г.</w:t>
      </w:r>
    </w:p>
    <w:p w14:paraId="5C46C065" w14:textId="77777777" w:rsidR="00251EEB" w:rsidRPr="004A2943" w:rsidRDefault="00251EEB" w:rsidP="00F004B4">
      <w:pPr>
        <w:pStyle w:val="ListParagraph"/>
        <w:spacing w:after="160" w:line="276" w:lineRule="auto"/>
        <w:rPr>
          <w:b/>
        </w:rPr>
      </w:pPr>
      <w:r w:rsidRPr="004A2943">
        <w:rPr>
          <w:b/>
        </w:rPr>
        <w:lastRenderedPageBreak/>
        <w:t>Пакет</w:t>
      </w:r>
      <w:r>
        <w:rPr>
          <w:b/>
        </w:rPr>
        <w:t xml:space="preserve"> от мерки за защита на инвеститорите на дребно</w:t>
      </w:r>
      <w:r w:rsidRPr="004A2943">
        <w:rPr>
          <w:b/>
        </w:rPr>
        <w:t xml:space="preserve">  </w:t>
      </w:r>
    </w:p>
    <w:p w14:paraId="214FCE97" w14:textId="77777777" w:rsidR="00251EEB" w:rsidRDefault="00251EEB" w:rsidP="00F004B4">
      <w:pPr>
        <w:numPr>
          <w:ilvl w:val="0"/>
          <w:numId w:val="29"/>
        </w:numPr>
        <w:spacing w:line="276" w:lineRule="auto"/>
        <w:jc w:val="both"/>
      </w:pPr>
      <w:r>
        <w:t xml:space="preserve">Предложение за директива </w:t>
      </w:r>
      <w:r w:rsidRPr="008F17BC">
        <w:t xml:space="preserve">на Европейския парламент и на Съвета </w:t>
      </w:r>
      <w:r>
        <w:t xml:space="preserve">за изменение на директиви (ЕС) 2009/65/ЕО, 2009/138/ЕО, 2011/61/ЕС, 2014/65/ЕС и (ЕС) 2016/97 по отношение на правилата на Съюза за защита на инвеститорите на </w:t>
      </w:r>
      <w:r w:rsidRPr="00B7373F">
        <w:t>дребно</w:t>
      </w:r>
      <w:r w:rsidRPr="00B7373F">
        <w:rPr>
          <w:lang w:val="en-GB"/>
        </w:rPr>
        <w:t xml:space="preserve"> (</w:t>
      </w:r>
      <w:r w:rsidRPr="00ED0FF6">
        <w:rPr>
          <w:bCs/>
          <w:color w:val="444444"/>
        </w:rPr>
        <w:t>2023/0167/COD</w:t>
      </w:r>
      <w:r w:rsidRPr="00B7373F">
        <w:rPr>
          <w:lang w:val="en-GB"/>
        </w:rPr>
        <w:t>)</w:t>
      </w:r>
      <w:r w:rsidRPr="00B7373F">
        <w:t>;</w:t>
      </w:r>
    </w:p>
    <w:p w14:paraId="0DB53FEA" w14:textId="77777777" w:rsidR="00251EEB" w:rsidRDefault="00251EEB" w:rsidP="00F004B4">
      <w:pPr>
        <w:numPr>
          <w:ilvl w:val="0"/>
          <w:numId w:val="29"/>
        </w:numPr>
        <w:spacing w:line="276" w:lineRule="auto"/>
        <w:jc w:val="both"/>
      </w:pPr>
      <w:r>
        <w:t>Предложение за Регламент на европейския парламент и на съвета за изменение на Регламент (ЕС) № 1286/2014 по отношение на модернизацията на основния информационен документ (</w:t>
      </w:r>
      <w:r w:rsidRPr="00ED0FF6">
        <w:t>2023/0166/COD</w:t>
      </w:r>
      <w:r>
        <w:t>);</w:t>
      </w:r>
    </w:p>
    <w:p w14:paraId="7D61AB4D" w14:textId="77777777" w:rsidR="00251EEB" w:rsidRDefault="00251EEB" w:rsidP="00F004B4">
      <w:pPr>
        <w:pStyle w:val="ListParagraph"/>
        <w:spacing w:after="160" w:line="276" w:lineRule="auto"/>
        <w:rPr>
          <w:b/>
        </w:rPr>
      </w:pPr>
    </w:p>
    <w:p w14:paraId="26F5AB20" w14:textId="77777777" w:rsidR="00251EEB" w:rsidRDefault="00251EEB" w:rsidP="00F004B4">
      <w:pPr>
        <w:pStyle w:val="ListParagraph"/>
        <w:spacing w:after="160" w:line="276" w:lineRule="auto"/>
        <w:rPr>
          <w:b/>
        </w:rPr>
      </w:pPr>
      <w:r w:rsidRPr="00ED0FF6">
        <w:rPr>
          <w:b/>
        </w:rPr>
        <w:t>Sustainability omnibus</w:t>
      </w:r>
    </w:p>
    <w:p w14:paraId="39B2B1BC" w14:textId="77777777" w:rsidR="00251EEB" w:rsidRDefault="00251EEB" w:rsidP="00F004B4">
      <w:pPr>
        <w:pStyle w:val="ListParagraph"/>
        <w:spacing w:after="160" w:line="276" w:lineRule="auto"/>
        <w:rPr>
          <w:b/>
        </w:rPr>
      </w:pPr>
    </w:p>
    <w:p w14:paraId="17593B3D" w14:textId="77777777" w:rsidR="00251EEB" w:rsidRDefault="00251EEB" w:rsidP="00F004B4">
      <w:pPr>
        <w:pStyle w:val="ListParagraph"/>
        <w:spacing w:after="160" w:line="276" w:lineRule="auto"/>
        <w:rPr>
          <w:b/>
        </w:rPr>
      </w:pPr>
      <w:r>
        <w:rPr>
          <w:b/>
        </w:rPr>
        <w:t>Първи Омнибус пакет:</w:t>
      </w:r>
    </w:p>
    <w:p w14:paraId="554240A4" w14:textId="77777777" w:rsidR="00251EEB" w:rsidRPr="00ED0FF6" w:rsidRDefault="00251EEB" w:rsidP="00F004B4">
      <w:pPr>
        <w:numPr>
          <w:ilvl w:val="0"/>
          <w:numId w:val="29"/>
        </w:numPr>
        <w:spacing w:line="276" w:lineRule="auto"/>
        <w:jc w:val="both"/>
      </w:pPr>
      <w:r>
        <w:t xml:space="preserve">Предложение за </w:t>
      </w:r>
      <w:r w:rsidRPr="00ED0FF6">
        <w:t>Директива на Европейския парламент и на Съвета за изменение на директиви 2006/43/ЕО, 2013/34/ЕС, (ЕС) 2022/2464 и (ЕС) 2024/1760 по отношение на някои изисквания за отчитането на предприятията във връзка с устойчивостта и за дължима грижа на дружествата във връзка с устойчивостта</w:t>
      </w:r>
      <w:r>
        <w:t xml:space="preserve"> (</w:t>
      </w:r>
      <w:r w:rsidRPr="00A90085">
        <w:t>2025/0045 (COD)</w:t>
      </w:r>
      <w:r>
        <w:t>)</w:t>
      </w:r>
      <w:r w:rsidRPr="00ED0FF6">
        <w:t>;</w:t>
      </w:r>
    </w:p>
    <w:p w14:paraId="69B6B73B" w14:textId="77777777" w:rsidR="00251EEB" w:rsidRPr="00ED0FF6" w:rsidRDefault="00251EEB" w:rsidP="00F004B4">
      <w:pPr>
        <w:numPr>
          <w:ilvl w:val="0"/>
          <w:numId w:val="29"/>
        </w:numPr>
        <w:spacing w:line="276" w:lineRule="auto"/>
        <w:jc w:val="both"/>
      </w:pPr>
      <w:r w:rsidRPr="00ED0FF6">
        <w:t>Предложение за изменение на Регламент на Европейския парламент и на Съвета за изменение на Регламент (ЕС) № 2023/956 по отношение на опростяването и укрепването на механизма за коригиране на въглеродните емисии на границата/CBAM</w:t>
      </w:r>
      <w:r>
        <w:t xml:space="preserve"> (</w:t>
      </w:r>
      <w:r w:rsidRPr="00A90085">
        <w:t>2025/0039 (COD)</w:t>
      </w:r>
      <w:r>
        <w:t>)</w:t>
      </w:r>
      <w:r w:rsidRPr="00ED0FF6">
        <w:t>;</w:t>
      </w:r>
    </w:p>
    <w:p w14:paraId="21A0429A" w14:textId="77777777" w:rsidR="00251EEB" w:rsidRDefault="00251EEB" w:rsidP="00F004B4">
      <w:pPr>
        <w:pStyle w:val="ListParagraph"/>
        <w:spacing w:after="160" w:line="276" w:lineRule="auto"/>
        <w:rPr>
          <w:b/>
        </w:rPr>
      </w:pPr>
    </w:p>
    <w:p w14:paraId="1C27E491" w14:textId="77777777" w:rsidR="00251EEB" w:rsidRDefault="00251EEB" w:rsidP="00F004B4">
      <w:pPr>
        <w:pStyle w:val="ListParagraph"/>
        <w:spacing w:after="160" w:line="276" w:lineRule="auto"/>
        <w:rPr>
          <w:b/>
        </w:rPr>
      </w:pPr>
      <w:r w:rsidRPr="00135196">
        <w:rPr>
          <w:b/>
        </w:rPr>
        <w:t>Втори Омнибус пакет:</w:t>
      </w:r>
    </w:p>
    <w:p w14:paraId="41784141" w14:textId="77777777" w:rsidR="00251EEB" w:rsidRDefault="00251EEB" w:rsidP="00F004B4">
      <w:pPr>
        <w:numPr>
          <w:ilvl w:val="0"/>
          <w:numId w:val="29"/>
        </w:numPr>
        <w:spacing w:line="276" w:lineRule="auto"/>
        <w:jc w:val="both"/>
      </w:pPr>
      <w:r w:rsidRPr="00ED0FF6">
        <w:t>Предложение за Регламент на Европейския парламент и на Съвета за изменение на Регламенти (ЕС) 2015/1017, (ЕС) 2021/523, (ЕС) 2021/695 и (ЕС) 2021/1153 по отношение на повишаването на ефикасността на гаранцията на ЕС съгласно Регламент (ЕС) 2021/523 и за опростяване на изискванията за докладване /InvestEU (2025/0040 (COD))</w:t>
      </w:r>
      <w:r>
        <w:t>;</w:t>
      </w:r>
    </w:p>
    <w:p w14:paraId="3D6C2564" w14:textId="77777777" w:rsidR="00251EEB" w:rsidRDefault="00251EEB" w:rsidP="00F004B4">
      <w:pPr>
        <w:pStyle w:val="ListParagraph"/>
        <w:spacing w:after="160" w:line="276" w:lineRule="auto"/>
        <w:rPr>
          <w:b/>
        </w:rPr>
      </w:pPr>
    </w:p>
    <w:p w14:paraId="78E351CE" w14:textId="77777777" w:rsidR="00251EEB" w:rsidRPr="00ED0FF6" w:rsidRDefault="00251EEB" w:rsidP="00F004B4">
      <w:pPr>
        <w:pStyle w:val="ListParagraph"/>
        <w:spacing w:after="160" w:line="276" w:lineRule="auto"/>
        <w:rPr>
          <w:b/>
        </w:rPr>
      </w:pPr>
      <w:r w:rsidRPr="00ED0FF6">
        <w:rPr>
          <w:b/>
        </w:rPr>
        <w:t>Четвърти Омнибус пакет:</w:t>
      </w:r>
    </w:p>
    <w:p w14:paraId="43C63BEE" w14:textId="78C0A637" w:rsidR="00251EEB" w:rsidRDefault="00251EEB" w:rsidP="00F004B4">
      <w:pPr>
        <w:numPr>
          <w:ilvl w:val="0"/>
          <w:numId w:val="29"/>
        </w:numPr>
        <w:spacing w:line="276" w:lineRule="auto"/>
        <w:jc w:val="both"/>
      </w:pPr>
      <w:r w:rsidRPr="007031C5">
        <w:t xml:space="preserve">Предложение за </w:t>
      </w:r>
      <w:r>
        <w:t>Директива на Е</w:t>
      </w:r>
      <w:r w:rsidRPr="007031C5">
        <w:t>вропейския парламент и н</w:t>
      </w:r>
      <w:r>
        <w:t>а С</w:t>
      </w:r>
      <w:r w:rsidRPr="007031C5">
        <w:t>ъвета за изменение на директиви 2014/65/ЕС и (ЕС) 2022/2557 по отношение на разширяването на някои смекчаващи мерки, достъпни за малки и средни предприятия, за малки предприятия със средна капитализация и допълнително опростяване на мерките</w:t>
      </w:r>
      <w:r>
        <w:t xml:space="preserve"> (</w:t>
      </w:r>
      <w:r w:rsidRPr="00ED0FF6">
        <w:t>2025/0131 (COD)</w:t>
      </w:r>
      <w:r>
        <w:t>);</w:t>
      </w:r>
    </w:p>
    <w:p w14:paraId="26F5E91D" w14:textId="77777777" w:rsidR="00251EEB" w:rsidRPr="00ED0FF6" w:rsidRDefault="00251EEB" w:rsidP="00F004B4">
      <w:pPr>
        <w:numPr>
          <w:ilvl w:val="0"/>
          <w:numId w:val="29"/>
        </w:numPr>
        <w:spacing w:line="276" w:lineRule="auto"/>
        <w:jc w:val="both"/>
      </w:pPr>
      <w:r w:rsidRPr="007031C5">
        <w:t>Предложение за Р</w:t>
      </w:r>
      <w:r>
        <w:t>егламент на ​​Европейския парламент и на С</w:t>
      </w:r>
      <w:r w:rsidRPr="007031C5">
        <w:t>ъвета за изменение на регламенти (ЕС) 2016/679, (ЕС) 2016/1036, (ЕС) 2016/1037, (ЕС) 2017/1129, (ЕС) 2023/1542 и (ЕС) 2024/573 по отношение на разширяването на някои смекчаващи мерки, достъпни за малки и средни предприятия, за малки предприятия със средна капитализация и допълнителни мерки за опростяване</w:t>
      </w:r>
      <w:r>
        <w:t xml:space="preserve"> (</w:t>
      </w:r>
      <w:r w:rsidRPr="00A90085">
        <w:t>2025/0130/COD</w:t>
      </w:r>
      <w:r>
        <w:t>);</w:t>
      </w:r>
    </w:p>
    <w:p w14:paraId="42FCB43C" w14:textId="77777777" w:rsidR="00251EEB" w:rsidRPr="00ED0FF6" w:rsidRDefault="00251EEB" w:rsidP="00F004B4">
      <w:pPr>
        <w:spacing w:line="276" w:lineRule="auto"/>
        <w:ind w:left="720"/>
        <w:jc w:val="both"/>
        <w:rPr>
          <w:lang w:val="en-US"/>
        </w:rPr>
      </w:pPr>
    </w:p>
    <w:p w14:paraId="739B2C33" w14:textId="77777777" w:rsidR="00251EEB" w:rsidRPr="00594E8C" w:rsidRDefault="00251EEB" w:rsidP="00F004B4">
      <w:pPr>
        <w:pStyle w:val="ListParagraph"/>
        <w:spacing w:after="160" w:line="276" w:lineRule="auto"/>
        <w:rPr>
          <w:b/>
        </w:rPr>
      </w:pPr>
      <w:r>
        <w:rPr>
          <w:b/>
        </w:rPr>
        <w:t>Самостоятелни</w:t>
      </w:r>
      <w:r w:rsidRPr="00594E8C">
        <w:rPr>
          <w:b/>
        </w:rPr>
        <w:t xml:space="preserve"> законодателни предложения:</w:t>
      </w:r>
    </w:p>
    <w:p w14:paraId="22FB8888" w14:textId="0057EF3D" w:rsidR="00251EEB" w:rsidRDefault="00251EEB" w:rsidP="00F004B4">
      <w:pPr>
        <w:numPr>
          <w:ilvl w:val="0"/>
          <w:numId w:val="29"/>
        </w:numPr>
        <w:spacing w:line="276" w:lineRule="auto"/>
        <w:jc w:val="both"/>
      </w:pPr>
      <w:r>
        <w:t xml:space="preserve">Проект за </w:t>
      </w:r>
      <w:r w:rsidRPr="00D41DF0">
        <w:t xml:space="preserve">Регламент на Европейския парламент и на Съвета относно рамка за достъп до финансови данни и изменение на регламенти (ЕС) № 1093/2010, (ЕС) № 1094/2010, (ЕС) № 1095/2010 и (ЕС) 2022/2554 </w:t>
      </w:r>
      <w:r>
        <w:t>(</w:t>
      </w:r>
      <w:r>
        <w:rPr>
          <w:lang w:val="en-GB"/>
        </w:rPr>
        <w:t>FIDA</w:t>
      </w:r>
      <w:r>
        <w:t>)</w:t>
      </w:r>
      <w:r>
        <w:rPr>
          <w:lang w:val="en-GB"/>
        </w:rPr>
        <w:t xml:space="preserve"> (</w:t>
      </w:r>
      <w:r w:rsidRPr="00816348">
        <w:rPr>
          <w:lang w:val="en-GB"/>
        </w:rPr>
        <w:t>2023/0205/COD</w:t>
      </w:r>
      <w:r>
        <w:rPr>
          <w:lang w:val="en-GB"/>
        </w:rPr>
        <w:t>)</w:t>
      </w:r>
      <w:r w:rsidR="002C1A36">
        <w:t>;</w:t>
      </w:r>
    </w:p>
    <w:p w14:paraId="26B18161" w14:textId="77777777" w:rsidR="00251EEB" w:rsidRPr="00ED0FF6" w:rsidRDefault="00251EEB" w:rsidP="00F004B4">
      <w:pPr>
        <w:numPr>
          <w:ilvl w:val="0"/>
          <w:numId w:val="29"/>
        </w:numPr>
        <w:spacing w:line="276" w:lineRule="auto"/>
        <w:jc w:val="both"/>
      </w:pPr>
      <w:r>
        <w:t xml:space="preserve">Предложение за </w:t>
      </w:r>
      <w:r w:rsidRPr="00A15917">
        <w:t>Регламент на ЕК за изменение на регламенти (ЕС) № 1092/2010, (ЕС) № 1093/2010, (ЕС) № 1094/2010, (ЕС) № 1095/2010 и (ЕС) 2021/523 по отношение на някои изисквания за докладване в областта на финансовите услуги и подкрепа за инвестициите (Reporting Requirements)</w:t>
      </w:r>
      <w:r>
        <w:t xml:space="preserve">, </w:t>
      </w:r>
      <w:r w:rsidRPr="00EB0074">
        <w:t>2023/0363(COD)</w:t>
      </w:r>
      <w:r>
        <w:rPr>
          <w:lang w:val="en-GB"/>
        </w:rPr>
        <w:t>;</w:t>
      </w:r>
    </w:p>
    <w:p w14:paraId="02BD3405" w14:textId="77777777" w:rsidR="00251EEB" w:rsidRPr="00ED0FF6" w:rsidRDefault="00251EEB" w:rsidP="00F004B4">
      <w:pPr>
        <w:numPr>
          <w:ilvl w:val="0"/>
          <w:numId w:val="29"/>
        </w:numPr>
        <w:spacing w:line="276" w:lineRule="auto"/>
        <w:jc w:val="both"/>
      </w:pPr>
      <w:r w:rsidRPr="00624E0D">
        <w:t>Предложение за Регламент на Европейския парламент и на Съвета за изменение и допълнение на Регламент (ЕС) 909/2014 по отношение на по-краткия цикъл на сетълмент в Съюза</w:t>
      </w:r>
      <w:r>
        <w:rPr>
          <w:lang w:val="en-GB"/>
        </w:rPr>
        <w:t xml:space="preserve"> (</w:t>
      </w:r>
      <w:r w:rsidRPr="0025146F">
        <w:rPr>
          <w:lang w:val="en-GB"/>
        </w:rPr>
        <w:t>2025/0022 (COD</w:t>
      </w:r>
      <w:r>
        <w:rPr>
          <w:lang w:val="en-GB"/>
        </w:rPr>
        <w:t>);</w:t>
      </w:r>
    </w:p>
    <w:p w14:paraId="2F8145C3" w14:textId="77777777" w:rsidR="00251EEB" w:rsidRDefault="00251EEB" w:rsidP="00F004B4">
      <w:pPr>
        <w:numPr>
          <w:ilvl w:val="0"/>
          <w:numId w:val="29"/>
        </w:numPr>
        <w:spacing w:line="276" w:lineRule="auto"/>
        <w:jc w:val="both"/>
      </w:pPr>
      <w:r w:rsidRPr="00A03540">
        <w:t>Съюз на спестяванията и инвестициите (ССИ)</w:t>
      </w:r>
      <w:r>
        <w:rPr>
          <w:lang w:val="en-GB"/>
        </w:rPr>
        <w:t>;</w:t>
      </w:r>
    </w:p>
    <w:p w14:paraId="0D5E0830" w14:textId="77777777" w:rsidR="00251EEB" w:rsidRDefault="00251EEB" w:rsidP="00F004B4">
      <w:pPr>
        <w:numPr>
          <w:ilvl w:val="0"/>
          <w:numId w:val="29"/>
        </w:numPr>
        <w:spacing w:line="276" w:lineRule="auto"/>
        <w:jc w:val="both"/>
      </w:pPr>
      <w:r w:rsidRPr="003E3D7E">
        <w:t xml:space="preserve">Предложение за регламент на </w:t>
      </w:r>
      <w:r w:rsidRPr="00F821BB">
        <w:t xml:space="preserve">Европейския парламент и на Съвета </w:t>
      </w:r>
      <w:r w:rsidRPr="003E3D7E">
        <w:t>относно приложимото право към действието спрямо трети лица на прехвърлянето на вземания - 2018</w:t>
      </w:r>
      <w:r>
        <w:t>/0044 (COD)</w:t>
      </w:r>
      <w:r>
        <w:rPr>
          <w:rStyle w:val="FootnoteReference"/>
        </w:rPr>
        <w:footnoteReference w:id="3"/>
      </w:r>
      <w:r>
        <w:t>;</w:t>
      </w:r>
    </w:p>
    <w:p w14:paraId="6B6CC259" w14:textId="77777777" w:rsidR="00251EEB" w:rsidRDefault="00251EEB" w:rsidP="00F004B4">
      <w:pPr>
        <w:numPr>
          <w:ilvl w:val="0"/>
          <w:numId w:val="29"/>
        </w:numPr>
        <w:spacing w:line="276" w:lineRule="auto"/>
        <w:jc w:val="both"/>
      </w:pPr>
      <w:r w:rsidRPr="005072BB">
        <w:t>Предложение за Регламент на Европейския парламент и на Съвета за изменение и допълнение на Регламент (ЕС) 909/2014 по отношение на по-краткия цикъл на сетълмент в Съюза, публикувано от Европейската комисия на 12 февруари 2025 година</w:t>
      </w:r>
      <w:r>
        <w:t>;</w:t>
      </w:r>
    </w:p>
    <w:p w14:paraId="4668B0EA" w14:textId="6B46C8C7" w:rsidR="00251EEB" w:rsidRDefault="00251EEB" w:rsidP="00F004B4">
      <w:pPr>
        <w:numPr>
          <w:ilvl w:val="0"/>
          <w:numId w:val="29"/>
        </w:numPr>
        <w:spacing w:line="276" w:lineRule="auto"/>
        <w:jc w:val="both"/>
      </w:pPr>
      <w:r>
        <w:t xml:space="preserve">Предложение за изменения в Регламента за секюритизация (изменения в уредбата на секюритизацията). </w:t>
      </w:r>
    </w:p>
    <w:p w14:paraId="6527F838" w14:textId="1D967527" w:rsidR="00C8231A" w:rsidRPr="00EA2239" w:rsidRDefault="00C8231A" w:rsidP="00CC456E">
      <w:pPr>
        <w:pStyle w:val="Heading1"/>
        <w:spacing w:line="276" w:lineRule="auto"/>
        <w:jc w:val="both"/>
        <w:rPr>
          <w:rStyle w:val="Strong"/>
          <w:rFonts w:cs="Times New Roman"/>
          <w:color w:val="auto"/>
          <w:sz w:val="24"/>
        </w:rPr>
      </w:pPr>
      <w:bookmarkStart w:id="21" w:name="_Toc206148623"/>
      <w:r w:rsidRPr="001F08D9">
        <w:rPr>
          <w:rStyle w:val="Strong"/>
        </w:rPr>
        <w:t>5. ПРЕГЛЕД НА ИЗПЪЛНЕНИЕТО НА БЮДЖЕТНА ПРОГРАМА „ПОДОБРЯВАНЕ НА РЕГУЛАЦИЯТА И НАДЗОРА НА НЕБАНКОВИЯ ФИНАНСОВ СЕКТОР“</w:t>
      </w:r>
      <w:bookmarkEnd w:id="21"/>
    </w:p>
    <w:p w14:paraId="496A6C10" w14:textId="77777777" w:rsidR="00B432FD" w:rsidRDefault="00B432FD" w:rsidP="00CC456E">
      <w:pPr>
        <w:pStyle w:val="Subtitle"/>
        <w:spacing w:after="0" w:line="276" w:lineRule="auto"/>
        <w:ind w:right="-28"/>
        <w:jc w:val="both"/>
        <w:rPr>
          <w:rFonts w:cs="Times New Roman"/>
          <w:b/>
          <w:bCs/>
          <w:color w:val="000000"/>
          <w:sz w:val="24"/>
          <w:highlight w:val="lightGray"/>
        </w:rPr>
      </w:pPr>
    </w:p>
    <w:p w14:paraId="1ECA9BB6" w14:textId="50FDE0C4" w:rsidR="00346CAF" w:rsidRDefault="00AA3E80" w:rsidP="00AA3E80">
      <w:pPr>
        <w:tabs>
          <w:tab w:val="left" w:pos="0"/>
          <w:tab w:val="num" w:pos="720"/>
        </w:tabs>
        <w:spacing w:line="276" w:lineRule="auto"/>
        <w:ind w:firstLine="851"/>
        <w:jc w:val="both"/>
        <w:rPr>
          <w:lang w:bidi="bg-BG"/>
        </w:rPr>
      </w:pPr>
      <w:r>
        <w:rPr>
          <w:lang w:bidi="bg-BG"/>
        </w:rPr>
        <w:t xml:space="preserve">Основната мисия на Комисията в обществено-икономическия </w:t>
      </w:r>
      <w:r w:rsidR="00346CAF">
        <w:rPr>
          <w:lang w:bidi="bg-BG"/>
        </w:rPr>
        <w:t xml:space="preserve">живот </w:t>
      </w:r>
      <w:r>
        <w:rPr>
          <w:lang w:bidi="bg-BG"/>
        </w:rPr>
        <w:t>на Република България е да гарантира стабилност, доверие и предвидимост в небанковия финансов сектор. Това се осъществява чрез активно участие в усъвършенстването на регулаторната рамка и чрез ефективно упражняване на надзорни правомощия в защита на интересите на потребителите на небанкови финансови услуги. Провежданите от Комисията политики оказват пряко въздействие върху устойчивостта на публичните финанси, посредством целенасочено и ефективно планиране и разходване на бюджетни средства</w:t>
      </w:r>
      <w:r w:rsidR="00346CAF">
        <w:rPr>
          <w:lang w:bidi="bg-BG"/>
        </w:rPr>
        <w:t>. Комисията</w:t>
      </w:r>
      <w:r>
        <w:rPr>
          <w:lang w:bidi="bg-BG"/>
        </w:rPr>
        <w:t xml:space="preserve"> </w:t>
      </w:r>
      <w:r w:rsidRPr="002C1A36">
        <w:rPr>
          <w:lang w:bidi="bg-BG"/>
        </w:rPr>
        <w:t xml:space="preserve">осъществява надзор върху дейността на широк кръг регулирани субекти, спрямо които се прилагат изискванията на редица нормативни актове, включително: </w:t>
      </w:r>
      <w:r w:rsidR="002C1A36" w:rsidRPr="002A1BA7">
        <w:rPr>
          <w:lang w:bidi="bg-BG"/>
        </w:rPr>
        <w:t>ЗППЦК, ЗДКИСДПКИ, ЗПФИ, ЗДСИЦДС, ЗПМПЗФИ</w:t>
      </w:r>
      <w:r w:rsidR="002C1A36" w:rsidRPr="002C1A36">
        <w:rPr>
          <w:lang w:bidi="bg-BG"/>
        </w:rPr>
        <w:t>, ЗВПКИИП,</w:t>
      </w:r>
      <w:r w:rsidR="002C1A36" w:rsidRPr="002C1A36">
        <w:t xml:space="preserve"> </w:t>
      </w:r>
      <w:r w:rsidR="002C1A36" w:rsidRPr="002A1BA7">
        <w:t xml:space="preserve">ЗМИП, </w:t>
      </w:r>
      <w:r w:rsidR="002C1A36" w:rsidRPr="002A1BA7">
        <w:rPr>
          <w:lang w:bidi="bg-BG"/>
        </w:rPr>
        <w:t>ЗМФТРОМУ</w:t>
      </w:r>
      <w:r w:rsidR="002C1A36" w:rsidRPr="002C1A36">
        <w:rPr>
          <w:lang w:bidi="bg-BG"/>
        </w:rPr>
        <w:t>,</w:t>
      </w:r>
      <w:r w:rsidR="002C1A36" w:rsidRPr="002A1BA7">
        <w:rPr>
          <w:lang w:bidi="bg-BG"/>
        </w:rPr>
        <w:t xml:space="preserve"> ЗЗО, КЗ и</w:t>
      </w:r>
      <w:r>
        <w:rPr>
          <w:lang w:bidi="bg-BG"/>
        </w:rPr>
        <w:t>.</w:t>
      </w:r>
      <w:r w:rsidR="00346CAF">
        <w:rPr>
          <w:lang w:bidi="bg-BG"/>
        </w:rPr>
        <w:t xml:space="preserve"> </w:t>
      </w:r>
      <w:r>
        <w:rPr>
          <w:lang w:bidi="bg-BG"/>
        </w:rPr>
        <w:t xml:space="preserve">Значителна част от националната нормативна уредба е хармонизирана с европейските регулаторни </w:t>
      </w:r>
      <w:r>
        <w:rPr>
          <w:lang w:bidi="bg-BG"/>
        </w:rPr>
        <w:lastRenderedPageBreak/>
        <w:t xml:space="preserve">стандарти, като по редица актове на Европейския съюз с пряко действие Комисията изпълнява функциите на компетентен орган. В този контекст следва да се подчертае нарастващата роля, активното участие и съществения принос на КФН в процесите по разработване на системно значими мерки за развитие и устойчивост на небанковия финансов сектор. </w:t>
      </w:r>
    </w:p>
    <w:p w14:paraId="15EB3179" w14:textId="6812B122" w:rsidR="00AA3E80" w:rsidRDefault="00AA3E80" w:rsidP="00AA3E80">
      <w:pPr>
        <w:tabs>
          <w:tab w:val="left" w:pos="0"/>
          <w:tab w:val="num" w:pos="720"/>
        </w:tabs>
        <w:spacing w:line="276" w:lineRule="auto"/>
        <w:ind w:firstLine="851"/>
        <w:jc w:val="both"/>
        <w:rPr>
          <w:lang w:bidi="bg-BG"/>
        </w:rPr>
      </w:pPr>
      <w:r>
        <w:rPr>
          <w:lang w:bidi="bg-BG"/>
        </w:rPr>
        <w:t xml:space="preserve">Като специализиран държавен орган, </w:t>
      </w:r>
      <w:r w:rsidR="00346CAF">
        <w:rPr>
          <w:lang w:bidi="bg-BG"/>
        </w:rPr>
        <w:t xml:space="preserve">осъществяващ </w:t>
      </w:r>
      <w:r>
        <w:rPr>
          <w:lang w:bidi="bg-BG"/>
        </w:rPr>
        <w:t>надзора върху небанковия финансов сектор, Комисията прилага всички приложими изисквания, произтичащи от правото на Европейския съюз и националното законодателство. Това води до съществено разширяване на нейните правомощия и съответно – на задълженията ѝ.</w:t>
      </w:r>
    </w:p>
    <w:p w14:paraId="7AD5AF2B" w14:textId="47903A98" w:rsidR="00AA3E80" w:rsidRDefault="00AA3E80" w:rsidP="00AA3E80">
      <w:pPr>
        <w:tabs>
          <w:tab w:val="left" w:pos="0"/>
          <w:tab w:val="num" w:pos="720"/>
        </w:tabs>
        <w:spacing w:line="276" w:lineRule="auto"/>
        <w:ind w:firstLine="851"/>
        <w:jc w:val="both"/>
        <w:rPr>
          <w:lang w:bidi="bg-BG"/>
        </w:rPr>
      </w:pPr>
      <w:r>
        <w:rPr>
          <w:lang w:bidi="bg-BG"/>
        </w:rPr>
        <w:t xml:space="preserve">В изпълнение на стратегическите си цели за съответния период, Комисията </w:t>
      </w:r>
      <w:r w:rsidR="00346CAF">
        <w:rPr>
          <w:lang w:bidi="bg-BG"/>
        </w:rPr>
        <w:t>осъществява следните</w:t>
      </w:r>
      <w:r>
        <w:rPr>
          <w:lang w:bidi="bg-BG"/>
        </w:rPr>
        <w:t xml:space="preserve"> функции, насочени към усъвършенстване на регулаторната и надзорната дейност, чрез проактивни действия в защита на интересите на потребителите на небанкови финансови услуги</w:t>
      </w:r>
      <w:r w:rsidR="00346CAF">
        <w:rPr>
          <w:lang w:bidi="bg-BG"/>
        </w:rPr>
        <w:t>:</w:t>
      </w:r>
    </w:p>
    <w:p w14:paraId="2DA73BD1" w14:textId="46F8A99F" w:rsidR="00387852" w:rsidRDefault="00387852" w:rsidP="00CC456E">
      <w:pPr>
        <w:pStyle w:val="ListParagraph"/>
        <w:numPr>
          <w:ilvl w:val="0"/>
          <w:numId w:val="3"/>
        </w:numPr>
        <w:tabs>
          <w:tab w:val="left" w:pos="0"/>
        </w:tabs>
        <w:spacing w:after="240" w:line="276" w:lineRule="auto"/>
        <w:ind w:left="0" w:firstLine="360"/>
        <w:jc w:val="both"/>
      </w:pPr>
      <w:r>
        <w:t>Функция „Регулаторна политика“ – Комисията осъществява своята публично-правна регулаторна функция чрез: участие в изграждането на регулаторната законодателна рамка</w:t>
      </w:r>
      <w:r w:rsidRPr="008F1007">
        <w:t xml:space="preserve"> </w:t>
      </w:r>
      <w:r>
        <w:t xml:space="preserve">и приемане на подзаконовите нормативни актове по прилагането </w:t>
      </w:r>
      <w:r w:rsidR="002769FB">
        <w:t>ѝ</w:t>
      </w:r>
      <w:r>
        <w:t>, извършване на предварителен надзор</w:t>
      </w:r>
      <w:r w:rsidR="005853C6">
        <w:t>,</w:t>
      </w:r>
      <w:r>
        <w:t xml:space="preserve"> свързан с издаване на разрешения (лицензии) и одобрения, както и отказите за издаване на такива, на субектите, заявили участие или извършващи дейност в инвестиционния, застрахователния и осигурителния пазар. </w:t>
      </w:r>
      <w:r w:rsidRPr="00663256">
        <w:rPr>
          <w:lang w:bidi="bg-BG"/>
        </w:rPr>
        <w:t xml:space="preserve">Като </w:t>
      </w:r>
      <w:r>
        <w:rPr>
          <w:lang w:bidi="bg-BG"/>
        </w:rPr>
        <w:t>компетентен</w:t>
      </w:r>
      <w:r w:rsidRPr="00663256">
        <w:rPr>
          <w:lang w:bidi="bg-BG"/>
        </w:rPr>
        <w:t xml:space="preserve"> орган </w:t>
      </w:r>
      <w:r>
        <w:rPr>
          <w:lang w:bidi="bg-BG"/>
        </w:rPr>
        <w:t xml:space="preserve">по силата </w:t>
      </w:r>
      <w:r w:rsidRPr="00663256">
        <w:rPr>
          <w:lang w:bidi="bg-BG"/>
        </w:rPr>
        <w:t xml:space="preserve">на </w:t>
      </w:r>
      <w:r>
        <w:rPr>
          <w:lang w:bidi="bg-BG"/>
        </w:rPr>
        <w:t xml:space="preserve">редица актове </w:t>
      </w:r>
      <w:r w:rsidRPr="00663256">
        <w:rPr>
          <w:lang w:bidi="bg-BG"/>
        </w:rPr>
        <w:t>на ЕС следи за спазване на задълженията, произтичащи от европейското законодателство</w:t>
      </w:r>
      <w:r>
        <w:rPr>
          <w:lang w:bidi="bg-BG"/>
        </w:rPr>
        <w:t xml:space="preserve"> в областта на небанковия финансов сектор и е </w:t>
      </w:r>
      <w:r w:rsidRPr="00663256">
        <w:rPr>
          <w:lang w:bidi="bg-BG"/>
        </w:rPr>
        <w:t xml:space="preserve">активен участник в процесите по вземане на решения в работните групи към </w:t>
      </w:r>
      <w:r>
        <w:rPr>
          <w:lang w:bidi="bg-BG"/>
        </w:rPr>
        <w:t xml:space="preserve">редица европейски органи и международни организации </w:t>
      </w:r>
      <w:r w:rsidR="005C3582">
        <w:rPr>
          <w:lang w:bidi="bg-BG"/>
        </w:rPr>
        <w:t>ЕОЦКП, ЕОЗППО, ОИСР</w:t>
      </w:r>
      <w:r w:rsidR="00346CAF">
        <w:rPr>
          <w:lang w:bidi="bg-BG"/>
        </w:rPr>
        <w:t>,</w:t>
      </w:r>
      <w:r w:rsidR="005C3582">
        <w:rPr>
          <w:lang w:bidi="bg-BG"/>
        </w:rPr>
        <w:t xml:space="preserve"> </w:t>
      </w:r>
      <w:r w:rsidRPr="00B15FC7">
        <w:t>Европейския съвет за системен риск</w:t>
      </w:r>
      <w:r>
        <w:t xml:space="preserve"> и др.)</w:t>
      </w:r>
      <w:r w:rsidRPr="00663256">
        <w:rPr>
          <w:lang w:bidi="bg-BG"/>
        </w:rPr>
        <w:t xml:space="preserve">, </w:t>
      </w:r>
      <w:r>
        <w:rPr>
          <w:lang w:bidi="bg-BG"/>
        </w:rPr>
        <w:t>в т.ч.</w:t>
      </w:r>
      <w:r w:rsidRPr="00663256">
        <w:rPr>
          <w:lang w:bidi="bg-BG"/>
        </w:rPr>
        <w:t xml:space="preserve"> и в работните групи и комитетите към Е</w:t>
      </w:r>
      <w:r w:rsidR="00927B56">
        <w:rPr>
          <w:lang w:bidi="bg-BG"/>
        </w:rPr>
        <w:t>К</w:t>
      </w:r>
      <w:r>
        <w:rPr>
          <w:lang w:bidi="bg-BG"/>
        </w:rPr>
        <w:t xml:space="preserve">. Ефективното осъществяване на регулаторната функция на органа </w:t>
      </w:r>
      <w:r w:rsidRPr="00663256">
        <w:rPr>
          <w:lang w:bidi="bg-BG"/>
        </w:rPr>
        <w:t xml:space="preserve">е </w:t>
      </w:r>
      <w:r>
        <w:rPr>
          <w:lang w:bidi="bg-BG"/>
        </w:rPr>
        <w:t>основополагаща</w:t>
      </w:r>
      <w:r w:rsidRPr="00663256">
        <w:rPr>
          <w:lang w:bidi="bg-BG"/>
        </w:rPr>
        <w:t xml:space="preserve"> за </w:t>
      </w:r>
      <w:r>
        <w:rPr>
          <w:lang w:bidi="bg-BG"/>
        </w:rPr>
        <w:t>осигуряването на адекватна и стабилна инфраструктура на финансовите пазари.</w:t>
      </w:r>
    </w:p>
    <w:p w14:paraId="03AE9333" w14:textId="2CD38298" w:rsidR="00387852" w:rsidRDefault="00387852" w:rsidP="00CC456E">
      <w:pPr>
        <w:pStyle w:val="ListParagraph"/>
        <w:numPr>
          <w:ilvl w:val="0"/>
          <w:numId w:val="3"/>
        </w:numPr>
        <w:tabs>
          <w:tab w:val="left" w:pos="0"/>
        </w:tabs>
        <w:spacing w:after="120" w:line="276" w:lineRule="auto"/>
        <w:ind w:left="0" w:firstLine="360"/>
        <w:jc w:val="both"/>
        <w:rPr>
          <w:lang w:bidi="bg-BG"/>
        </w:rPr>
      </w:pPr>
      <w:r>
        <w:t>Функция „Надзорна политика“</w:t>
      </w:r>
      <w:r w:rsidRPr="00F52F2D">
        <w:rPr>
          <w:color w:val="000000"/>
          <w:sz w:val="22"/>
          <w:szCs w:val="22"/>
          <w:lang w:bidi="bg-BG"/>
        </w:rPr>
        <w:t xml:space="preserve"> </w:t>
      </w:r>
      <w:r w:rsidR="00F04296" w:rsidRPr="00F52F2D">
        <w:rPr>
          <w:color w:val="000000"/>
          <w:sz w:val="22"/>
          <w:szCs w:val="22"/>
          <w:lang w:bidi="bg-BG"/>
        </w:rPr>
        <w:t>–</w:t>
      </w:r>
      <w:r w:rsidRPr="00F52F2D">
        <w:rPr>
          <w:color w:val="000000"/>
          <w:sz w:val="22"/>
          <w:szCs w:val="22"/>
          <w:lang w:bidi="bg-BG"/>
        </w:rPr>
        <w:t xml:space="preserve"> </w:t>
      </w:r>
      <w:r w:rsidRPr="00663256">
        <w:rPr>
          <w:lang w:bidi="bg-BG"/>
        </w:rPr>
        <w:t xml:space="preserve">Комисията осъществява </w:t>
      </w:r>
      <w:r>
        <w:rPr>
          <w:lang w:bidi="bg-BG"/>
        </w:rPr>
        <w:t xml:space="preserve">своите надзорни правомощия чрез извършване на проверки върху дейността на лицата, получили разрешение да извършват дейност в </w:t>
      </w:r>
      <w:r>
        <w:t xml:space="preserve">инвестиционния, застрахователния и осигурителния пазар, прилагайки правила и системи за управление на рисковете за целите на осъществявания </w:t>
      </w:r>
      <w:r w:rsidRPr="00663256">
        <w:rPr>
          <w:lang w:bidi="bg-BG"/>
        </w:rPr>
        <w:t xml:space="preserve">риск базиран надзор, </w:t>
      </w:r>
      <w:r>
        <w:rPr>
          <w:lang w:bidi="bg-BG"/>
        </w:rPr>
        <w:t xml:space="preserve">като при констатирани отклонения от регулаторните изисквания и съобразно законовите правомощия </w:t>
      </w:r>
      <w:r w:rsidRPr="00986093">
        <w:rPr>
          <w:lang w:bidi="bg-BG"/>
        </w:rPr>
        <w:t>прилага принудителни административни мерки и налага административни наказания</w:t>
      </w:r>
      <w:r>
        <w:rPr>
          <w:lang w:bidi="bg-BG"/>
        </w:rPr>
        <w:t>.</w:t>
      </w:r>
      <w:r w:rsidRPr="00986093">
        <w:rPr>
          <w:lang w:bidi="bg-BG"/>
        </w:rPr>
        <w:t xml:space="preserve"> </w:t>
      </w:r>
      <w:r>
        <w:rPr>
          <w:lang w:bidi="bg-BG"/>
        </w:rPr>
        <w:t xml:space="preserve">Ефективното осъществяване на надзорната функция на органа </w:t>
      </w:r>
      <w:r w:rsidRPr="00663256">
        <w:rPr>
          <w:lang w:bidi="bg-BG"/>
        </w:rPr>
        <w:t xml:space="preserve">е основна предпоставка за </w:t>
      </w:r>
      <w:r>
        <w:rPr>
          <w:lang w:bidi="bg-BG"/>
        </w:rPr>
        <w:t xml:space="preserve">осигуряване на </w:t>
      </w:r>
      <w:r w:rsidRPr="00663256">
        <w:rPr>
          <w:lang w:bidi="bg-BG"/>
        </w:rPr>
        <w:t>стабилн</w:t>
      </w:r>
      <w:r>
        <w:rPr>
          <w:lang w:bidi="bg-BG"/>
        </w:rPr>
        <w:t>ост, прозрачност и доверие</w:t>
      </w:r>
      <w:r w:rsidRPr="00663256">
        <w:rPr>
          <w:lang w:bidi="bg-BG"/>
        </w:rPr>
        <w:t xml:space="preserve"> </w:t>
      </w:r>
      <w:r>
        <w:rPr>
          <w:lang w:bidi="bg-BG"/>
        </w:rPr>
        <w:t xml:space="preserve">във </w:t>
      </w:r>
      <w:r w:rsidRPr="00663256">
        <w:rPr>
          <w:lang w:bidi="bg-BG"/>
        </w:rPr>
        <w:t>финансови</w:t>
      </w:r>
      <w:r>
        <w:rPr>
          <w:lang w:bidi="bg-BG"/>
        </w:rPr>
        <w:t>те</w:t>
      </w:r>
      <w:r w:rsidRPr="00663256">
        <w:rPr>
          <w:lang w:bidi="bg-BG"/>
        </w:rPr>
        <w:t xml:space="preserve"> пазари.</w:t>
      </w:r>
    </w:p>
    <w:p w14:paraId="5B51CFEF" w14:textId="77777777" w:rsidR="00387852" w:rsidRDefault="00387852" w:rsidP="00CC456E">
      <w:pPr>
        <w:pStyle w:val="ListParagraph"/>
        <w:numPr>
          <w:ilvl w:val="0"/>
          <w:numId w:val="3"/>
        </w:numPr>
        <w:tabs>
          <w:tab w:val="left" w:pos="0"/>
        </w:tabs>
        <w:spacing w:line="276" w:lineRule="auto"/>
        <w:ind w:left="0" w:firstLine="360"/>
        <w:jc w:val="both"/>
      </w:pPr>
      <w:r>
        <w:t xml:space="preserve">Функция „Политика за защита на потребителите на небанкови финансови услуги“ - </w:t>
      </w:r>
      <w:r w:rsidRPr="00B619F2">
        <w:rPr>
          <w:lang w:bidi="bg-BG"/>
        </w:rPr>
        <w:t xml:space="preserve">КФН защитава интересите на потребителите на небанкови финансови услуги и продукти </w:t>
      </w:r>
      <w:r w:rsidRPr="001240E5">
        <w:rPr>
          <w:lang w:bidi="bg-BG"/>
        </w:rPr>
        <w:t>и прилага необходимите законови мерки за превенция и противодействие на недобри практики.</w:t>
      </w:r>
    </w:p>
    <w:p w14:paraId="6CA2FDCE" w14:textId="32B7100E" w:rsidR="00387852" w:rsidRPr="00663256" w:rsidRDefault="00387852" w:rsidP="00CC456E">
      <w:pPr>
        <w:pStyle w:val="ListParagraph"/>
        <w:numPr>
          <w:ilvl w:val="0"/>
          <w:numId w:val="3"/>
        </w:numPr>
        <w:tabs>
          <w:tab w:val="left" w:pos="0"/>
        </w:tabs>
        <w:spacing w:line="276" w:lineRule="auto"/>
        <w:ind w:left="0" w:firstLine="360"/>
        <w:jc w:val="both"/>
        <w:rPr>
          <w:lang w:bidi="bg-BG"/>
        </w:rPr>
      </w:pPr>
      <w:r>
        <w:lastRenderedPageBreak/>
        <w:t>Функция „Превенция“</w:t>
      </w:r>
      <w:r w:rsidRPr="00F52F2D">
        <w:rPr>
          <w:color w:val="000000"/>
          <w:sz w:val="22"/>
          <w:szCs w:val="22"/>
          <w:lang w:bidi="bg-BG"/>
        </w:rPr>
        <w:t xml:space="preserve"> – </w:t>
      </w:r>
      <w:r>
        <w:rPr>
          <w:lang w:bidi="bg-BG"/>
        </w:rPr>
        <w:t>В качеството си на</w:t>
      </w:r>
      <w:r w:rsidRPr="00663256">
        <w:rPr>
          <w:lang w:bidi="bg-BG"/>
        </w:rPr>
        <w:t xml:space="preserve"> надзорен и регулаторен орган на небанковия финансов сектор </w:t>
      </w:r>
      <w:r>
        <w:rPr>
          <w:lang w:bidi="bg-BG"/>
        </w:rPr>
        <w:t>КФН</w:t>
      </w:r>
      <w:r w:rsidRPr="00663256">
        <w:rPr>
          <w:lang w:bidi="bg-BG"/>
        </w:rPr>
        <w:t xml:space="preserve"> има първостепенна роля за укрепване на общественото доверие във финансовите пазари и носи отговорност за повишаване на финансовата грамотност на обществото. </w:t>
      </w:r>
      <w:r w:rsidR="002A1BA7">
        <w:rPr>
          <w:lang w:bidi="bg-BG"/>
        </w:rPr>
        <w:t>Комисията а</w:t>
      </w:r>
      <w:r w:rsidRPr="00663256">
        <w:rPr>
          <w:lang w:bidi="bg-BG"/>
        </w:rPr>
        <w:t>ктивно следи развитието на финансовите иновации и съобразява осъществяваната надзорна и регулаторна дейност с тях.</w:t>
      </w:r>
    </w:p>
    <w:p w14:paraId="43EFBCF3" w14:textId="48B1A779" w:rsidR="00063A2E" w:rsidRDefault="00387852" w:rsidP="00CC456E">
      <w:pPr>
        <w:pStyle w:val="ListParagraph"/>
        <w:numPr>
          <w:ilvl w:val="0"/>
          <w:numId w:val="3"/>
        </w:numPr>
        <w:tabs>
          <w:tab w:val="left" w:pos="0"/>
        </w:tabs>
        <w:spacing w:line="276" w:lineRule="auto"/>
        <w:ind w:left="0" w:firstLine="360"/>
        <w:jc w:val="both"/>
        <w:rPr>
          <w:lang w:bidi="bg-BG"/>
        </w:rPr>
      </w:pPr>
      <w:r>
        <w:t xml:space="preserve">Функция „Взаимодействие“ </w:t>
      </w:r>
      <w:r w:rsidR="00F04296" w:rsidRPr="00F52F2D">
        <w:rPr>
          <w:color w:val="000000"/>
          <w:sz w:val="22"/>
          <w:szCs w:val="22"/>
          <w:lang w:bidi="bg-BG"/>
        </w:rPr>
        <w:t>–</w:t>
      </w:r>
      <w:r>
        <w:t xml:space="preserve"> </w:t>
      </w:r>
      <w:r w:rsidRPr="007A72D8">
        <w:rPr>
          <w:lang w:bidi="bg-BG"/>
        </w:rPr>
        <w:t>За изпълнение на своите функции и правомощия и като страна по редица многостранни споразумения</w:t>
      </w:r>
      <w:r>
        <w:rPr>
          <w:lang w:bidi="bg-BG"/>
        </w:rPr>
        <w:t xml:space="preserve"> КФН </w:t>
      </w:r>
      <w:r w:rsidRPr="007A72D8">
        <w:rPr>
          <w:lang w:bidi="bg-BG"/>
        </w:rPr>
        <w:t xml:space="preserve">поддържа ефективно и ползотворно </w:t>
      </w:r>
      <w:r>
        <w:rPr>
          <w:lang w:bidi="bg-BG"/>
        </w:rPr>
        <w:t xml:space="preserve">междуинституционално </w:t>
      </w:r>
      <w:r w:rsidRPr="007A72D8">
        <w:rPr>
          <w:lang w:bidi="bg-BG"/>
        </w:rPr>
        <w:t>сътрудничество</w:t>
      </w:r>
      <w:r>
        <w:rPr>
          <w:lang w:bidi="bg-BG"/>
        </w:rPr>
        <w:t xml:space="preserve"> с националните, европейските и международни органи и организации</w:t>
      </w:r>
      <w:r w:rsidRPr="007A72D8">
        <w:rPr>
          <w:lang w:bidi="bg-BG"/>
        </w:rPr>
        <w:t>.</w:t>
      </w:r>
      <w:r w:rsidR="00063A2E">
        <w:rPr>
          <w:lang w:bidi="bg-BG"/>
        </w:rPr>
        <w:t xml:space="preserve"> </w:t>
      </w:r>
    </w:p>
    <w:p w14:paraId="5F308C85" w14:textId="77777777" w:rsidR="00167438" w:rsidRPr="006C4213" w:rsidRDefault="00063A2E" w:rsidP="00B00DCB">
      <w:pPr>
        <w:tabs>
          <w:tab w:val="left" w:pos="0"/>
        </w:tabs>
        <w:spacing w:line="276" w:lineRule="auto"/>
        <w:jc w:val="both"/>
      </w:pPr>
      <w:r>
        <w:rPr>
          <w:lang w:bidi="bg-BG"/>
        </w:rPr>
        <w:tab/>
      </w:r>
      <w:r w:rsidR="00167438">
        <w:rPr>
          <w:bCs/>
        </w:rPr>
        <w:t>През отчетния период</w:t>
      </w:r>
      <w:r w:rsidR="00167438" w:rsidRPr="006C4213">
        <w:rPr>
          <w:bCs/>
        </w:rPr>
        <w:t xml:space="preserve"> </w:t>
      </w:r>
      <w:r w:rsidR="005C3582">
        <w:t>Комисията</w:t>
      </w:r>
      <w:r w:rsidR="00167438" w:rsidRPr="006C4213">
        <w:t xml:space="preserve"> продължи да осъществява </w:t>
      </w:r>
      <w:r w:rsidR="00167438">
        <w:t xml:space="preserve">регулация и </w:t>
      </w:r>
      <w:r w:rsidR="00167438" w:rsidRPr="006C4213">
        <w:t>надзор на българските финансови пазари, които са част от единния европейски пазар, на лицата, за които Република България е държава членка по произход и осъществяват дейност в други държави членки, на лицата от други държави-членки, които извършват дейност на територията на Република България по линия на единния европейски паспорт, както и консолидиран надзор на трансгранични групи, холдинги</w:t>
      </w:r>
      <w:r w:rsidR="00E86AC3" w:rsidRPr="003F0779">
        <w:rPr>
          <w:lang w:val="ru-RU"/>
        </w:rPr>
        <w:t>,</w:t>
      </w:r>
      <w:r w:rsidR="00167438" w:rsidRPr="006C4213">
        <w:t xml:space="preserve"> когато </w:t>
      </w:r>
      <w:r w:rsidR="00E86AC3">
        <w:t>органът</w:t>
      </w:r>
      <w:r w:rsidR="00167438" w:rsidRPr="006C4213">
        <w:t xml:space="preserve"> е консолидиращ надзорник, като прилага предимствата на обединения надзор и </w:t>
      </w:r>
      <w:r w:rsidR="00167438">
        <w:t xml:space="preserve">продължи да </w:t>
      </w:r>
      <w:r w:rsidR="00167438" w:rsidRPr="006C4213">
        <w:t>полага необходимите усилия за постигане на законоустановените цели:</w:t>
      </w:r>
    </w:p>
    <w:p w14:paraId="648BA6C7" w14:textId="77777777" w:rsidR="00167438" w:rsidRPr="00936CAC" w:rsidRDefault="00167438" w:rsidP="003D1587">
      <w:pPr>
        <w:pStyle w:val="ListParagraph"/>
        <w:numPr>
          <w:ilvl w:val="0"/>
          <w:numId w:val="5"/>
        </w:numPr>
        <w:tabs>
          <w:tab w:val="left" w:pos="1560"/>
        </w:tabs>
        <w:spacing w:line="276" w:lineRule="auto"/>
        <w:ind w:hanging="153"/>
        <w:jc w:val="both"/>
        <w:rPr>
          <w:bCs/>
        </w:rPr>
      </w:pPr>
      <w:r w:rsidRPr="00936CAC">
        <w:rPr>
          <w:bCs/>
        </w:rPr>
        <w:t>защита на интересите на инвеститорите, застрахованите и осигурените лица;</w:t>
      </w:r>
    </w:p>
    <w:p w14:paraId="5C89FFAD" w14:textId="77777777" w:rsidR="00167438" w:rsidRPr="00936CAC" w:rsidRDefault="00167438" w:rsidP="003D1587">
      <w:pPr>
        <w:pStyle w:val="ListParagraph"/>
        <w:numPr>
          <w:ilvl w:val="0"/>
          <w:numId w:val="5"/>
        </w:numPr>
        <w:tabs>
          <w:tab w:val="left" w:pos="1560"/>
        </w:tabs>
        <w:spacing w:line="276" w:lineRule="auto"/>
        <w:ind w:hanging="153"/>
        <w:jc w:val="both"/>
        <w:rPr>
          <w:bCs/>
        </w:rPr>
      </w:pPr>
      <w:r w:rsidRPr="00936CAC">
        <w:rPr>
          <w:bCs/>
        </w:rPr>
        <w:t xml:space="preserve">осигуряване на стабилност, прозрачност и </w:t>
      </w:r>
      <w:r w:rsidRPr="00682D8D">
        <w:rPr>
          <w:bCs/>
        </w:rPr>
        <w:t>доверие на финансовите пазари,</w:t>
      </w:r>
      <w:r w:rsidRPr="00936CAC">
        <w:rPr>
          <w:bCs/>
        </w:rPr>
        <w:t xml:space="preserve"> включително чрез правила и системи за управление на рисковете на тези пазари;</w:t>
      </w:r>
    </w:p>
    <w:p w14:paraId="35227274" w14:textId="77777777" w:rsidR="00167438" w:rsidRPr="00936CAC" w:rsidRDefault="00167438" w:rsidP="003D1587">
      <w:pPr>
        <w:pStyle w:val="ListParagraph"/>
        <w:numPr>
          <w:ilvl w:val="0"/>
          <w:numId w:val="5"/>
        </w:numPr>
        <w:tabs>
          <w:tab w:val="left" w:pos="1560"/>
        </w:tabs>
        <w:spacing w:line="276" w:lineRule="auto"/>
        <w:ind w:hanging="153"/>
        <w:jc w:val="both"/>
        <w:rPr>
          <w:bCs/>
        </w:rPr>
      </w:pPr>
      <w:r w:rsidRPr="00936CAC">
        <w:rPr>
          <w:bCs/>
        </w:rPr>
        <w:t>осигуряване на адекватна и стабилна инфраструктура на финансовите пазари.</w:t>
      </w:r>
    </w:p>
    <w:p w14:paraId="058DA77B" w14:textId="77777777" w:rsidR="00A035B2" w:rsidRDefault="00A035B2" w:rsidP="00CC456E">
      <w:pPr>
        <w:pStyle w:val="Subtitle"/>
        <w:spacing w:after="0" w:line="276" w:lineRule="auto"/>
        <w:ind w:left="720" w:right="-28"/>
        <w:jc w:val="both"/>
        <w:rPr>
          <w:rFonts w:cs="Times New Roman"/>
          <w:bCs/>
          <w:color w:val="000000"/>
          <w:sz w:val="24"/>
          <w:highlight w:val="lightGray"/>
        </w:rPr>
      </w:pPr>
    </w:p>
    <w:p w14:paraId="265EDD45" w14:textId="77777777" w:rsidR="00A035B2" w:rsidRDefault="00A035B2" w:rsidP="00CC456E">
      <w:pPr>
        <w:pStyle w:val="Heading2"/>
        <w:spacing w:line="276" w:lineRule="auto"/>
        <w:jc w:val="both"/>
      </w:pPr>
      <w:bookmarkStart w:id="22" w:name="_Toc206148624"/>
      <w:r w:rsidRPr="00B038ED">
        <w:t>а) Описание на степента на изпълнение на заложените в програмата цели</w:t>
      </w:r>
      <w:bookmarkEnd w:id="22"/>
    </w:p>
    <w:p w14:paraId="205B73C3" w14:textId="77777777" w:rsidR="0067298C" w:rsidRDefault="00E66FAA" w:rsidP="00CC456E">
      <w:pPr>
        <w:pStyle w:val="Title"/>
        <w:spacing w:after="0" w:line="276" w:lineRule="auto"/>
        <w:ind w:right="-28" w:firstLine="720"/>
        <w:jc w:val="both"/>
        <w:rPr>
          <w:rFonts w:cs="Times New Roman"/>
          <w:bCs w:val="0"/>
          <w:color w:val="000000"/>
          <w:sz w:val="24"/>
          <w:szCs w:val="24"/>
          <w:lang w:eastAsia="bg-BG"/>
        </w:rPr>
      </w:pPr>
      <w:r>
        <w:rPr>
          <w:rFonts w:cs="Times New Roman"/>
          <w:bCs w:val="0"/>
          <w:color w:val="000000"/>
          <w:sz w:val="24"/>
          <w:szCs w:val="24"/>
          <w:lang w:eastAsia="bg-BG"/>
        </w:rPr>
        <w:t xml:space="preserve">Програмата се изпълнява в подкрепа на </w:t>
      </w:r>
      <w:r w:rsidR="00071779">
        <w:rPr>
          <w:rFonts w:cs="Times New Roman"/>
          <w:bCs w:val="0"/>
          <w:color w:val="000000"/>
          <w:sz w:val="24"/>
          <w:szCs w:val="24"/>
          <w:lang w:eastAsia="bg-BG"/>
        </w:rPr>
        <w:t>целите</w:t>
      </w:r>
      <w:r>
        <w:rPr>
          <w:rFonts w:cs="Times New Roman"/>
          <w:bCs w:val="0"/>
          <w:color w:val="000000"/>
          <w:sz w:val="24"/>
          <w:szCs w:val="24"/>
          <w:lang w:eastAsia="bg-BG"/>
        </w:rPr>
        <w:t xml:space="preserve"> за </w:t>
      </w:r>
      <w:r w:rsidRPr="00E66FAA">
        <w:rPr>
          <w:rFonts w:cs="Times New Roman"/>
          <w:bCs w:val="0"/>
          <w:color w:val="000000"/>
          <w:sz w:val="24"/>
          <w:szCs w:val="24"/>
          <w:lang w:eastAsia="bg-BG"/>
        </w:rPr>
        <w:t>осигурява</w:t>
      </w:r>
      <w:r>
        <w:rPr>
          <w:rFonts w:cs="Times New Roman"/>
          <w:bCs w:val="0"/>
          <w:color w:val="000000"/>
          <w:sz w:val="24"/>
          <w:szCs w:val="24"/>
          <w:lang w:eastAsia="bg-BG"/>
        </w:rPr>
        <w:t>не на</w:t>
      </w:r>
      <w:r w:rsidRPr="00E66FAA">
        <w:rPr>
          <w:rFonts w:cs="Times New Roman"/>
          <w:bCs w:val="0"/>
          <w:color w:val="000000"/>
          <w:sz w:val="24"/>
          <w:szCs w:val="24"/>
          <w:lang w:eastAsia="bg-BG"/>
        </w:rPr>
        <w:t xml:space="preserve"> стабилност, доверие и предвидимост в небанковия финансов сектор, </w:t>
      </w:r>
      <w:r w:rsidR="00071779">
        <w:rPr>
          <w:rFonts w:cs="Times New Roman"/>
          <w:bCs w:val="0"/>
          <w:color w:val="000000"/>
          <w:sz w:val="24"/>
          <w:szCs w:val="24"/>
          <w:lang w:eastAsia="bg-BG"/>
        </w:rPr>
        <w:t>усъвършенстване</w:t>
      </w:r>
      <w:r w:rsidRPr="00E66FAA">
        <w:rPr>
          <w:rFonts w:cs="Times New Roman"/>
          <w:bCs w:val="0"/>
          <w:color w:val="000000"/>
          <w:sz w:val="24"/>
          <w:szCs w:val="24"/>
          <w:lang w:eastAsia="bg-BG"/>
        </w:rPr>
        <w:t xml:space="preserve"> на регулаторната дейност и защита интересите на потребителите на небанкови финансови услуги.</w:t>
      </w:r>
      <w:r>
        <w:rPr>
          <w:rFonts w:cs="Times New Roman"/>
          <w:bCs w:val="0"/>
          <w:color w:val="000000"/>
          <w:sz w:val="24"/>
          <w:szCs w:val="24"/>
          <w:lang w:eastAsia="bg-BG"/>
        </w:rPr>
        <w:t xml:space="preserve"> </w:t>
      </w:r>
    </w:p>
    <w:p w14:paraId="6F74D58E" w14:textId="77777777" w:rsidR="00A035B2" w:rsidRDefault="00A035B2" w:rsidP="00CC456E">
      <w:pPr>
        <w:pStyle w:val="Heading2"/>
        <w:spacing w:line="276" w:lineRule="auto"/>
        <w:jc w:val="both"/>
      </w:pPr>
      <w:bookmarkStart w:id="23" w:name="_Toc206148625"/>
      <w:r w:rsidRPr="00B038ED">
        <w:t>б) Продукти/услуги, предоставени по програмата – описание на постигнатите резултати и изпълнените дейности за тяхното постигане</w:t>
      </w:r>
      <w:bookmarkEnd w:id="23"/>
    </w:p>
    <w:p w14:paraId="7031A0FE" w14:textId="77777777" w:rsidR="0067298C" w:rsidRDefault="006F4C87" w:rsidP="00CC456E">
      <w:pPr>
        <w:pStyle w:val="Title"/>
        <w:spacing w:after="0" w:line="276" w:lineRule="auto"/>
        <w:ind w:left="720" w:right="-28"/>
        <w:jc w:val="both"/>
        <w:rPr>
          <w:rFonts w:cs="Times New Roman"/>
          <w:bCs w:val="0"/>
          <w:color w:val="000000"/>
          <w:sz w:val="24"/>
          <w:szCs w:val="24"/>
          <w:lang w:eastAsia="bg-BG"/>
        </w:rPr>
      </w:pPr>
      <w:r>
        <w:rPr>
          <w:rFonts w:cs="Times New Roman"/>
          <w:bCs w:val="0"/>
          <w:color w:val="000000"/>
          <w:sz w:val="24"/>
          <w:szCs w:val="24"/>
          <w:lang w:eastAsia="bg-BG"/>
        </w:rPr>
        <w:t>За постигане на заложените по програмата цели КФН предоставя следните услуги:</w:t>
      </w:r>
    </w:p>
    <w:p w14:paraId="3AFA2C95" w14:textId="77777777" w:rsidR="004074AE" w:rsidRPr="006C4213" w:rsidRDefault="004074AE" w:rsidP="003D1587">
      <w:pPr>
        <w:numPr>
          <w:ilvl w:val="0"/>
          <w:numId w:val="23"/>
        </w:numPr>
        <w:tabs>
          <w:tab w:val="left" w:pos="0"/>
        </w:tabs>
        <w:spacing w:line="276" w:lineRule="auto"/>
        <w:jc w:val="both"/>
      </w:pPr>
      <w:r w:rsidRPr="006C4213">
        <w:rPr>
          <w:lang w:val="ru-RU"/>
        </w:rPr>
        <w:t>Р</w:t>
      </w:r>
      <w:r w:rsidRPr="006C4213">
        <w:t>егулиране на дейността на поднадзорните лица чрез изготвяне на нормативни документи, като част от нормативната дейност на КФН, включително участие в работата на европейските институции при подготовката на европейски законодателни актове;</w:t>
      </w:r>
    </w:p>
    <w:p w14:paraId="2A8D10CB" w14:textId="77777777" w:rsidR="004074AE" w:rsidRPr="006C4213" w:rsidRDefault="004074AE" w:rsidP="003D1587">
      <w:pPr>
        <w:numPr>
          <w:ilvl w:val="0"/>
          <w:numId w:val="23"/>
        </w:numPr>
        <w:tabs>
          <w:tab w:val="left" w:pos="0"/>
        </w:tabs>
        <w:spacing w:line="276" w:lineRule="auto"/>
        <w:jc w:val="both"/>
      </w:pPr>
      <w:r w:rsidRPr="006C4213">
        <w:t>Осъществяване на надзор по прилагането на европейските нормативни документи с пряко действие, регулиращи дейността на поднадзорните на КФН лица;</w:t>
      </w:r>
    </w:p>
    <w:p w14:paraId="00CA0C39" w14:textId="6459C9C8" w:rsidR="004074AE" w:rsidRPr="006C4213" w:rsidRDefault="004074AE" w:rsidP="003D1587">
      <w:pPr>
        <w:numPr>
          <w:ilvl w:val="0"/>
          <w:numId w:val="23"/>
        </w:numPr>
        <w:tabs>
          <w:tab w:val="left" w:pos="0"/>
        </w:tabs>
        <w:spacing w:line="276" w:lineRule="auto"/>
        <w:jc w:val="both"/>
      </w:pPr>
      <w:r w:rsidRPr="006C4213">
        <w:t xml:space="preserve">Осъществяване на предварителния и последващ надзор по ЗППЦК, ЗПМПЗФИ, </w:t>
      </w:r>
      <w:r w:rsidR="008A0FEF">
        <w:t xml:space="preserve">ЗПКА, </w:t>
      </w:r>
      <w:r w:rsidRPr="006C4213">
        <w:t>ЗДСИЦ</w:t>
      </w:r>
      <w:r w:rsidR="002005DE">
        <w:t>ДС</w:t>
      </w:r>
      <w:r w:rsidRPr="006C4213">
        <w:t>, ЗПФИ, ЗВПКИИП</w:t>
      </w:r>
      <w:r w:rsidR="00BA1BCE">
        <w:t xml:space="preserve">, </w:t>
      </w:r>
      <w:r w:rsidRPr="006C4213">
        <w:t>ЗДКИСДПКИ,</w:t>
      </w:r>
      <w:r w:rsidR="00BA1BCE">
        <w:t xml:space="preserve"> ЗМИП, ЗМФТРОМУ,</w:t>
      </w:r>
      <w:r w:rsidRPr="006C4213">
        <w:t xml:space="preserve"> </w:t>
      </w:r>
      <w:r w:rsidR="00ED5110" w:rsidRPr="006C4213">
        <w:t>КСО, КЗ,</w:t>
      </w:r>
      <w:r w:rsidR="000F0249">
        <w:t xml:space="preserve"> ЗЗО,</w:t>
      </w:r>
      <w:r w:rsidR="00ED5110" w:rsidRPr="006C4213">
        <w:t xml:space="preserve"> </w:t>
      </w:r>
      <w:r w:rsidRPr="00447B12">
        <w:t>Регламент (</w:t>
      </w:r>
      <w:r w:rsidRPr="006C4213">
        <w:t>ЕС</w:t>
      </w:r>
      <w:r w:rsidRPr="00447B12">
        <w:t>)</w:t>
      </w:r>
      <w:r w:rsidRPr="006C4213">
        <w:t xml:space="preserve"> 2015/35, Регламент № 648/2012/ЕС, </w:t>
      </w:r>
      <w:r w:rsidRPr="00447B12">
        <w:t>Регламент (ЕО) № 1060/2009</w:t>
      </w:r>
      <w:r w:rsidRPr="006C4213">
        <w:t xml:space="preserve">, Регламент </w:t>
      </w:r>
      <w:r w:rsidRPr="00447B12">
        <w:t>(</w:t>
      </w:r>
      <w:r w:rsidRPr="006C4213">
        <w:t>ЕС</w:t>
      </w:r>
      <w:r w:rsidRPr="00447B12">
        <w:t>)</w:t>
      </w:r>
      <w:r w:rsidRPr="006C4213">
        <w:t xml:space="preserve"> 575/2013, Регламент 600/2014, Регламент (ЕС) № </w:t>
      </w:r>
      <w:r w:rsidRPr="006C4213">
        <w:lastRenderedPageBreak/>
        <w:t xml:space="preserve">909/2014, </w:t>
      </w:r>
      <w:r w:rsidR="001F08D9" w:rsidRPr="001F08D9">
        <w:t>Регламент (EС) 2017/1129</w:t>
      </w:r>
      <w:r w:rsidR="001F08D9">
        <w:t xml:space="preserve">, </w:t>
      </w:r>
      <w:r w:rsidRPr="001F08D9">
        <w:t>Регламент (ЕС) 2016/1011</w:t>
      </w:r>
      <w:r w:rsidRPr="006C4213">
        <w:t>, Регламент (ЕС) № 345/2013, Регламент (ЕС) № 346/2013</w:t>
      </w:r>
      <w:r w:rsidR="001F08D9">
        <w:t>,</w:t>
      </w:r>
      <w:r w:rsidR="001F08D9" w:rsidRPr="001F08D9">
        <w:t xml:space="preserve"> </w:t>
      </w:r>
      <w:hyperlink r:id="rId15" w:history="1">
        <w:r w:rsidR="001F08D9" w:rsidRPr="001F08D9">
          <w:t>Регламент (ЕС) 2020/1503</w:t>
        </w:r>
      </w:hyperlink>
      <w:r w:rsidR="001F08D9" w:rsidRPr="001F08D9">
        <w:t xml:space="preserve">, </w:t>
      </w:r>
      <w:hyperlink r:id="rId16" w:history="1">
        <w:r w:rsidR="001F08D9" w:rsidRPr="001F08D9">
          <w:t>Регламент (ЕС) 2021/23</w:t>
        </w:r>
      </w:hyperlink>
      <w:r w:rsidR="001F08D9" w:rsidRPr="001F08D9">
        <w:t>, Регламент (ЕС) 2022/858</w:t>
      </w:r>
      <w:r w:rsidR="001F08D9">
        <w:t>,</w:t>
      </w:r>
      <w:r w:rsidR="001F08D9" w:rsidRPr="001F08D9">
        <w:t xml:space="preserve"> </w:t>
      </w:r>
      <w:hyperlink r:id="rId17" w:history="1">
        <w:r w:rsidR="001F08D9" w:rsidRPr="001F08D9">
          <w:t>Регламент (ЕС) № 2016/1011</w:t>
        </w:r>
      </w:hyperlink>
      <w:r w:rsidR="001F08D9" w:rsidRPr="001F08D9">
        <w:t xml:space="preserve">, </w:t>
      </w:r>
      <w:hyperlink r:id="rId18" w:history="1">
        <w:r w:rsidR="001F08D9" w:rsidRPr="001F08D9">
          <w:t>Регламент (ЕС) 2017/2402</w:t>
        </w:r>
      </w:hyperlink>
      <w:r w:rsidR="008A0FEF">
        <w:t>,</w:t>
      </w:r>
      <w:r w:rsidRPr="006C4213">
        <w:t xml:space="preserve"> Регламент (ЕС) 2015/760</w:t>
      </w:r>
      <w:r w:rsidR="008A0FEF">
        <w:t xml:space="preserve">, </w:t>
      </w:r>
      <w:r w:rsidR="008A0FEF" w:rsidRPr="008A0FEF">
        <w:t>Регламент (ЕС) 2023/1114</w:t>
      </w:r>
      <w:r w:rsidR="008A0FEF">
        <w:t xml:space="preserve"> и </w:t>
      </w:r>
      <w:r w:rsidR="008A0FEF" w:rsidRPr="008A0FEF">
        <w:t>Регламент (ЕС) 2022/2554</w:t>
      </w:r>
      <w:r w:rsidRPr="006C4213">
        <w:t xml:space="preserve"> чрез:</w:t>
      </w:r>
    </w:p>
    <w:p w14:paraId="62439D54" w14:textId="5759FA2F" w:rsidR="004074AE" w:rsidRPr="006C4213" w:rsidRDefault="004074AE" w:rsidP="00CC456E">
      <w:pPr>
        <w:pStyle w:val="NormalWeb"/>
        <w:numPr>
          <w:ilvl w:val="0"/>
          <w:numId w:val="4"/>
        </w:numPr>
        <w:tabs>
          <w:tab w:val="left" w:pos="0"/>
        </w:tabs>
        <w:spacing w:before="0" w:beforeAutospacing="0" w:after="0" w:afterAutospacing="0" w:line="276" w:lineRule="auto"/>
        <w:jc w:val="both"/>
        <w:rPr>
          <w:color w:val="auto"/>
        </w:rPr>
      </w:pPr>
      <w:r w:rsidRPr="006C4213">
        <w:rPr>
          <w:color w:val="auto"/>
        </w:rPr>
        <w:t xml:space="preserve">Издаване на лицензи/лицензии и разрешения и за извършване на дейност, както и други разрешения и одобрения по горецитираните нормативни документи; </w:t>
      </w:r>
    </w:p>
    <w:p w14:paraId="56F78951" w14:textId="77777777" w:rsidR="004074AE" w:rsidRPr="006C4213" w:rsidRDefault="004074AE" w:rsidP="00CC456E">
      <w:pPr>
        <w:pStyle w:val="NormalWeb"/>
        <w:numPr>
          <w:ilvl w:val="0"/>
          <w:numId w:val="4"/>
        </w:numPr>
        <w:tabs>
          <w:tab w:val="left" w:pos="0"/>
        </w:tabs>
        <w:spacing w:before="0" w:beforeAutospacing="0" w:after="0" w:afterAutospacing="0" w:line="276" w:lineRule="auto"/>
        <w:jc w:val="both"/>
        <w:rPr>
          <w:color w:val="000000"/>
        </w:rPr>
      </w:pPr>
      <w:r w:rsidRPr="006C4213">
        <w:rPr>
          <w:color w:val="000000"/>
        </w:rPr>
        <w:t>Издаване на разрешения за сливане, вливане, разделяне или отделяне на поднадзорни лица</w:t>
      </w:r>
      <w:r w:rsidRPr="006C4213">
        <w:t>;</w:t>
      </w:r>
    </w:p>
    <w:p w14:paraId="715BB9A5" w14:textId="77777777" w:rsidR="004074AE" w:rsidRPr="006C4213" w:rsidRDefault="0004769D" w:rsidP="00CC456E">
      <w:pPr>
        <w:pStyle w:val="NormalWeb"/>
        <w:numPr>
          <w:ilvl w:val="0"/>
          <w:numId w:val="4"/>
        </w:numPr>
        <w:tabs>
          <w:tab w:val="left" w:pos="0"/>
        </w:tabs>
        <w:spacing w:before="0" w:beforeAutospacing="0" w:after="0" w:afterAutospacing="0" w:line="276" w:lineRule="auto"/>
        <w:jc w:val="both"/>
        <w:rPr>
          <w:color w:val="000000"/>
        </w:rPr>
      </w:pPr>
      <w:r w:rsidRPr="006C4213">
        <w:rPr>
          <w:color w:val="000000"/>
        </w:rPr>
        <w:t xml:space="preserve">Издаване на </w:t>
      </w:r>
      <w:r>
        <w:rPr>
          <w:color w:val="000000"/>
        </w:rPr>
        <w:t>одобрения</w:t>
      </w:r>
      <w:r w:rsidRPr="006C4213">
        <w:rPr>
          <w:color w:val="000000"/>
        </w:rPr>
        <w:t xml:space="preserve"> на проспекти за публично предлагане </w:t>
      </w:r>
      <w:r>
        <w:rPr>
          <w:color w:val="000000"/>
        </w:rPr>
        <w:t xml:space="preserve">и/или за допускане до търговия на регулиран пазар </w:t>
      </w:r>
      <w:r w:rsidRPr="006C4213">
        <w:rPr>
          <w:color w:val="000000"/>
        </w:rPr>
        <w:t>на ценни книжа</w:t>
      </w:r>
      <w:r w:rsidR="004074AE" w:rsidRPr="006C4213">
        <w:rPr>
          <w:color w:val="000000"/>
        </w:rPr>
        <w:t xml:space="preserve">; </w:t>
      </w:r>
    </w:p>
    <w:p w14:paraId="66EDEB3F" w14:textId="77777777" w:rsidR="004074AE" w:rsidRPr="006C4213" w:rsidRDefault="004074AE" w:rsidP="00CC456E">
      <w:pPr>
        <w:pStyle w:val="NormalWeb"/>
        <w:numPr>
          <w:ilvl w:val="0"/>
          <w:numId w:val="4"/>
        </w:numPr>
        <w:tabs>
          <w:tab w:val="left" w:pos="0"/>
        </w:tabs>
        <w:spacing w:before="0" w:beforeAutospacing="0" w:after="0" w:afterAutospacing="0" w:line="276" w:lineRule="auto"/>
        <w:jc w:val="both"/>
        <w:rPr>
          <w:color w:val="000000"/>
        </w:rPr>
      </w:pPr>
      <w:r w:rsidRPr="006C4213">
        <w:rPr>
          <w:color w:val="000000"/>
        </w:rPr>
        <w:t>Издаване на разрешение за доброволно прекратяване и отнемане на лиценз по искане на поднадзорно лице</w:t>
      </w:r>
      <w:r w:rsidRPr="006C4213">
        <w:t>;</w:t>
      </w:r>
      <w:r w:rsidRPr="006C4213">
        <w:rPr>
          <w:color w:val="000000"/>
        </w:rPr>
        <w:t xml:space="preserve"> </w:t>
      </w:r>
    </w:p>
    <w:p w14:paraId="5066B6EA" w14:textId="77777777" w:rsidR="004074AE" w:rsidRPr="003D1587" w:rsidRDefault="004074AE" w:rsidP="00CC456E">
      <w:pPr>
        <w:pStyle w:val="NormalWeb"/>
        <w:numPr>
          <w:ilvl w:val="0"/>
          <w:numId w:val="4"/>
        </w:numPr>
        <w:tabs>
          <w:tab w:val="left" w:pos="0"/>
        </w:tabs>
        <w:spacing w:before="0" w:beforeAutospacing="0" w:after="0" w:afterAutospacing="0" w:line="276" w:lineRule="auto"/>
        <w:jc w:val="both"/>
        <w:rPr>
          <w:color w:val="auto"/>
        </w:rPr>
      </w:pPr>
      <w:r w:rsidRPr="003D1587">
        <w:rPr>
          <w:color w:val="auto"/>
        </w:rPr>
        <w:t>Издаване на допълнителни разрешения за осъществяване на дейност по нов вид застраховка;</w:t>
      </w:r>
    </w:p>
    <w:p w14:paraId="0F83FF7C" w14:textId="77777777" w:rsidR="004074AE" w:rsidRPr="003D1587" w:rsidRDefault="004074AE" w:rsidP="00CC456E">
      <w:pPr>
        <w:pStyle w:val="NormalWeb"/>
        <w:numPr>
          <w:ilvl w:val="0"/>
          <w:numId w:val="4"/>
        </w:numPr>
        <w:tabs>
          <w:tab w:val="left" w:pos="0"/>
        </w:tabs>
        <w:spacing w:before="0" w:beforeAutospacing="0" w:after="0" w:afterAutospacing="0" w:line="276" w:lineRule="auto"/>
        <w:jc w:val="both"/>
        <w:rPr>
          <w:color w:val="auto"/>
        </w:rPr>
      </w:pPr>
      <w:r w:rsidRPr="003D1587">
        <w:rPr>
          <w:color w:val="auto"/>
        </w:rPr>
        <w:t xml:space="preserve">Вписване в регистрите, водени от КФН;  </w:t>
      </w:r>
    </w:p>
    <w:p w14:paraId="55ECEEAB" w14:textId="77777777" w:rsidR="004074AE" w:rsidRPr="003D1587" w:rsidRDefault="004074AE" w:rsidP="00CC456E">
      <w:pPr>
        <w:pStyle w:val="NormalWeb"/>
        <w:numPr>
          <w:ilvl w:val="0"/>
          <w:numId w:val="4"/>
        </w:numPr>
        <w:tabs>
          <w:tab w:val="left" w:pos="0"/>
        </w:tabs>
        <w:spacing w:before="0" w:beforeAutospacing="0" w:after="0" w:afterAutospacing="0" w:line="276" w:lineRule="auto"/>
        <w:jc w:val="both"/>
        <w:rPr>
          <w:color w:val="auto"/>
        </w:rPr>
      </w:pPr>
      <w:r w:rsidRPr="003D1587">
        <w:rPr>
          <w:color w:val="auto"/>
        </w:rPr>
        <w:t xml:space="preserve">Разглеждане на търгови предложения и на предложения за изкупуване; </w:t>
      </w:r>
    </w:p>
    <w:p w14:paraId="7D8CFFEB" w14:textId="77777777" w:rsidR="004074AE" w:rsidRPr="006C4213" w:rsidRDefault="004074AE" w:rsidP="00CC456E">
      <w:pPr>
        <w:pStyle w:val="NormalWeb"/>
        <w:numPr>
          <w:ilvl w:val="0"/>
          <w:numId w:val="4"/>
        </w:numPr>
        <w:tabs>
          <w:tab w:val="left" w:pos="0"/>
        </w:tabs>
        <w:spacing w:before="0" w:beforeAutospacing="0" w:after="0" w:afterAutospacing="0" w:line="276" w:lineRule="auto"/>
        <w:jc w:val="both"/>
        <w:rPr>
          <w:color w:val="000000"/>
        </w:rPr>
      </w:pPr>
      <w:r w:rsidRPr="003D1587">
        <w:rPr>
          <w:color w:val="auto"/>
        </w:rPr>
        <w:t xml:space="preserve">Разглеждане на уведомление за </w:t>
      </w:r>
      <w:r w:rsidRPr="006C4213">
        <w:rPr>
          <w:color w:val="000000"/>
        </w:rPr>
        <w:t>придобиване или увеличаване на квалифицирано участие в поднадзорно лице</w:t>
      </w:r>
      <w:r w:rsidRPr="006C4213">
        <w:t>;</w:t>
      </w:r>
    </w:p>
    <w:p w14:paraId="2542C67F" w14:textId="77777777" w:rsidR="004074AE" w:rsidRPr="006C4213" w:rsidRDefault="004074AE" w:rsidP="00CC456E">
      <w:pPr>
        <w:pStyle w:val="NormalWeb"/>
        <w:numPr>
          <w:ilvl w:val="0"/>
          <w:numId w:val="4"/>
        </w:numPr>
        <w:tabs>
          <w:tab w:val="left" w:pos="0"/>
        </w:tabs>
        <w:spacing w:before="0" w:beforeAutospacing="0" w:after="0" w:afterAutospacing="0" w:line="276" w:lineRule="auto"/>
        <w:jc w:val="both"/>
        <w:rPr>
          <w:color w:val="000000"/>
        </w:rPr>
      </w:pPr>
      <w:r w:rsidRPr="006C4213">
        <w:rPr>
          <w:color w:val="auto"/>
        </w:rPr>
        <w:t>Последващо одобрение на управителните органи на поднадзорни лица</w:t>
      </w:r>
      <w:r w:rsidRPr="006C4213">
        <w:t>;</w:t>
      </w:r>
    </w:p>
    <w:p w14:paraId="0DC5ADD0" w14:textId="77777777" w:rsidR="004074AE" w:rsidRPr="006C4213" w:rsidRDefault="004074AE" w:rsidP="00CC456E">
      <w:pPr>
        <w:pStyle w:val="NormalWeb"/>
        <w:numPr>
          <w:ilvl w:val="0"/>
          <w:numId w:val="4"/>
        </w:numPr>
        <w:tabs>
          <w:tab w:val="left" w:pos="0"/>
        </w:tabs>
        <w:spacing w:before="0" w:beforeAutospacing="0" w:after="0" w:afterAutospacing="0" w:line="276" w:lineRule="auto"/>
        <w:jc w:val="both"/>
        <w:rPr>
          <w:color w:val="000000"/>
        </w:rPr>
      </w:pPr>
      <w:r w:rsidRPr="006C4213">
        <w:rPr>
          <w:color w:val="000000"/>
        </w:rPr>
        <w:t>Предотвратяване и разкриване на пазарни злоупотреби</w:t>
      </w:r>
      <w:r w:rsidRPr="006C4213">
        <w:t>;</w:t>
      </w:r>
      <w:r w:rsidRPr="006C4213">
        <w:rPr>
          <w:color w:val="000000"/>
        </w:rPr>
        <w:t xml:space="preserve"> </w:t>
      </w:r>
    </w:p>
    <w:p w14:paraId="73A9B676" w14:textId="77777777" w:rsidR="004074AE" w:rsidRPr="006C4213" w:rsidRDefault="004074AE" w:rsidP="00CC456E">
      <w:pPr>
        <w:pStyle w:val="NormalWeb"/>
        <w:numPr>
          <w:ilvl w:val="0"/>
          <w:numId w:val="4"/>
        </w:numPr>
        <w:tabs>
          <w:tab w:val="left" w:pos="0"/>
        </w:tabs>
        <w:spacing w:before="0" w:beforeAutospacing="0" w:after="0" w:afterAutospacing="0" w:line="276" w:lineRule="auto"/>
        <w:jc w:val="both"/>
        <w:rPr>
          <w:color w:val="000000"/>
        </w:rPr>
      </w:pPr>
      <w:r w:rsidRPr="006C4213">
        <w:rPr>
          <w:color w:val="000000"/>
        </w:rPr>
        <w:t>Осъществяване на общ финансов надзор</w:t>
      </w:r>
      <w:r w:rsidRPr="006C4213">
        <w:t>;</w:t>
      </w:r>
      <w:r w:rsidRPr="006C4213">
        <w:rPr>
          <w:color w:val="000000"/>
        </w:rPr>
        <w:t xml:space="preserve"> </w:t>
      </w:r>
    </w:p>
    <w:p w14:paraId="50C9CC05" w14:textId="77777777" w:rsidR="004074AE" w:rsidRPr="006C4213" w:rsidRDefault="004074AE" w:rsidP="00CC456E">
      <w:pPr>
        <w:numPr>
          <w:ilvl w:val="0"/>
          <w:numId w:val="4"/>
        </w:numPr>
        <w:tabs>
          <w:tab w:val="left" w:pos="0"/>
        </w:tabs>
        <w:spacing w:line="276" w:lineRule="auto"/>
        <w:jc w:val="both"/>
      </w:pPr>
      <w:r w:rsidRPr="006C4213">
        <w:t>Осъществяване на надзор върху правилата и системите за управление на рисковете на финансовите пазари;</w:t>
      </w:r>
    </w:p>
    <w:p w14:paraId="1343EF69" w14:textId="77777777" w:rsidR="004074AE" w:rsidRPr="006C4213" w:rsidRDefault="004074AE" w:rsidP="00CC456E">
      <w:pPr>
        <w:pStyle w:val="BodyText"/>
        <w:numPr>
          <w:ilvl w:val="0"/>
          <w:numId w:val="4"/>
        </w:numPr>
        <w:tabs>
          <w:tab w:val="left" w:pos="0"/>
        </w:tabs>
        <w:spacing w:after="0" w:line="276" w:lineRule="auto"/>
        <w:jc w:val="both"/>
        <w:rPr>
          <w:sz w:val="24"/>
          <w:szCs w:val="24"/>
        </w:rPr>
      </w:pPr>
      <w:r w:rsidRPr="006C4213">
        <w:rPr>
          <w:bCs/>
          <w:sz w:val="24"/>
          <w:szCs w:val="24"/>
        </w:rPr>
        <w:t>Прилагане на принудителни</w:t>
      </w:r>
      <w:r w:rsidRPr="006C4213">
        <w:rPr>
          <w:sz w:val="24"/>
          <w:szCs w:val="24"/>
        </w:rPr>
        <w:t xml:space="preserve"> административни мерки;</w:t>
      </w:r>
    </w:p>
    <w:p w14:paraId="30445401" w14:textId="77777777" w:rsidR="004074AE" w:rsidRPr="006C4213" w:rsidRDefault="004074AE" w:rsidP="00CC456E">
      <w:pPr>
        <w:numPr>
          <w:ilvl w:val="0"/>
          <w:numId w:val="4"/>
        </w:numPr>
        <w:tabs>
          <w:tab w:val="left" w:pos="0"/>
        </w:tabs>
        <w:spacing w:line="276" w:lineRule="auto"/>
        <w:jc w:val="both"/>
      </w:pPr>
      <w:r w:rsidRPr="006C4213">
        <w:rPr>
          <w:bCs/>
        </w:rPr>
        <w:t>Налагане на административни наказания;</w:t>
      </w:r>
    </w:p>
    <w:p w14:paraId="4857816E" w14:textId="77777777" w:rsidR="004074AE" w:rsidRPr="006C4213" w:rsidRDefault="004074AE" w:rsidP="00CC456E">
      <w:pPr>
        <w:numPr>
          <w:ilvl w:val="0"/>
          <w:numId w:val="4"/>
        </w:numPr>
        <w:tabs>
          <w:tab w:val="left" w:pos="0"/>
        </w:tabs>
        <w:spacing w:line="276" w:lineRule="auto"/>
        <w:jc w:val="both"/>
        <w:rPr>
          <w:bCs/>
        </w:rPr>
      </w:pPr>
      <w:r w:rsidRPr="006C4213">
        <w:rPr>
          <w:bCs/>
        </w:rPr>
        <w:t>Осигуряване на достъп до информация, с оглед взимане на информирани решения от участниците на пазара и повишаване информираността на обществото за финансовите продукти и услуги;</w:t>
      </w:r>
    </w:p>
    <w:p w14:paraId="600D3559" w14:textId="77777777" w:rsidR="004074AE" w:rsidRDefault="004074AE" w:rsidP="00CC456E">
      <w:pPr>
        <w:numPr>
          <w:ilvl w:val="0"/>
          <w:numId w:val="4"/>
        </w:numPr>
        <w:tabs>
          <w:tab w:val="left" w:pos="0"/>
        </w:tabs>
        <w:spacing w:line="276" w:lineRule="auto"/>
        <w:jc w:val="both"/>
      </w:pPr>
      <w:r w:rsidRPr="006C4213">
        <w:t>Изготвяне на анализи и прогнози относно развитието на небанковия финансов сектор;</w:t>
      </w:r>
    </w:p>
    <w:p w14:paraId="75C46FBF" w14:textId="77777777" w:rsidR="004074AE" w:rsidRPr="00366ACF" w:rsidRDefault="004074AE" w:rsidP="00CC456E">
      <w:pPr>
        <w:numPr>
          <w:ilvl w:val="0"/>
          <w:numId w:val="4"/>
        </w:numPr>
        <w:tabs>
          <w:tab w:val="left" w:pos="0"/>
        </w:tabs>
        <w:spacing w:line="276" w:lineRule="auto"/>
        <w:jc w:val="both"/>
      </w:pPr>
      <w:r w:rsidRPr="00366ACF">
        <w:t>Периодично изготвяне на Преглед на рисковете в небанковия финансов сектор;</w:t>
      </w:r>
    </w:p>
    <w:p w14:paraId="0BFFD91E" w14:textId="77777777" w:rsidR="004074AE" w:rsidRPr="006C4213" w:rsidRDefault="004074AE" w:rsidP="00CC456E">
      <w:pPr>
        <w:numPr>
          <w:ilvl w:val="0"/>
          <w:numId w:val="4"/>
        </w:numPr>
        <w:tabs>
          <w:tab w:val="left" w:pos="0"/>
        </w:tabs>
        <w:spacing w:line="276" w:lineRule="auto"/>
        <w:jc w:val="both"/>
        <w:rPr>
          <w:lang w:val="ru-RU"/>
        </w:rPr>
      </w:pPr>
      <w:r w:rsidRPr="006C4213">
        <w:t>Изготвяне на становища и писмени отговори по постъпили запитвания, свързани с дейността на поднадзорните на КФН лица;</w:t>
      </w:r>
    </w:p>
    <w:p w14:paraId="71390892" w14:textId="77777777" w:rsidR="004074AE" w:rsidRPr="00682D8D" w:rsidRDefault="004074AE" w:rsidP="00CC456E">
      <w:pPr>
        <w:numPr>
          <w:ilvl w:val="0"/>
          <w:numId w:val="4"/>
        </w:numPr>
        <w:tabs>
          <w:tab w:val="left" w:pos="0"/>
        </w:tabs>
        <w:spacing w:line="276" w:lineRule="auto"/>
        <w:jc w:val="both"/>
        <w:rPr>
          <w:bCs/>
        </w:rPr>
      </w:pPr>
      <w:r w:rsidRPr="006C4213">
        <w:t xml:space="preserve">Разглеждане на жалби/сигнали от потребители на инвестиционни, застрахователни </w:t>
      </w:r>
      <w:r w:rsidRPr="00682D8D">
        <w:t>и осигурителни услуги;</w:t>
      </w:r>
    </w:p>
    <w:p w14:paraId="340ABD7B" w14:textId="77777777" w:rsidR="004074AE" w:rsidRPr="00682D8D" w:rsidRDefault="004074AE" w:rsidP="00CC456E">
      <w:pPr>
        <w:numPr>
          <w:ilvl w:val="0"/>
          <w:numId w:val="4"/>
        </w:numPr>
        <w:tabs>
          <w:tab w:val="left" w:pos="0"/>
        </w:tabs>
        <w:spacing w:line="276" w:lineRule="auto"/>
        <w:jc w:val="both"/>
        <w:rPr>
          <w:bCs/>
        </w:rPr>
      </w:pPr>
      <w:r w:rsidRPr="00682D8D">
        <w:t>Изготвяне на отговори по постъпили и обработени жалби и запитвания от потребители на инвестиционни, застрахователни и осигурителни услуги</w:t>
      </w:r>
      <w:r w:rsidR="00682D8D" w:rsidRPr="00682D8D">
        <w:t>;</w:t>
      </w:r>
      <w:r w:rsidRPr="00682D8D">
        <w:t xml:space="preserve"> </w:t>
      </w:r>
    </w:p>
    <w:p w14:paraId="1B13D5A7" w14:textId="77777777" w:rsidR="004074AE" w:rsidRPr="00682D8D" w:rsidRDefault="004074AE" w:rsidP="00CC456E">
      <w:pPr>
        <w:numPr>
          <w:ilvl w:val="0"/>
          <w:numId w:val="4"/>
        </w:numPr>
        <w:tabs>
          <w:tab w:val="left" w:pos="0"/>
        </w:tabs>
        <w:spacing w:line="276" w:lineRule="auto"/>
        <w:jc w:val="both"/>
        <w:rPr>
          <w:bCs/>
        </w:rPr>
      </w:pPr>
      <w:r w:rsidRPr="00682D8D">
        <w:rPr>
          <w:bCs/>
        </w:rPr>
        <w:t xml:space="preserve">Извършване на дейности и консултации в рамките на Финтех групата и </w:t>
      </w:r>
      <w:r w:rsidRPr="00682D8D">
        <w:rPr>
          <w:bCs/>
          <w:lang w:val="en-US"/>
        </w:rPr>
        <w:t>Innovation</w:t>
      </w:r>
      <w:r w:rsidRPr="00682D8D">
        <w:rPr>
          <w:bCs/>
          <w:lang w:val="ru-RU"/>
        </w:rPr>
        <w:t xml:space="preserve"> </w:t>
      </w:r>
      <w:r w:rsidRPr="00682D8D">
        <w:rPr>
          <w:bCs/>
          <w:lang w:val="en-US"/>
        </w:rPr>
        <w:t>hub</w:t>
      </w:r>
      <w:r w:rsidRPr="00682D8D">
        <w:rPr>
          <w:bCs/>
        </w:rPr>
        <w:t xml:space="preserve"> на КФН</w:t>
      </w:r>
      <w:r w:rsidR="00682D8D" w:rsidRPr="00682D8D">
        <w:rPr>
          <w:bCs/>
        </w:rPr>
        <w:t>;</w:t>
      </w:r>
    </w:p>
    <w:p w14:paraId="62F82375" w14:textId="77777777" w:rsidR="004074AE" w:rsidRPr="006C4213" w:rsidRDefault="004074AE" w:rsidP="00CC456E">
      <w:pPr>
        <w:numPr>
          <w:ilvl w:val="0"/>
          <w:numId w:val="4"/>
        </w:numPr>
        <w:tabs>
          <w:tab w:val="left" w:pos="0"/>
        </w:tabs>
        <w:spacing w:line="276" w:lineRule="auto"/>
        <w:jc w:val="both"/>
        <w:rPr>
          <w:bCs/>
        </w:rPr>
      </w:pPr>
      <w:r w:rsidRPr="00682D8D">
        <w:rPr>
          <w:bCs/>
        </w:rPr>
        <w:lastRenderedPageBreak/>
        <w:t>Изпълнение на дейности във</w:t>
      </w:r>
      <w:r>
        <w:rPr>
          <w:bCs/>
        </w:rPr>
        <w:t xml:space="preserve"> връзка с прилагане на ЗВПКИИП, включващи преглед и </w:t>
      </w:r>
      <w:r w:rsidRPr="007C0257">
        <w:rPr>
          <w:bCs/>
        </w:rPr>
        <w:t>изготвяне на становища по постъпили планове за възстановяване; определяне на индивидуалните вноски на инвестиционните посредници във ФПИП; изготвяне на планове за преструктуриране на инвестиционните посредници</w:t>
      </w:r>
      <w:r w:rsidR="007C0257" w:rsidRPr="007C0257">
        <w:rPr>
          <w:bCs/>
          <w:lang w:val="ru-RU"/>
        </w:rPr>
        <w:t>,</w:t>
      </w:r>
      <w:r w:rsidR="007C0257" w:rsidRPr="007C0257">
        <w:t xml:space="preserve"> </w:t>
      </w:r>
      <w:r w:rsidR="007C0257" w:rsidRPr="007C0257">
        <w:rPr>
          <w:bCs/>
          <w:lang w:val="ru-RU"/>
        </w:rPr>
        <w:t>застрахователни и презастрахователни дружества</w:t>
      </w:r>
      <w:r w:rsidRPr="007C0257">
        <w:rPr>
          <w:bCs/>
        </w:rPr>
        <w:t>;</w:t>
      </w:r>
    </w:p>
    <w:p w14:paraId="64753DC2" w14:textId="77777777" w:rsidR="004074AE" w:rsidRPr="006C4213" w:rsidRDefault="004074AE" w:rsidP="00CC456E">
      <w:pPr>
        <w:numPr>
          <w:ilvl w:val="0"/>
          <w:numId w:val="4"/>
        </w:numPr>
        <w:tabs>
          <w:tab w:val="left" w:pos="0"/>
        </w:tabs>
        <w:spacing w:line="276" w:lineRule="auto"/>
        <w:jc w:val="both"/>
      </w:pPr>
      <w:r w:rsidRPr="006C4213">
        <w:rPr>
          <w:bCs/>
        </w:rPr>
        <w:t>Обмен на информация с национални органи, с европейските надзорни органи и надзорните органи на други държави;</w:t>
      </w:r>
    </w:p>
    <w:p w14:paraId="00CF17CB" w14:textId="77777777" w:rsidR="004074AE" w:rsidRPr="004074AE" w:rsidRDefault="004074AE" w:rsidP="00CC456E">
      <w:pPr>
        <w:numPr>
          <w:ilvl w:val="0"/>
          <w:numId w:val="4"/>
        </w:numPr>
        <w:tabs>
          <w:tab w:val="left" w:pos="0"/>
        </w:tabs>
        <w:spacing w:line="276" w:lineRule="auto"/>
        <w:ind w:left="851" w:right="-28" w:hanging="284"/>
        <w:jc w:val="both"/>
        <w:rPr>
          <w:color w:val="000000"/>
        </w:rPr>
      </w:pPr>
      <w:r w:rsidRPr="004074AE">
        <w:t>Международна дейност, образователни и други инициативи за повишаване на финансовата грамотност на потребителите на небанкови финансови услуги;</w:t>
      </w:r>
    </w:p>
    <w:p w14:paraId="23D071D5" w14:textId="77777777" w:rsidR="00534006" w:rsidRPr="001D5C6F" w:rsidRDefault="004074AE" w:rsidP="00CC456E">
      <w:pPr>
        <w:numPr>
          <w:ilvl w:val="0"/>
          <w:numId w:val="4"/>
        </w:numPr>
        <w:tabs>
          <w:tab w:val="left" w:pos="0"/>
        </w:tabs>
        <w:spacing w:line="276" w:lineRule="auto"/>
        <w:ind w:left="851" w:right="-28" w:hanging="284"/>
        <w:jc w:val="both"/>
        <w:rPr>
          <w:color w:val="000000"/>
        </w:rPr>
      </w:pPr>
      <w:r w:rsidRPr="004074AE">
        <w:t>Даване на публичност на предоставената от задължените лица по § 1д от Допълнителните разпоредби на ЗППЦК информация</w:t>
      </w:r>
      <w:r w:rsidR="001D2AE3">
        <w:t>.</w:t>
      </w:r>
    </w:p>
    <w:p w14:paraId="0EABBCDE" w14:textId="77777777" w:rsidR="00676ADB" w:rsidRDefault="00CB1668" w:rsidP="00CC456E">
      <w:pPr>
        <w:pStyle w:val="Heading2"/>
        <w:spacing w:line="276" w:lineRule="auto"/>
        <w:jc w:val="both"/>
      </w:pPr>
      <w:bookmarkStart w:id="24" w:name="_Toc206148626"/>
      <w:r w:rsidRPr="00CB1668">
        <w:t>в)</w:t>
      </w:r>
      <w:bookmarkStart w:id="25" w:name="_Toc78466430"/>
      <w:r w:rsidRPr="00CB1668">
        <w:t xml:space="preserve"> </w:t>
      </w:r>
      <w:r w:rsidR="00A035B2" w:rsidRPr="00CB1668">
        <w:t>Отчет</w:t>
      </w:r>
      <w:r w:rsidR="00A035B2" w:rsidRPr="00D117F3">
        <w:t xml:space="preserve"> за показателите на изпълнение на програмата (количествени, качествени, времеви)</w:t>
      </w:r>
      <w:bookmarkEnd w:id="24"/>
      <w:bookmarkEnd w:id="25"/>
      <w:r w:rsidR="00A035B2" w:rsidRPr="0022063E">
        <w:t xml:space="preserve"> </w:t>
      </w:r>
    </w:p>
    <w:p w14:paraId="6D79505F" w14:textId="77777777" w:rsidR="00417CF4" w:rsidRDefault="00417CF4" w:rsidP="00CC456E">
      <w:pPr>
        <w:pStyle w:val="Title"/>
        <w:spacing w:after="0" w:line="276" w:lineRule="auto"/>
        <w:ind w:right="-28" w:firstLine="540"/>
        <w:jc w:val="both"/>
        <w:rPr>
          <w:rFonts w:cs="Times New Roman"/>
          <w:bCs w:val="0"/>
          <w:color w:val="000000"/>
          <w:sz w:val="24"/>
          <w:szCs w:val="24"/>
          <w:lang w:eastAsia="bg-BG"/>
        </w:rPr>
      </w:pPr>
      <w:r w:rsidRPr="00FE79A2">
        <w:rPr>
          <w:rFonts w:cs="Times New Roman"/>
          <w:bCs w:val="0"/>
          <w:color w:val="000000"/>
          <w:sz w:val="24"/>
          <w:szCs w:val="24"/>
          <w:lang w:eastAsia="bg-BG"/>
        </w:rPr>
        <w:t>Постигнатите резултати и изпълнените дейности за тяхното постигане са посочени в Приложение № 6.</w:t>
      </w:r>
    </w:p>
    <w:p w14:paraId="620D4C26" w14:textId="77777777" w:rsidR="00245031" w:rsidRPr="00534006" w:rsidRDefault="00245031" w:rsidP="00CC456E">
      <w:pPr>
        <w:pStyle w:val="Title"/>
        <w:spacing w:after="0" w:line="276" w:lineRule="auto"/>
        <w:ind w:right="-28" w:firstLine="540"/>
        <w:jc w:val="both"/>
        <w:rPr>
          <w:rFonts w:cs="Times New Roman"/>
          <w:bCs w:val="0"/>
          <w:color w:val="000000"/>
          <w:sz w:val="24"/>
          <w:szCs w:val="24"/>
          <w:lang w:eastAsia="bg-BG"/>
        </w:rPr>
      </w:pPr>
    </w:p>
    <w:p w14:paraId="332F4B29" w14:textId="77777777" w:rsidR="00490197" w:rsidRPr="00F00C05" w:rsidRDefault="00490197" w:rsidP="00CC456E">
      <w:pPr>
        <w:pStyle w:val="Subtitle"/>
        <w:spacing w:after="0" w:line="276" w:lineRule="auto"/>
        <w:ind w:right="-28"/>
        <w:jc w:val="both"/>
        <w:rPr>
          <w:rFonts w:cs="Times New Roman"/>
          <w:color w:val="auto"/>
          <w:sz w:val="24"/>
        </w:rPr>
      </w:pPr>
      <w:bookmarkStart w:id="26" w:name="_Toc78466431"/>
      <w:r w:rsidRPr="00F00C05">
        <w:rPr>
          <w:rFonts w:cs="Times New Roman"/>
          <w:b/>
          <w:color w:val="auto"/>
          <w:sz w:val="24"/>
          <w:lang w:eastAsia="bg-BG"/>
        </w:rPr>
        <w:t xml:space="preserve">1. </w:t>
      </w:r>
      <w:bookmarkEnd w:id="26"/>
      <w:r w:rsidR="00B46722" w:rsidRPr="00B46722">
        <w:rPr>
          <w:rFonts w:cs="Times New Roman"/>
          <w:b/>
          <w:color w:val="auto"/>
          <w:sz w:val="24"/>
          <w:lang w:eastAsia="bg-BG"/>
        </w:rPr>
        <w:t>Извършване на анализ на регулаторната рамка и изготвяне на предложения за промени в нормативната уредба с цел усъвършенстване на финансовите регулации и прилагане на добри практики в регулаторната дейност</w:t>
      </w:r>
    </w:p>
    <w:p w14:paraId="38633950" w14:textId="43D774F0" w:rsidR="00B46722" w:rsidRPr="00F2736B" w:rsidRDefault="00490197" w:rsidP="00CC456E">
      <w:pPr>
        <w:pStyle w:val="Subtitle"/>
        <w:spacing w:after="0" w:line="276" w:lineRule="auto"/>
        <w:ind w:right="-28"/>
        <w:jc w:val="both"/>
        <w:rPr>
          <w:color w:val="000000"/>
          <w:sz w:val="18"/>
          <w:szCs w:val="18"/>
        </w:rPr>
      </w:pPr>
      <w:bookmarkStart w:id="27" w:name="_Toc78466432"/>
      <w:r w:rsidRPr="00F00C05">
        <w:rPr>
          <w:rFonts w:cs="Times New Roman"/>
          <w:b/>
          <w:color w:val="auto"/>
          <w:sz w:val="24"/>
          <w:lang w:eastAsia="bg-BG"/>
        </w:rPr>
        <w:t>1.1</w:t>
      </w:r>
      <w:r w:rsidRPr="00D41716">
        <w:rPr>
          <w:rFonts w:cs="Times New Roman"/>
          <w:b/>
          <w:color w:val="auto"/>
          <w:sz w:val="24"/>
          <w:lang w:eastAsia="bg-BG"/>
        </w:rPr>
        <w:t xml:space="preserve">. </w:t>
      </w:r>
      <w:bookmarkEnd w:id="27"/>
      <w:r w:rsidR="00B46722" w:rsidRPr="00D41716">
        <w:rPr>
          <w:rFonts w:cs="Times New Roman"/>
          <w:b/>
          <w:color w:val="auto"/>
          <w:sz w:val="24"/>
          <w:lang w:eastAsia="bg-BG"/>
        </w:rPr>
        <w:t xml:space="preserve">Изготвени предложения за изменение и допълнение на нормативни актове и </w:t>
      </w:r>
      <w:r w:rsidR="00B46722" w:rsidRPr="00F2736B">
        <w:rPr>
          <w:rFonts w:cs="Times New Roman"/>
          <w:b/>
          <w:color w:val="auto"/>
          <w:sz w:val="24"/>
          <w:lang w:eastAsia="bg-BG"/>
        </w:rPr>
        <w:t>приети подзаконови нормативни актове</w:t>
      </w:r>
      <w:r w:rsidR="00B46722" w:rsidRPr="00F2736B">
        <w:rPr>
          <w:color w:val="000000"/>
          <w:sz w:val="18"/>
          <w:szCs w:val="18"/>
        </w:rPr>
        <w:t xml:space="preserve"> </w:t>
      </w:r>
    </w:p>
    <w:p w14:paraId="0EEF6926" w14:textId="7436486E" w:rsidR="00492467" w:rsidRPr="00F2736B" w:rsidRDefault="00492467" w:rsidP="00492467">
      <w:pPr>
        <w:spacing w:before="60" w:after="60" w:line="276" w:lineRule="auto"/>
        <w:ind w:firstLine="708"/>
        <w:jc w:val="both"/>
        <w:rPr>
          <w:rFonts w:eastAsiaTheme="minorHAnsi"/>
          <w:bCs/>
          <w:lang w:eastAsia="en-US"/>
        </w:rPr>
      </w:pPr>
      <w:r w:rsidRPr="00F2736B">
        <w:rPr>
          <w:rFonts w:eastAsiaTheme="minorHAnsi"/>
          <w:bCs/>
          <w:lang w:eastAsia="en-US"/>
        </w:rPr>
        <w:t>Във връзка с работа по проект на уредба на Туристически гаранционен фонд на 16.04.2025 г. представители на Управление застрахователен надзор изпратиха по електронна поща на Министерство на туризма един проект на промени в Закона за туризма с цел въвеждане на туристически гаранционен фонд.</w:t>
      </w:r>
    </w:p>
    <w:p w14:paraId="19ED981D" w14:textId="5ACFC9DD" w:rsidR="00BD5E6B" w:rsidRPr="00F2736B" w:rsidRDefault="00BD5E6B" w:rsidP="00BD5E6B">
      <w:pPr>
        <w:spacing w:before="60" w:after="60" w:line="276" w:lineRule="auto"/>
        <w:ind w:firstLine="708"/>
        <w:jc w:val="both"/>
        <w:rPr>
          <w:rFonts w:eastAsiaTheme="minorHAnsi"/>
          <w:bCs/>
          <w:lang w:eastAsia="en-US"/>
        </w:rPr>
      </w:pPr>
      <w:r w:rsidRPr="00F2736B">
        <w:rPr>
          <w:color w:val="000000"/>
          <w:sz w:val="18"/>
          <w:szCs w:val="18"/>
        </w:rPr>
        <w:tab/>
      </w:r>
      <w:r w:rsidRPr="00F2736B">
        <w:rPr>
          <w:rFonts w:eastAsiaTheme="minorHAnsi"/>
          <w:bCs/>
          <w:lang w:eastAsia="en-US"/>
        </w:rPr>
        <w:t xml:space="preserve">След успешното приключване на цялостния преглед на допълнителното пенсионно осигуряване от </w:t>
      </w:r>
      <w:r w:rsidR="00926CB2" w:rsidRPr="00F2736B">
        <w:rPr>
          <w:rFonts w:eastAsiaTheme="minorHAnsi"/>
          <w:bCs/>
          <w:lang w:eastAsia="en-US"/>
        </w:rPr>
        <w:t>ОИСР</w:t>
      </w:r>
      <w:r w:rsidRPr="00F2736B">
        <w:rPr>
          <w:rFonts w:eastAsiaTheme="minorHAnsi"/>
          <w:bCs/>
          <w:lang w:eastAsia="en-US"/>
        </w:rPr>
        <w:t>, с цел изпълнение на получените препоръки за</w:t>
      </w:r>
      <w:r w:rsidRPr="00F2736B">
        <w:rPr>
          <w:rFonts w:eastAsiaTheme="minorHAnsi" w:cstheme="minorBidi"/>
          <w:lang w:eastAsia="en-US"/>
        </w:rPr>
        <w:t xml:space="preserve"> развиване и усъвършенстване на регулаторната рамка</w:t>
      </w:r>
      <w:r w:rsidRPr="00F2736B">
        <w:rPr>
          <w:rFonts w:eastAsiaTheme="minorHAnsi"/>
          <w:bCs/>
          <w:lang w:eastAsia="en-US"/>
        </w:rPr>
        <w:t xml:space="preserve">, както и в контекста на направените изводи в </w:t>
      </w:r>
      <w:r w:rsidRPr="00F2736B">
        <w:rPr>
          <w:rFonts w:eastAsiaTheme="minorHAnsi"/>
          <w:lang w:eastAsia="en-US"/>
        </w:rPr>
        <w:t>Анализа на действащата пенсионна система и предложения за нейното усъвършенстване, изготвен от Икономическия и социален съвет, разработен по предложение на Председателя на 49-ото Народно събрание, от КФН са подготвени и изпратени</w:t>
      </w:r>
      <w:r w:rsidRPr="00F2736B">
        <w:rPr>
          <w:rFonts w:eastAsiaTheme="minorHAnsi"/>
          <w:bCs/>
          <w:lang w:eastAsia="en-US"/>
        </w:rPr>
        <w:t xml:space="preserve"> на Министерство на финансите с писмо с изх. № 04-13-20 от 17.02.2025 г. </w:t>
      </w:r>
      <w:r w:rsidRPr="00F2736B">
        <w:rPr>
          <w:rFonts w:eastAsiaTheme="minorHAnsi"/>
          <w:lang w:eastAsia="en-US"/>
        </w:rPr>
        <w:t>проект на Закон за изменение и допълнение на Кодекса за социално осигуряване и придружаващите го мотиви и оценка на въздействие</w:t>
      </w:r>
      <w:r w:rsidRPr="00F2736B">
        <w:rPr>
          <w:rFonts w:eastAsiaTheme="minorHAnsi"/>
          <w:bCs/>
          <w:lang w:eastAsia="en-US"/>
        </w:rPr>
        <w:t>. Предложенията за законодателни промени са в следните основни направления:</w:t>
      </w:r>
    </w:p>
    <w:p w14:paraId="4AF13E04" w14:textId="77777777" w:rsidR="00BD5E6B" w:rsidRPr="00F2736B" w:rsidRDefault="00BD5E6B" w:rsidP="00BD5E6B">
      <w:pPr>
        <w:numPr>
          <w:ilvl w:val="0"/>
          <w:numId w:val="38"/>
        </w:numPr>
        <w:spacing w:before="60" w:after="60" w:line="276" w:lineRule="auto"/>
        <w:ind w:left="0" w:firstLine="360"/>
        <w:contextualSpacing/>
        <w:jc w:val="both"/>
        <w:rPr>
          <w:rFonts w:eastAsiaTheme="minorHAnsi"/>
          <w:bCs/>
          <w:lang w:eastAsia="en-US"/>
        </w:rPr>
      </w:pPr>
      <w:r w:rsidRPr="00F2736B">
        <w:rPr>
          <w:rFonts w:eastAsiaTheme="minorHAnsi"/>
          <w:lang w:eastAsia="en-US"/>
        </w:rPr>
        <w:t xml:space="preserve">Въвеждане на многофондова система и </w:t>
      </w:r>
      <w:r w:rsidRPr="00F2736B">
        <w:rPr>
          <w:rFonts w:eastAsiaTheme="minorHAnsi"/>
          <w:iCs/>
          <w:lang w:eastAsia="en-US"/>
        </w:rPr>
        <w:t>предоставяне на свобода за избор на осигурените лица на подфонд с различен инвестиционен и рисков профил с цел отчитане техните предпочитания, насърчаване активното им участие в инвестиционния процес и разширяване на възможностите за постигане на по-висока доходност;</w:t>
      </w:r>
    </w:p>
    <w:p w14:paraId="23E5031C" w14:textId="77777777" w:rsidR="00BD5E6B" w:rsidRPr="00F2736B" w:rsidRDefault="00BD5E6B" w:rsidP="00BD5E6B">
      <w:pPr>
        <w:numPr>
          <w:ilvl w:val="0"/>
          <w:numId w:val="38"/>
        </w:numPr>
        <w:spacing w:before="60" w:after="60" w:line="276" w:lineRule="auto"/>
        <w:ind w:left="0" w:firstLine="360"/>
        <w:contextualSpacing/>
        <w:jc w:val="both"/>
        <w:rPr>
          <w:rFonts w:eastAsiaTheme="minorHAnsi"/>
          <w:bCs/>
          <w:lang w:eastAsia="en-US"/>
        </w:rPr>
      </w:pPr>
      <w:r w:rsidRPr="00F2736B">
        <w:rPr>
          <w:rFonts w:eastAsiaTheme="minorHAnsi"/>
          <w:lang w:eastAsia="en-US"/>
        </w:rPr>
        <w:lastRenderedPageBreak/>
        <w:t xml:space="preserve">Замяна на механизма за гарантиране на минималната доходност при управлението на средствата на фондовете за допълнително задължително пенсионно осигуряване с пазарен показател (бенчмарк), който има за цел </w:t>
      </w:r>
      <w:r w:rsidRPr="00F2736B">
        <w:rPr>
          <w:rFonts w:eastAsiaTheme="minorHAnsi"/>
          <w:iCs/>
          <w:lang w:eastAsia="en-US"/>
        </w:rPr>
        <w:t>да стимулира постигането на висока доходност и дава възможност за привличане на осигурените лица, като същевременно отразява дългосрочните пазарни тенденции и намаляване влиянието на краткосрочните пазарни колебания;</w:t>
      </w:r>
    </w:p>
    <w:p w14:paraId="23B512FA" w14:textId="77777777" w:rsidR="00BD5E6B" w:rsidRPr="00F2736B" w:rsidRDefault="00BD5E6B" w:rsidP="00BD5E6B">
      <w:pPr>
        <w:numPr>
          <w:ilvl w:val="0"/>
          <w:numId w:val="38"/>
        </w:numPr>
        <w:spacing w:before="60" w:after="60" w:line="276" w:lineRule="auto"/>
        <w:ind w:left="0" w:firstLine="360"/>
        <w:contextualSpacing/>
        <w:jc w:val="both"/>
        <w:rPr>
          <w:rFonts w:eastAsiaTheme="minorHAnsi"/>
          <w:bCs/>
          <w:lang w:eastAsia="en-US"/>
        </w:rPr>
      </w:pPr>
      <w:r w:rsidRPr="00F2736B">
        <w:rPr>
          <w:rFonts w:eastAsiaTheme="minorHAnsi"/>
          <w:lang w:eastAsia="en-US"/>
        </w:rPr>
        <w:t>Развиване на изискванията към инвестициите на пенсионните фондове и тяхното управление във връзка с въвеждането на многофондовата система;</w:t>
      </w:r>
    </w:p>
    <w:p w14:paraId="74A5D76F" w14:textId="77777777" w:rsidR="00BD5E6B" w:rsidRPr="00F2736B" w:rsidRDefault="00BD5E6B" w:rsidP="00BD5E6B">
      <w:pPr>
        <w:numPr>
          <w:ilvl w:val="0"/>
          <w:numId w:val="38"/>
        </w:numPr>
        <w:shd w:val="clear" w:color="auto" w:fill="FFFFFF" w:themeFill="background1"/>
        <w:spacing w:before="60" w:after="60" w:line="276" w:lineRule="auto"/>
        <w:ind w:left="0" w:firstLine="360"/>
        <w:contextualSpacing/>
        <w:jc w:val="both"/>
        <w:rPr>
          <w:rFonts w:eastAsiaTheme="minorHAnsi"/>
          <w:lang w:val="en-US" w:eastAsia="en-US"/>
        </w:rPr>
      </w:pPr>
      <w:r w:rsidRPr="00F2736B">
        <w:rPr>
          <w:rFonts w:eastAsiaTheme="minorHAnsi"/>
          <w:lang w:eastAsia="en-US"/>
        </w:rPr>
        <w:t>Подобряване на дейността на осигурителните посредници, повишаване и поддържане на познанията им в областта на допълнителното пенсионно осигуряване</w:t>
      </w:r>
      <w:r w:rsidRPr="00F2736B">
        <w:rPr>
          <w:rFonts w:eastAsiaTheme="minorHAnsi"/>
          <w:lang w:val="en-US" w:eastAsia="en-US"/>
        </w:rPr>
        <w:t>;</w:t>
      </w:r>
    </w:p>
    <w:p w14:paraId="1946BCA1" w14:textId="77777777" w:rsidR="00BD5E6B" w:rsidRPr="00F2736B" w:rsidRDefault="00BD5E6B" w:rsidP="00BD5E6B">
      <w:pPr>
        <w:numPr>
          <w:ilvl w:val="0"/>
          <w:numId w:val="38"/>
        </w:numPr>
        <w:shd w:val="clear" w:color="auto" w:fill="FFFFFF" w:themeFill="background1"/>
        <w:spacing w:before="60" w:after="60" w:line="276" w:lineRule="auto"/>
        <w:ind w:left="0" w:firstLine="360"/>
        <w:contextualSpacing/>
        <w:jc w:val="both"/>
        <w:rPr>
          <w:rFonts w:eastAsiaTheme="minorHAnsi"/>
          <w:lang w:eastAsia="en-US"/>
        </w:rPr>
      </w:pPr>
      <w:r w:rsidRPr="00F2736B">
        <w:rPr>
          <w:rFonts w:eastAsiaTheme="minorHAnsi"/>
          <w:lang w:eastAsia="en-US"/>
        </w:rPr>
        <w:t>Намаляване на таксите и удръжките чрез въвеждането на двукомпонентна такса - процент от управляваните активи и от постигнатия инвестиционен резултат;</w:t>
      </w:r>
    </w:p>
    <w:p w14:paraId="49BF3757" w14:textId="77777777" w:rsidR="00BD5E6B" w:rsidRPr="00F2736B" w:rsidRDefault="00BD5E6B" w:rsidP="00BD5E6B">
      <w:pPr>
        <w:numPr>
          <w:ilvl w:val="0"/>
          <w:numId w:val="38"/>
        </w:numPr>
        <w:shd w:val="clear" w:color="auto" w:fill="FFFFFF" w:themeFill="background1"/>
        <w:spacing w:before="60" w:after="60" w:line="276" w:lineRule="auto"/>
        <w:ind w:left="0" w:firstLine="360"/>
        <w:contextualSpacing/>
        <w:jc w:val="both"/>
        <w:rPr>
          <w:rFonts w:eastAsiaTheme="minorHAnsi"/>
          <w:iCs/>
          <w:color w:val="000000"/>
          <w:kern w:val="24"/>
          <w:lang w:eastAsia="en-US"/>
        </w:rPr>
      </w:pPr>
      <w:r w:rsidRPr="00F2736B">
        <w:rPr>
          <w:rFonts w:eastAsiaTheme="minorHAnsi"/>
          <w:iCs/>
          <w:color w:val="000000"/>
          <w:kern w:val="24"/>
          <w:lang w:eastAsia="en-US"/>
        </w:rPr>
        <w:t>Развиване на уредбата на изплащането на средства при придобиване на право на пенсия, в т.ч. от ППФ и ДПФ;</w:t>
      </w:r>
    </w:p>
    <w:p w14:paraId="47BAF00D" w14:textId="77777777" w:rsidR="00BD5E6B" w:rsidRPr="00F2736B" w:rsidRDefault="00BD5E6B" w:rsidP="00BD5E6B">
      <w:pPr>
        <w:numPr>
          <w:ilvl w:val="0"/>
          <w:numId w:val="38"/>
        </w:numPr>
        <w:shd w:val="clear" w:color="auto" w:fill="FFFFFF" w:themeFill="background1"/>
        <w:spacing w:before="60" w:after="60" w:line="276" w:lineRule="auto"/>
        <w:ind w:left="0" w:firstLine="360"/>
        <w:contextualSpacing/>
        <w:jc w:val="both"/>
        <w:rPr>
          <w:rFonts w:eastAsiaTheme="minorHAnsi"/>
          <w:lang w:eastAsia="en-US"/>
        </w:rPr>
      </w:pPr>
      <w:r w:rsidRPr="00F2736B">
        <w:rPr>
          <w:rFonts w:eastAsiaTheme="minorHAnsi"/>
          <w:lang w:eastAsia="en-US"/>
        </w:rPr>
        <w:t>Повишаване на изискванията към капитала на пенсионноосигурителните дружества – въвеждане на изискване за капиталова база в размер не по-малък от 2% от нетните активи на управляваните фондове за допълнително пенсионно осигуряване и фондовете за извършване на плащанията;</w:t>
      </w:r>
    </w:p>
    <w:p w14:paraId="69980EB1" w14:textId="77777777" w:rsidR="00BD5E6B" w:rsidRPr="00F2736B" w:rsidRDefault="00BD5E6B" w:rsidP="00BD5E6B">
      <w:pPr>
        <w:numPr>
          <w:ilvl w:val="0"/>
          <w:numId w:val="38"/>
        </w:numPr>
        <w:shd w:val="clear" w:color="auto" w:fill="FFFFFF" w:themeFill="background1"/>
        <w:spacing w:before="60" w:after="60" w:line="276" w:lineRule="auto"/>
        <w:ind w:left="0" w:firstLine="360"/>
        <w:contextualSpacing/>
        <w:jc w:val="both"/>
        <w:rPr>
          <w:rFonts w:eastAsiaTheme="minorHAnsi"/>
          <w:lang w:eastAsia="en-US"/>
        </w:rPr>
      </w:pPr>
      <w:r w:rsidRPr="00F2736B">
        <w:rPr>
          <w:rFonts w:eastAsiaTheme="minorHAnsi"/>
          <w:lang w:eastAsia="en-US"/>
        </w:rPr>
        <w:t>Създаване на специален национален счетоводен стандарт за управляваните от ПОД фондове</w:t>
      </w:r>
      <w:r w:rsidRPr="00F2736B">
        <w:rPr>
          <w:rFonts w:eastAsiaTheme="minorHAnsi"/>
          <w:lang w:val="en-US" w:eastAsia="en-US"/>
        </w:rPr>
        <w:t xml:space="preserve"> и др.</w:t>
      </w:r>
    </w:p>
    <w:p w14:paraId="0175F401" w14:textId="55904FE4" w:rsidR="00BD5E6B" w:rsidRPr="00D41716" w:rsidRDefault="00BD5E6B" w:rsidP="00CC456E">
      <w:pPr>
        <w:pStyle w:val="Subtitle"/>
        <w:spacing w:after="0" w:line="276" w:lineRule="auto"/>
        <w:ind w:right="-28"/>
        <w:jc w:val="both"/>
        <w:rPr>
          <w:color w:val="000000"/>
          <w:sz w:val="18"/>
          <w:szCs w:val="18"/>
        </w:rPr>
      </w:pPr>
    </w:p>
    <w:p w14:paraId="519A8E99" w14:textId="0C8AFC32" w:rsidR="00E66FAA" w:rsidRPr="00D41716" w:rsidRDefault="00B46722" w:rsidP="00CC456E">
      <w:pPr>
        <w:pStyle w:val="Subtitle"/>
        <w:spacing w:after="0" w:line="276" w:lineRule="auto"/>
        <w:ind w:right="-28"/>
        <w:jc w:val="both"/>
        <w:rPr>
          <w:rFonts w:cs="Times New Roman"/>
          <w:color w:val="auto"/>
          <w:sz w:val="24"/>
          <w:lang w:eastAsia="bg-BG"/>
        </w:rPr>
      </w:pPr>
      <w:r w:rsidRPr="00D41716">
        <w:rPr>
          <w:color w:val="000000"/>
          <w:sz w:val="18"/>
          <w:szCs w:val="18"/>
        </w:rPr>
        <w:tab/>
      </w:r>
      <w:r w:rsidR="00E66FAA" w:rsidRPr="00B66567">
        <w:rPr>
          <w:rFonts w:cs="Times New Roman"/>
          <w:bCs/>
          <w:color w:val="000000"/>
          <w:sz w:val="24"/>
          <w:lang w:eastAsia="bg-BG"/>
        </w:rPr>
        <w:t>Приетите през първото полугодие на 202</w:t>
      </w:r>
      <w:r w:rsidR="00243770" w:rsidRPr="00B66567">
        <w:rPr>
          <w:rFonts w:cs="Times New Roman"/>
          <w:bCs/>
          <w:color w:val="000000"/>
          <w:sz w:val="24"/>
          <w:lang w:eastAsia="bg-BG"/>
        </w:rPr>
        <w:t>5</w:t>
      </w:r>
      <w:r w:rsidR="00E66FAA" w:rsidRPr="00B66567">
        <w:rPr>
          <w:rFonts w:cs="Times New Roman"/>
          <w:bCs/>
          <w:color w:val="000000"/>
          <w:sz w:val="24"/>
          <w:lang w:eastAsia="bg-BG"/>
        </w:rPr>
        <w:t xml:space="preserve"> г. нормативни актове са в съответствие с програмата за нормативна дейност на Комисията за финансов надзор</w:t>
      </w:r>
      <w:r w:rsidR="00D41716" w:rsidRPr="00B66567">
        <w:rPr>
          <w:rFonts w:cs="Times New Roman"/>
          <w:bCs/>
          <w:color w:val="000000"/>
          <w:sz w:val="24"/>
          <w:lang w:eastAsia="bg-BG"/>
        </w:rPr>
        <w:t>:</w:t>
      </w:r>
      <w:r w:rsidR="00E66FAA" w:rsidRPr="00D41716">
        <w:rPr>
          <w:rFonts w:cs="Times New Roman"/>
          <w:color w:val="auto"/>
          <w:sz w:val="24"/>
          <w:lang w:eastAsia="bg-BG"/>
        </w:rPr>
        <w:t xml:space="preserve"> </w:t>
      </w:r>
    </w:p>
    <w:p w14:paraId="577FA763" w14:textId="77777777" w:rsidR="00BD5E6B" w:rsidRDefault="00CD021B" w:rsidP="00F16DE6">
      <w:pPr>
        <w:spacing w:line="276" w:lineRule="auto"/>
        <w:jc w:val="both"/>
        <w:rPr>
          <w:b/>
        </w:rPr>
      </w:pPr>
      <w:r w:rsidRPr="00D41716">
        <w:rPr>
          <w:b/>
        </w:rPr>
        <w:tab/>
      </w:r>
      <w:bookmarkStart w:id="28" w:name="_Toc78466433"/>
    </w:p>
    <w:p w14:paraId="38169D64" w14:textId="77777777" w:rsidR="00EF0BEE" w:rsidRPr="00EC6157" w:rsidRDefault="00B66567" w:rsidP="00EF0BEE">
      <w:pPr>
        <w:spacing w:line="276" w:lineRule="auto"/>
        <w:jc w:val="both"/>
        <w:rPr>
          <w:b/>
        </w:rPr>
      </w:pPr>
      <w:r>
        <w:rPr>
          <w:b/>
        </w:rPr>
        <w:tab/>
      </w:r>
      <w:r w:rsidR="00EF0BEE" w:rsidRPr="00EC6157">
        <w:rPr>
          <w:b/>
        </w:rPr>
        <w:t>Наредба за изменение на Наредба № 71 от 22.07.2021 г. за изискванията към системата на управление на застрахователите и презастрахователите</w:t>
      </w:r>
    </w:p>
    <w:p w14:paraId="56A0E024" w14:textId="77777777" w:rsidR="00EF0BEE" w:rsidRDefault="00EF0BEE" w:rsidP="00EF0BEE">
      <w:pPr>
        <w:spacing w:line="276" w:lineRule="auto"/>
        <w:jc w:val="both"/>
      </w:pPr>
      <w:r w:rsidRPr="00EC6157">
        <w:rPr>
          <w:b/>
        </w:rPr>
        <w:tab/>
      </w:r>
      <w:r w:rsidRPr="00EC6157">
        <w:t xml:space="preserve">С наредбата за изменение на Наредба № 71 се цели отстраняването на дублиране на правната уредба с Регламент (ЕС) 2022/2554, като нормативната уредба ще бъде съобразена с настъпилите промени в правната уредба на оперативната устойчивост на цифровите технологии във финансовия сектор, предвид влизането в сила на Регламент (ЕС) 2022/2554, като досега съдържащите разпоредби в Насоки </w:t>
      </w:r>
      <w:r w:rsidRPr="00184F2B">
        <w:t xml:space="preserve">за възлагане на дейности на доставчици на облачни услуги </w:t>
      </w:r>
      <w:r w:rsidRPr="00EC6157">
        <w:t xml:space="preserve">(EIOPA-BoS-20-002) и Насоки </w:t>
      </w:r>
      <w:r w:rsidRPr="00184F2B">
        <w:t>за сигурността и управлението на информационно-комуникационните технологии</w:t>
      </w:r>
      <w:r w:rsidRPr="00EC6157">
        <w:t xml:space="preserve"> (EIOPA-BoS-20/600) са вече част от този регламент и имат непосредствена приложимост.</w:t>
      </w:r>
    </w:p>
    <w:p w14:paraId="74C3A49C" w14:textId="77777777" w:rsidR="00EF0BEE" w:rsidRDefault="00EF0BEE" w:rsidP="00EF0BEE">
      <w:pPr>
        <w:spacing w:line="276" w:lineRule="auto"/>
        <w:jc w:val="both"/>
        <w:rPr>
          <w:b/>
        </w:rPr>
      </w:pPr>
      <w:r>
        <w:tab/>
      </w:r>
      <w:r w:rsidRPr="00CE6031">
        <w:rPr>
          <w:b/>
        </w:rPr>
        <w:t>Наредба № 76 от 12.06.2025 г. за таксите, събирани от Комисията за финансов надзор</w:t>
      </w:r>
    </w:p>
    <w:p w14:paraId="108EE538" w14:textId="77777777" w:rsidR="00EF0BEE" w:rsidRDefault="00EF0BEE" w:rsidP="00EF0BEE">
      <w:pPr>
        <w:spacing w:line="276" w:lineRule="auto"/>
        <w:jc w:val="both"/>
      </w:pPr>
      <w:r>
        <w:tab/>
        <w:t>Наредбата</w:t>
      </w:r>
      <w:r w:rsidRPr="00EC6157">
        <w:t xml:space="preserve"> има за цел да осигури финансова независимост, стабилност и прозрачност на Комисията за финансов надзор при изпълнение на нейните задължения. </w:t>
      </w:r>
      <w:r>
        <w:t xml:space="preserve">С промяната на модела за определяне на таксите, събирани от Комисията, се очаква да се постигне бюджетна неутралност, съответно независимост на Комисията за финансов надзор. С </w:t>
      </w:r>
      <w:r>
        <w:lastRenderedPageBreak/>
        <w:t>наредбата ще бъде обезпечена финансово възможността за поддържане на изградения вече експертен капацитет на Комисията и неговото повишаване, ще се отговори на необходимостта от сериозни инвестиции в информационното обезпечаване и информационната сигурност на Комисията, и ще се гарантира непрекъснатост и навременност на изпълнение на националните и международните ангажименти на Комисията за финансов надзор.</w:t>
      </w:r>
    </w:p>
    <w:p w14:paraId="7EEAEFB4" w14:textId="69B444D6" w:rsidR="00B66567" w:rsidRPr="00B66567" w:rsidRDefault="00EF0BEE" w:rsidP="00B66567">
      <w:pPr>
        <w:spacing w:line="276" w:lineRule="auto"/>
        <w:jc w:val="both"/>
        <w:rPr>
          <w:b/>
        </w:rPr>
      </w:pPr>
      <w:r>
        <w:rPr>
          <w:b/>
        </w:rPr>
        <w:tab/>
      </w:r>
      <w:r w:rsidR="00B66567" w:rsidRPr="00B66567">
        <w:rPr>
          <w:b/>
        </w:rPr>
        <w:t>Наредба за изменение и допълнение на нормативни актове на Комисията за финансов надзор</w:t>
      </w:r>
    </w:p>
    <w:p w14:paraId="5FDA02D5" w14:textId="67287109" w:rsidR="00B66567" w:rsidRDefault="00B66567" w:rsidP="0063531D">
      <w:pPr>
        <w:spacing w:line="276" w:lineRule="auto"/>
        <w:jc w:val="both"/>
      </w:pPr>
      <w:r>
        <w:tab/>
      </w:r>
      <w:r w:rsidR="00AE76E3">
        <w:t xml:space="preserve">Адаптирането на българското законодателство към единната европейска валута и обезпечаването на техническата подготовка по въвеждане на еврото е уредено със Закона за въвеждане на еврото в Република България. На основание § 6, ал. 1, т. 2 от преходните и заключителните разпоредби на Закона за въвеждане на еврото в Република България на държавните органи е вменено задължение да приемат в 6-месечен срок от влизането в сила на същия закон изменения и допълнения в подзаконови нормативни актове, необходими за изпълнението на същия закон във връзка с въвеждане на еврото като парична единица на Република България. В съответствие със сроковете и критериите, определени в т. 4.2 от Националния план за въвеждане на еврото в Република България, Комисията за финансов надзор извърши преглед на секторното законодателство с цел установяване на необходимостта от промени. Комисията за финансов надзор цели да актуализира своевременно подзаконовата си нормативна уредба, с оглед съобразяването ѝ с променената законова рамка, като при разработване на промените във връзка с въвеждането на еврото се отчитат спецификите на предприятията от небанковия финансов сектор. С </w:t>
      </w:r>
      <w:r w:rsidR="0063531D">
        <w:t>Н</w:t>
      </w:r>
      <w:r w:rsidR="00AE76E3">
        <w:t>аредба</w:t>
      </w:r>
      <w:r w:rsidR="0063531D">
        <w:t>та</w:t>
      </w:r>
      <w:r w:rsidR="00AE76E3">
        <w:t xml:space="preserve"> за изменение и допълнение на нормативни актове на Комисията за финансов надзор се цели осигуряване на безпроблемното въвеждане на еврото в Република България. </w:t>
      </w:r>
    </w:p>
    <w:p w14:paraId="2091B3EF" w14:textId="637DF154" w:rsidR="00EC6157" w:rsidRDefault="00B66567" w:rsidP="00EF0BEE">
      <w:pPr>
        <w:spacing w:line="276" w:lineRule="auto"/>
        <w:jc w:val="both"/>
      </w:pPr>
      <w:r w:rsidRPr="00EC6157">
        <w:tab/>
      </w:r>
    </w:p>
    <w:p w14:paraId="5CBC64C8" w14:textId="69AC8E30" w:rsidR="00CE6031" w:rsidRPr="00D41716" w:rsidRDefault="00CE6031" w:rsidP="00CE6031">
      <w:pPr>
        <w:pStyle w:val="Subtitle"/>
        <w:spacing w:after="0" w:line="276" w:lineRule="auto"/>
        <w:ind w:right="-28" w:firstLine="720"/>
        <w:jc w:val="both"/>
        <w:rPr>
          <w:rFonts w:cs="Times New Roman"/>
          <w:color w:val="auto"/>
          <w:sz w:val="24"/>
          <w:lang w:eastAsia="bg-BG"/>
        </w:rPr>
      </w:pPr>
      <w:r w:rsidRPr="00D41716">
        <w:rPr>
          <w:rFonts w:cs="Times New Roman"/>
          <w:color w:val="auto"/>
          <w:sz w:val="24"/>
          <w:lang w:eastAsia="bg-BG"/>
        </w:rPr>
        <w:t xml:space="preserve">През отчетния период </w:t>
      </w:r>
      <w:r>
        <w:rPr>
          <w:rFonts w:cs="Times New Roman"/>
          <w:color w:val="auto"/>
          <w:sz w:val="24"/>
          <w:lang w:eastAsia="bg-BG"/>
        </w:rPr>
        <w:t>е изготвен</w:t>
      </w:r>
      <w:r w:rsidRPr="00D41716">
        <w:rPr>
          <w:rFonts w:cs="Times New Roman"/>
          <w:color w:val="auto"/>
          <w:sz w:val="24"/>
          <w:lang w:eastAsia="bg-BG"/>
        </w:rPr>
        <w:t xml:space="preserve"> проект на следни</w:t>
      </w:r>
      <w:r>
        <w:rPr>
          <w:rFonts w:cs="Times New Roman"/>
          <w:color w:val="auto"/>
          <w:sz w:val="24"/>
          <w:lang w:eastAsia="bg-BG"/>
        </w:rPr>
        <w:t>я</w:t>
      </w:r>
      <w:r w:rsidRPr="00D41716">
        <w:rPr>
          <w:rFonts w:cs="Times New Roman"/>
          <w:color w:val="auto"/>
          <w:sz w:val="24"/>
          <w:lang w:eastAsia="bg-BG"/>
        </w:rPr>
        <w:t xml:space="preserve"> подзаконов норматив</w:t>
      </w:r>
      <w:r>
        <w:rPr>
          <w:rFonts w:cs="Times New Roman"/>
          <w:color w:val="auto"/>
          <w:sz w:val="24"/>
          <w:lang w:eastAsia="bg-BG"/>
        </w:rPr>
        <w:t>е</w:t>
      </w:r>
      <w:r w:rsidRPr="00D41716">
        <w:rPr>
          <w:rFonts w:cs="Times New Roman"/>
          <w:color w:val="auto"/>
          <w:sz w:val="24"/>
          <w:lang w:eastAsia="bg-BG"/>
        </w:rPr>
        <w:t>н акт:</w:t>
      </w:r>
    </w:p>
    <w:p w14:paraId="3D5443C0" w14:textId="04E6DB22" w:rsidR="00EC6157" w:rsidRPr="00CE6031" w:rsidRDefault="00CE6031" w:rsidP="00CE6031">
      <w:pPr>
        <w:spacing w:line="276" w:lineRule="auto"/>
        <w:jc w:val="both"/>
        <w:rPr>
          <w:b/>
        </w:rPr>
      </w:pPr>
      <w:r>
        <w:tab/>
      </w:r>
      <w:r w:rsidRPr="00CE6031">
        <w:rPr>
          <w:b/>
        </w:rPr>
        <w:t>Наредба за изменение и допълнение на наредби на Комисията за финансов надзор</w:t>
      </w:r>
    </w:p>
    <w:p w14:paraId="27715429" w14:textId="30A2B2E2" w:rsidR="00CE6031" w:rsidRPr="00EC6157" w:rsidRDefault="0063531D" w:rsidP="0063531D">
      <w:pPr>
        <w:spacing w:line="276" w:lineRule="auto"/>
        <w:jc w:val="both"/>
      </w:pPr>
      <w:r>
        <w:tab/>
        <w:t>На 1 юли 2025 г. влиза в сила Наредба № 76 от 12.06.2025 г. за таксите, събирани от Комисията за финансов надзор. Това налага привеждане в съответствие на други подзаконови нормативни актове, приети от Комисията за финансов надзор. С проекта на наредба за изменение и допълнение на наредби на Комисията за финансов надзор се предлагат изменения, свързани с въвеждането на еврото като официална парична единица на Република България и се цели постигане на правна сигурност и избягване на неточности при прилагането на подзаконовите нормативни актове, приети от Комисията.</w:t>
      </w:r>
    </w:p>
    <w:p w14:paraId="5C99E70F" w14:textId="77777777" w:rsidR="002E663B" w:rsidRDefault="002E663B" w:rsidP="00F16DE6">
      <w:pPr>
        <w:spacing w:line="276" w:lineRule="auto"/>
        <w:jc w:val="both"/>
        <w:rPr>
          <w:b/>
        </w:rPr>
      </w:pPr>
    </w:p>
    <w:p w14:paraId="08CCE710" w14:textId="47B3ED0D" w:rsidR="00B46722" w:rsidRDefault="00490197" w:rsidP="00F16DE6">
      <w:pPr>
        <w:spacing w:line="276" w:lineRule="auto"/>
        <w:jc w:val="both"/>
        <w:rPr>
          <w:b/>
        </w:rPr>
      </w:pPr>
      <w:r w:rsidRPr="00C52478">
        <w:rPr>
          <w:b/>
        </w:rPr>
        <w:t>1.</w:t>
      </w:r>
      <w:r w:rsidRPr="005240D5">
        <w:rPr>
          <w:b/>
        </w:rPr>
        <w:t xml:space="preserve">2. </w:t>
      </w:r>
      <w:bookmarkEnd w:id="28"/>
      <w:r w:rsidR="00B46722" w:rsidRPr="00B46722">
        <w:rPr>
          <w:b/>
        </w:rPr>
        <w:t xml:space="preserve">Изготвени предложения за издаване на общи административни актове, практики и указания по прилагането и тълкуването на нормативната уредба </w:t>
      </w:r>
    </w:p>
    <w:p w14:paraId="22D4F6D2" w14:textId="15C8F3DF" w:rsidR="00CC779A" w:rsidRPr="00F2736B" w:rsidRDefault="002E663B" w:rsidP="00CC779A">
      <w:pPr>
        <w:spacing w:line="276" w:lineRule="auto"/>
        <w:jc w:val="both"/>
      </w:pPr>
      <w:r w:rsidRPr="00CC779A">
        <w:tab/>
      </w:r>
      <w:bookmarkStart w:id="29" w:name="_Toc78466434"/>
      <w:r w:rsidR="00CC779A" w:rsidRPr="00F2736B">
        <w:t>През посочения период с решение на Комисията по про</w:t>
      </w:r>
      <w:r w:rsidR="00A636D4" w:rsidRPr="00F2736B">
        <w:t>токол № 5 от 5 февруари 2025 г. беше</w:t>
      </w:r>
      <w:r w:rsidR="00CC779A" w:rsidRPr="00F2736B">
        <w:t xml:space="preserve"> прие</w:t>
      </w:r>
      <w:r w:rsidR="00A636D4" w:rsidRPr="00F2736B">
        <w:t>та</w:t>
      </w:r>
      <w:r w:rsidR="00CC779A" w:rsidRPr="00F2736B">
        <w:t xml:space="preserve"> 1 (една) Практика по прилагането на Кодекса за застраховането във </w:t>
      </w:r>
      <w:r w:rsidR="00A636D4" w:rsidRPr="00F2736B">
        <w:t xml:space="preserve">връзка с Решението на Съвета на </w:t>
      </w:r>
      <w:r w:rsidR="00CC779A" w:rsidRPr="00F2736B">
        <w:t xml:space="preserve">надзорниците на ЕОЗППО за сътрудничеството на органите за </w:t>
      </w:r>
      <w:r w:rsidR="00CC779A" w:rsidRPr="00F2736B">
        <w:lastRenderedPageBreak/>
        <w:t>застрахователен надзор на държавите членки на Европейското икономическо пространство (EIOPA-BoS-21- 234) от 10 юни 2021 г.</w:t>
      </w:r>
    </w:p>
    <w:p w14:paraId="374F6D58" w14:textId="27266AAB" w:rsidR="002E663B" w:rsidRPr="00F2736B" w:rsidRDefault="002E663B" w:rsidP="00CC779A">
      <w:pPr>
        <w:spacing w:line="276" w:lineRule="auto"/>
        <w:jc w:val="both"/>
        <w:rPr>
          <w:b/>
        </w:rPr>
      </w:pPr>
    </w:p>
    <w:p w14:paraId="72F58DAC" w14:textId="3ACF21C6" w:rsidR="00490197" w:rsidRPr="00F2736B" w:rsidRDefault="00490197" w:rsidP="00F16DE6">
      <w:pPr>
        <w:spacing w:line="276" w:lineRule="auto"/>
      </w:pPr>
      <w:r w:rsidRPr="00F2736B">
        <w:rPr>
          <w:b/>
        </w:rPr>
        <w:t>1.3. Приети за прилагане насоки на европейските надзорни органи</w:t>
      </w:r>
      <w:bookmarkEnd w:id="29"/>
    </w:p>
    <w:p w14:paraId="5148E756" w14:textId="03582F17" w:rsidR="00A35E6F" w:rsidRPr="00DE3C65" w:rsidRDefault="00490197" w:rsidP="00F16DE6">
      <w:pPr>
        <w:pStyle w:val="ListParagraph"/>
        <w:tabs>
          <w:tab w:val="left" w:pos="0"/>
        </w:tabs>
        <w:spacing w:line="276" w:lineRule="auto"/>
        <w:ind w:left="0"/>
        <w:jc w:val="both"/>
      </w:pPr>
      <w:r w:rsidRPr="00F2736B">
        <w:tab/>
        <w:t xml:space="preserve">За </w:t>
      </w:r>
      <w:r w:rsidR="00797F72" w:rsidRPr="00F2736B">
        <w:t xml:space="preserve">първите 6 месеца </w:t>
      </w:r>
      <w:r w:rsidRPr="00F2736B">
        <w:t>на 202</w:t>
      </w:r>
      <w:r w:rsidR="00243770" w:rsidRPr="00F2736B">
        <w:t>5</w:t>
      </w:r>
      <w:r w:rsidRPr="00F2736B">
        <w:t xml:space="preserve"> г. К</w:t>
      </w:r>
      <w:r w:rsidR="002128C5" w:rsidRPr="00F2736B">
        <w:t>омисията</w:t>
      </w:r>
      <w:r w:rsidRPr="00F2736B">
        <w:t xml:space="preserve"> е декларирала, че ще</w:t>
      </w:r>
      <w:r w:rsidR="00221F9E" w:rsidRPr="00F2736B">
        <w:rPr>
          <w:lang w:val="ru-RU"/>
        </w:rPr>
        <w:t xml:space="preserve"> </w:t>
      </w:r>
      <w:r w:rsidR="00221F9E" w:rsidRPr="00F2736B">
        <w:t>спазва</w:t>
      </w:r>
      <w:r w:rsidR="00A35E6F" w:rsidRPr="00F2736B">
        <w:rPr>
          <w:lang w:val="en-US"/>
        </w:rPr>
        <w:t xml:space="preserve"> </w:t>
      </w:r>
      <w:r w:rsidR="00A35E6F" w:rsidRPr="00F2736B">
        <w:t>или че възнамерява да спазва</w:t>
      </w:r>
      <w:r w:rsidRPr="00F2736B">
        <w:t xml:space="preserve"> в надзорната си</w:t>
      </w:r>
      <w:r w:rsidRPr="00DE3C65">
        <w:t xml:space="preserve"> практика следните </w:t>
      </w:r>
      <w:r w:rsidR="00DE3C65">
        <w:t>н</w:t>
      </w:r>
      <w:r w:rsidRPr="00DE3C65">
        <w:t xml:space="preserve">асоки, издадени от </w:t>
      </w:r>
      <w:r w:rsidR="004F018E" w:rsidRPr="00DE3C65">
        <w:t>Е</w:t>
      </w:r>
      <w:r w:rsidR="0005790F" w:rsidRPr="00DE3C65">
        <w:t>ОЦКП</w:t>
      </w:r>
      <w:r w:rsidR="00E74292" w:rsidRPr="00DE3C65">
        <w:rPr>
          <w:lang w:val="en-US"/>
        </w:rPr>
        <w:t xml:space="preserve">, </w:t>
      </w:r>
      <w:r w:rsidR="00E74292" w:rsidRPr="00DE3C65">
        <w:t>ЕОЗППО и ЕБО</w:t>
      </w:r>
      <w:r w:rsidRPr="00DE3C65">
        <w:t>:</w:t>
      </w:r>
    </w:p>
    <w:p w14:paraId="64EB8036" w14:textId="6B3D548B" w:rsidR="00E74292" w:rsidRPr="003D1587" w:rsidRDefault="00E74292" w:rsidP="003D1587">
      <w:pPr>
        <w:pStyle w:val="ListParagraph"/>
        <w:numPr>
          <w:ilvl w:val="1"/>
          <w:numId w:val="31"/>
        </w:numPr>
        <w:tabs>
          <w:tab w:val="left" w:pos="0"/>
        </w:tabs>
        <w:spacing w:line="276" w:lineRule="auto"/>
        <w:ind w:left="0" w:firstLine="1080"/>
        <w:jc w:val="both"/>
      </w:pPr>
      <w:r w:rsidRPr="003D1587">
        <w:t>Насоки относно сценариите за стрес тестовете съгласно Регламента за ФПП (ESMA50-43599798-12301 BG);</w:t>
      </w:r>
    </w:p>
    <w:p w14:paraId="58303474" w14:textId="2AE13A81" w:rsidR="00792874" w:rsidRPr="003D1587" w:rsidRDefault="00E74292" w:rsidP="003D1587">
      <w:pPr>
        <w:pStyle w:val="ListParagraph"/>
        <w:numPr>
          <w:ilvl w:val="1"/>
          <w:numId w:val="31"/>
        </w:numPr>
        <w:tabs>
          <w:tab w:val="left" w:pos="0"/>
        </w:tabs>
        <w:spacing w:line="276" w:lineRule="auto"/>
        <w:ind w:left="0" w:firstLine="1080"/>
        <w:jc w:val="both"/>
      </w:pPr>
      <w:r w:rsidRPr="003D1587">
        <w:t>Насоки относно ситуациите, в които се счита, че дружество от трета държава предлага своите услуги на клиенти, които са установени или пребивават на територията на Съюза, и практиките в областта на надзора за откриване и предотвратяване на заобикаляне на освобождаването във връзка с проявен интерес съгласно Регламента относно пазарите на криптоактиви (Регламент относно ПКА) (ESMA35-1872330276-2030 BG);</w:t>
      </w:r>
    </w:p>
    <w:p w14:paraId="7CA5C616" w14:textId="1D8E30D2" w:rsidR="00E74292" w:rsidRPr="003D1587" w:rsidRDefault="00E74292" w:rsidP="003D1587">
      <w:pPr>
        <w:pStyle w:val="ListParagraph"/>
        <w:numPr>
          <w:ilvl w:val="1"/>
          <w:numId w:val="31"/>
        </w:numPr>
        <w:tabs>
          <w:tab w:val="left" w:pos="0"/>
        </w:tabs>
        <w:spacing w:line="276" w:lineRule="auto"/>
        <w:ind w:left="0" w:firstLine="1080"/>
        <w:jc w:val="both"/>
      </w:pPr>
      <w:r w:rsidRPr="003D1587">
        <w:t>Насоки относно надзорното сътрудничество между европейските надзорни органи и компетентните органи (JC/GL/2024/36 BG);</w:t>
      </w:r>
    </w:p>
    <w:p w14:paraId="0A4D516E" w14:textId="72F3A67A" w:rsidR="00E74292" w:rsidRPr="003D1587" w:rsidRDefault="00E74292" w:rsidP="003D1587">
      <w:pPr>
        <w:pStyle w:val="ListParagraph"/>
        <w:numPr>
          <w:ilvl w:val="1"/>
          <w:numId w:val="31"/>
        </w:numPr>
        <w:tabs>
          <w:tab w:val="left" w:pos="0"/>
        </w:tabs>
        <w:spacing w:line="276" w:lineRule="auto"/>
        <w:ind w:left="0" w:firstLine="1080"/>
        <w:jc w:val="both"/>
      </w:pPr>
      <w:r w:rsidRPr="003D1587">
        <w:t>Съвместни насоки относно оценката на пригодността на членовете на управителния орган и акционерите, преки или непреки, с квалифицирано дялово участие в издатели на ТОА и на ДУК (EBA/GL/2024/09 BG; ESMA75-453128700-10 BG);</w:t>
      </w:r>
    </w:p>
    <w:p w14:paraId="1025B365" w14:textId="08468D63" w:rsidR="00E74292" w:rsidRPr="003D1587" w:rsidRDefault="00E74292" w:rsidP="003D1587">
      <w:pPr>
        <w:pStyle w:val="ListParagraph"/>
        <w:numPr>
          <w:ilvl w:val="1"/>
          <w:numId w:val="31"/>
        </w:numPr>
        <w:tabs>
          <w:tab w:val="left" w:pos="0"/>
        </w:tabs>
        <w:spacing w:line="276" w:lineRule="auto"/>
        <w:ind w:left="0" w:firstLine="1080"/>
        <w:jc w:val="both"/>
      </w:pPr>
      <w:r w:rsidRPr="003D1587">
        <w:t>Съвместни насоки относно системата, установена от европейските надзорни органи за обмен на информация, имаща отношение към оценката от компетентните органи на надеждността и пригодността на притежателите на квалифицирани дялови участия, директорите и лицата, заемащи ключови позиции във финансовите институции и участниците на финансовите пазари (JC/GL 2024 88 BG);</w:t>
      </w:r>
    </w:p>
    <w:p w14:paraId="508EDA6C" w14:textId="15AAB435" w:rsidR="00E74292" w:rsidRPr="003D1587" w:rsidRDefault="00E74292" w:rsidP="003D1587">
      <w:pPr>
        <w:pStyle w:val="ListParagraph"/>
        <w:numPr>
          <w:ilvl w:val="1"/>
          <w:numId w:val="31"/>
        </w:numPr>
        <w:tabs>
          <w:tab w:val="left" w:pos="0"/>
        </w:tabs>
        <w:spacing w:line="276" w:lineRule="auto"/>
        <w:ind w:left="0" w:firstLine="1080"/>
        <w:jc w:val="both"/>
      </w:pPr>
      <w:r w:rsidRPr="003D1587">
        <w:t>Съвместни насоки относно оценката на агрегираните годишни разходи и загуби, причинени от съществени инциденти с ИКТ, съгласно Регламент (ЕС) 2022/2554 (JC 2024 34 BG);</w:t>
      </w:r>
    </w:p>
    <w:p w14:paraId="4433CA51" w14:textId="50D0134B" w:rsidR="00E74292" w:rsidRPr="00F2736B" w:rsidRDefault="00E74292" w:rsidP="003D1587">
      <w:pPr>
        <w:pStyle w:val="ListParagraph"/>
        <w:numPr>
          <w:ilvl w:val="1"/>
          <w:numId w:val="31"/>
        </w:numPr>
        <w:tabs>
          <w:tab w:val="left" w:pos="0"/>
        </w:tabs>
        <w:spacing w:line="276" w:lineRule="auto"/>
        <w:ind w:left="0" w:firstLine="1080"/>
        <w:jc w:val="both"/>
      </w:pPr>
      <w:r w:rsidRPr="003D1587">
        <w:t xml:space="preserve">Насоки за образците относно разясненията и становищата и стандартизирания </w:t>
      </w:r>
      <w:r w:rsidRPr="00F2736B">
        <w:t>тест за криптоактиви съгласно член 97, параграф 1 от Регламент (ЕС) 2023/1114 (JC 2024 28 BG).</w:t>
      </w:r>
    </w:p>
    <w:p w14:paraId="170FDDB9" w14:textId="77777777" w:rsidR="00DE3C65" w:rsidRPr="00F2736B" w:rsidRDefault="00DE3C65" w:rsidP="00F16DE6">
      <w:pPr>
        <w:spacing w:line="276" w:lineRule="auto"/>
        <w:jc w:val="both"/>
        <w:rPr>
          <w:b/>
        </w:rPr>
      </w:pPr>
      <w:bookmarkStart w:id="30" w:name="_Toc78466436"/>
    </w:p>
    <w:p w14:paraId="4C591DE2" w14:textId="66E26A2B" w:rsidR="008A1A4C" w:rsidRPr="00F2736B" w:rsidRDefault="00490197" w:rsidP="00F16DE6">
      <w:pPr>
        <w:spacing w:line="276" w:lineRule="auto"/>
        <w:jc w:val="both"/>
      </w:pPr>
      <w:r w:rsidRPr="00F2736B">
        <w:rPr>
          <w:b/>
        </w:rPr>
        <w:t>2. Участие в процеса на изпълнение на задълженията и мерките, произтичащи от членството на България в ЕС</w:t>
      </w:r>
      <w:bookmarkStart w:id="31" w:name="_Toc78466437"/>
      <w:bookmarkEnd w:id="30"/>
      <w:r w:rsidR="00B46722" w:rsidRPr="00F2736B">
        <w:rPr>
          <w:b/>
        </w:rPr>
        <w:t xml:space="preserve"> и в други международни организации</w:t>
      </w:r>
    </w:p>
    <w:p w14:paraId="11DC357B" w14:textId="77777777" w:rsidR="00B46722" w:rsidRPr="00F2736B" w:rsidRDefault="00490197" w:rsidP="00F16DE6">
      <w:pPr>
        <w:spacing w:line="276" w:lineRule="auto"/>
        <w:jc w:val="both"/>
        <w:rPr>
          <w:color w:val="000000"/>
          <w:sz w:val="18"/>
          <w:szCs w:val="18"/>
        </w:rPr>
      </w:pPr>
      <w:r w:rsidRPr="00F2736B">
        <w:rPr>
          <w:b/>
        </w:rPr>
        <w:t xml:space="preserve">2.1.  </w:t>
      </w:r>
      <w:bookmarkEnd w:id="31"/>
      <w:r w:rsidR="00B46722" w:rsidRPr="00F2736B">
        <w:rPr>
          <w:b/>
        </w:rPr>
        <w:t>Изготвяне на проекти на позиции/становища и участие в заседания на консултативни комитети и работни групи към ЕК във връзка с изпълнение на задълженията и мерките, произтичащи от членството на България в ЕС</w:t>
      </w:r>
    </w:p>
    <w:p w14:paraId="76297A56" w14:textId="77777777" w:rsidR="0063637E" w:rsidRPr="00F2736B" w:rsidRDefault="00D41716" w:rsidP="0063637E">
      <w:pPr>
        <w:spacing w:line="276" w:lineRule="auto"/>
        <w:jc w:val="both"/>
      </w:pPr>
      <w:r w:rsidRPr="00F2736B">
        <w:tab/>
      </w:r>
      <w:r w:rsidR="0063637E" w:rsidRPr="00F2736B">
        <w:t xml:space="preserve">През първото шестмесечие на 2025 г. с ЕК беше проведена активна комуникация от страна на КФН, като през февруари 2025 г. се проведе среща между представители на КФН и на ЕК относно обсъждане на приоритетите на КФН за бъдещето на Съюза на капиталовите пазари; представители на КФН взеха участие и в две срещи на Експертната група по банково дело, платежни системи и застраховане (EGBPI) във формат застраховане, както и в срещи </w:t>
      </w:r>
      <w:r w:rsidR="0063637E" w:rsidRPr="00F2736B">
        <w:lastRenderedPageBreak/>
        <w:t>на експертната група за скъсяване на периода за сетълмент; на експертната група на Европейската комисия - EGESC meeting FISMA C4 - Boosting venture and growth capital financing in the EU; и  на EGESC Meeting по  отношение на новата стратегия на ЕК.</w:t>
      </w:r>
      <w:r w:rsidR="0063637E" w:rsidRPr="00F2736B">
        <w:tab/>
      </w:r>
    </w:p>
    <w:p w14:paraId="7E2D86F0" w14:textId="1590FC3D" w:rsidR="00245031" w:rsidRPr="00F2736B" w:rsidRDefault="00D41716" w:rsidP="0063637E">
      <w:pPr>
        <w:spacing w:line="276" w:lineRule="auto"/>
        <w:jc w:val="both"/>
      </w:pPr>
      <w:r w:rsidRPr="00F2736B">
        <w:tab/>
      </w:r>
    </w:p>
    <w:p w14:paraId="339E9CED" w14:textId="77777777" w:rsidR="00B46722" w:rsidRPr="00F2736B" w:rsidRDefault="00490197" w:rsidP="00F16DE6">
      <w:pPr>
        <w:spacing w:line="276" w:lineRule="auto"/>
        <w:jc w:val="both"/>
        <w:rPr>
          <w:color w:val="000000"/>
          <w:sz w:val="18"/>
          <w:szCs w:val="18"/>
        </w:rPr>
      </w:pPr>
      <w:bookmarkStart w:id="32" w:name="_Toc78466438"/>
      <w:r w:rsidRPr="00F2736B">
        <w:rPr>
          <w:b/>
        </w:rPr>
        <w:t xml:space="preserve">2.2. </w:t>
      </w:r>
      <w:bookmarkEnd w:id="32"/>
      <w:r w:rsidR="00B46722" w:rsidRPr="00F2736B">
        <w:rPr>
          <w:b/>
        </w:rPr>
        <w:t>Изготвяне на проекти на позиции/становища и участие в срещи на</w:t>
      </w:r>
      <w:r w:rsidR="00B46722" w:rsidRPr="00F2736B">
        <w:rPr>
          <w:b/>
          <w:lang w:val="en-US"/>
        </w:rPr>
        <w:t xml:space="preserve"> </w:t>
      </w:r>
      <w:r w:rsidR="00B46722" w:rsidRPr="00F2736B">
        <w:rPr>
          <w:b/>
        </w:rPr>
        <w:t>междуведомствените работни групи към Съвета по европейските въпроси във връзка с изпълнение на задълженията и мерките, произтичащи от членството на България в ЕС</w:t>
      </w:r>
    </w:p>
    <w:p w14:paraId="7C5E66A7" w14:textId="636B7266" w:rsidR="007B1599" w:rsidRPr="007B1599" w:rsidRDefault="007B1599" w:rsidP="007B1599">
      <w:pPr>
        <w:spacing w:line="276" w:lineRule="auto"/>
        <w:jc w:val="both"/>
        <w:rPr>
          <w:b/>
        </w:rPr>
      </w:pPr>
      <w:bookmarkStart w:id="33" w:name="_Toc78466439"/>
      <w:r w:rsidRPr="00F2736B">
        <w:tab/>
        <w:t>През отчетния период представители на КФН подготв</w:t>
      </w:r>
      <w:r w:rsidR="00002423">
        <w:t xml:space="preserve">иха </w:t>
      </w:r>
      <w:r w:rsidRPr="00F2736B">
        <w:t>позиции и становища за работата на постоянните работни групи към съответните водещи ведомства за осъществяване на основните дейности на експертно ниво по съответните политики на ЕС в рамките на координационния механизъм по европейските въпроси. В тази връзка се взе участие по дейността на РГ 26 по отношение на финансовите услуги и на РГ 31 „Европейски семестър”. Дадени са и становища по рамкови позиции по стартирани нови законодателни предложения.</w:t>
      </w:r>
      <w:r w:rsidRPr="007B1599">
        <w:t xml:space="preserve"> </w:t>
      </w:r>
    </w:p>
    <w:p w14:paraId="2A0C3E7D" w14:textId="77777777" w:rsidR="008A0611" w:rsidRDefault="008A0611" w:rsidP="00F16DE6">
      <w:pPr>
        <w:spacing w:line="276" w:lineRule="auto"/>
        <w:jc w:val="both"/>
        <w:rPr>
          <w:b/>
        </w:rPr>
      </w:pPr>
    </w:p>
    <w:p w14:paraId="32C6036C" w14:textId="77777777" w:rsidR="00F67939" w:rsidRPr="00F2736B" w:rsidRDefault="00F67939" w:rsidP="00F16DE6">
      <w:pPr>
        <w:spacing w:line="276" w:lineRule="auto"/>
        <w:jc w:val="both"/>
      </w:pPr>
      <w:r w:rsidRPr="00C52478">
        <w:rPr>
          <w:b/>
        </w:rPr>
        <w:t>2</w:t>
      </w:r>
      <w:r w:rsidRPr="00CC456E">
        <w:rPr>
          <w:b/>
        </w:rPr>
        <w:t xml:space="preserve">.3. Изготвяне на проекти на позиции/становища във връзка с изпълнение на </w:t>
      </w:r>
      <w:r w:rsidRPr="00F2736B">
        <w:rPr>
          <w:b/>
        </w:rPr>
        <w:t>задълженията и мерките, произтичащи от членството на България в ESRB</w:t>
      </w:r>
      <w:bookmarkEnd w:id="33"/>
    </w:p>
    <w:p w14:paraId="385F139B" w14:textId="0CB6C093" w:rsidR="0047182F" w:rsidRPr="00F2736B" w:rsidRDefault="0047182F" w:rsidP="00F004B4">
      <w:pPr>
        <w:widowControl w:val="0"/>
        <w:spacing w:line="276" w:lineRule="auto"/>
        <w:ind w:firstLine="426"/>
        <w:rPr>
          <w:lang w:val="en-US"/>
        </w:rPr>
      </w:pPr>
      <w:r w:rsidRPr="00F2736B">
        <w:rPr>
          <w:rFonts w:hint="eastAsia"/>
        </w:rPr>
        <w:t>През</w:t>
      </w:r>
      <w:r w:rsidRPr="00F2736B">
        <w:t xml:space="preserve"> </w:t>
      </w:r>
      <w:r w:rsidRPr="00F2736B">
        <w:rPr>
          <w:rFonts w:hint="eastAsia"/>
        </w:rPr>
        <w:t>първото</w:t>
      </w:r>
      <w:r w:rsidRPr="00F2736B">
        <w:t xml:space="preserve"> </w:t>
      </w:r>
      <w:r w:rsidRPr="00F2736B">
        <w:rPr>
          <w:rFonts w:hint="eastAsia"/>
        </w:rPr>
        <w:t>полугодие</w:t>
      </w:r>
      <w:r w:rsidRPr="00F2736B">
        <w:t xml:space="preserve"> </w:t>
      </w:r>
      <w:r w:rsidR="00C70798" w:rsidRPr="00F2736B">
        <w:t xml:space="preserve">на 2025 г. </w:t>
      </w:r>
      <w:r w:rsidRPr="00F2736B">
        <w:rPr>
          <w:rFonts w:hint="eastAsia"/>
        </w:rPr>
        <w:t>по</w:t>
      </w:r>
      <w:r w:rsidRPr="00F2736B">
        <w:t xml:space="preserve"> </w:t>
      </w:r>
      <w:r w:rsidRPr="00F2736B">
        <w:rPr>
          <w:rFonts w:hint="eastAsia"/>
        </w:rPr>
        <w:t>линия</w:t>
      </w:r>
      <w:r w:rsidRPr="00F2736B">
        <w:t xml:space="preserve"> </w:t>
      </w:r>
      <w:r w:rsidRPr="00F2736B">
        <w:rPr>
          <w:rFonts w:hint="eastAsia"/>
        </w:rPr>
        <w:t>на</w:t>
      </w:r>
      <w:r w:rsidRPr="00F2736B">
        <w:t xml:space="preserve"> </w:t>
      </w:r>
      <w:r w:rsidRPr="00F2736B">
        <w:rPr>
          <w:lang w:val="en-US"/>
        </w:rPr>
        <w:t xml:space="preserve">ESRB </w:t>
      </w:r>
      <w:r w:rsidRPr="00F2736B">
        <w:t>са отчетени</w:t>
      </w:r>
      <w:r w:rsidRPr="00F2736B">
        <w:rPr>
          <w:lang w:val="en-US"/>
        </w:rPr>
        <w:t>:</w:t>
      </w:r>
    </w:p>
    <w:p w14:paraId="327FFE85" w14:textId="4FADAE0B" w:rsidR="0047182F" w:rsidRPr="00F2736B" w:rsidRDefault="00CC779A" w:rsidP="00F004B4">
      <w:pPr>
        <w:widowControl w:val="0"/>
        <w:numPr>
          <w:ilvl w:val="0"/>
          <w:numId w:val="9"/>
        </w:numPr>
        <w:spacing w:line="276" w:lineRule="auto"/>
        <w:ind w:left="0" w:firstLine="633"/>
        <w:jc w:val="both"/>
      </w:pPr>
      <w:r w:rsidRPr="00F2736B">
        <w:t xml:space="preserve">    </w:t>
      </w:r>
      <w:r w:rsidR="0047182F" w:rsidRPr="00F2736B">
        <w:rPr>
          <w:rFonts w:hint="eastAsia"/>
        </w:rPr>
        <w:t>участия</w:t>
      </w:r>
      <w:r w:rsidR="0047182F" w:rsidRPr="00F2736B">
        <w:t xml:space="preserve"> </w:t>
      </w:r>
      <w:r w:rsidR="0047182F" w:rsidRPr="00F2736B">
        <w:rPr>
          <w:rFonts w:hint="eastAsia"/>
        </w:rPr>
        <w:t>в</w:t>
      </w:r>
      <w:r w:rsidR="0047182F" w:rsidRPr="00F2736B">
        <w:t xml:space="preserve"> 17 </w:t>
      </w:r>
      <w:r w:rsidR="0047182F" w:rsidRPr="00F2736B">
        <w:rPr>
          <w:rFonts w:hint="eastAsia"/>
        </w:rPr>
        <w:t>срещи</w:t>
      </w:r>
      <w:r w:rsidR="0047182F" w:rsidRPr="00F2736B">
        <w:t xml:space="preserve">/ </w:t>
      </w:r>
      <w:r w:rsidR="0047182F" w:rsidRPr="00F2736B">
        <w:rPr>
          <w:rFonts w:hint="eastAsia"/>
        </w:rPr>
        <w:t>телеконферентни разговори</w:t>
      </w:r>
      <w:r w:rsidR="0047182F" w:rsidRPr="00F2736B">
        <w:t xml:space="preserve"> </w:t>
      </w:r>
      <w:r w:rsidR="0047182F" w:rsidRPr="00F2736B">
        <w:rPr>
          <w:rFonts w:hint="eastAsia"/>
        </w:rPr>
        <w:t>на</w:t>
      </w:r>
      <w:r w:rsidR="0047182F" w:rsidRPr="00F2736B">
        <w:t xml:space="preserve"> </w:t>
      </w:r>
      <w:r w:rsidR="0047182F" w:rsidRPr="00F2736B">
        <w:rPr>
          <w:rFonts w:hint="eastAsia"/>
        </w:rPr>
        <w:t>органи</w:t>
      </w:r>
      <w:r w:rsidR="0047182F" w:rsidRPr="00F2736B">
        <w:t xml:space="preserve"> </w:t>
      </w:r>
      <w:r w:rsidR="0047182F" w:rsidRPr="00F2736B">
        <w:rPr>
          <w:rFonts w:hint="eastAsia"/>
        </w:rPr>
        <w:t>и</w:t>
      </w:r>
      <w:r w:rsidR="0047182F" w:rsidRPr="00F2736B">
        <w:t xml:space="preserve"> </w:t>
      </w:r>
      <w:r w:rsidR="0047182F" w:rsidRPr="00F2736B">
        <w:rPr>
          <w:rFonts w:hint="eastAsia"/>
        </w:rPr>
        <w:t>структури</w:t>
      </w:r>
      <w:r w:rsidR="0047182F" w:rsidRPr="00F2736B">
        <w:t xml:space="preserve"> </w:t>
      </w:r>
      <w:r w:rsidR="0047182F" w:rsidRPr="00F2736B">
        <w:rPr>
          <w:rFonts w:hint="eastAsia"/>
        </w:rPr>
        <w:t>на</w:t>
      </w:r>
      <w:r w:rsidR="0047182F" w:rsidRPr="00F2736B">
        <w:t xml:space="preserve"> ESRB. Заложени в бюджета за 2025 г. са 23, като през първото полугодие 2 от тях са извънредни;</w:t>
      </w:r>
    </w:p>
    <w:p w14:paraId="73540CA7" w14:textId="58038CB1" w:rsidR="0047182F" w:rsidRPr="00F2736B" w:rsidRDefault="00B467CF" w:rsidP="00F004B4">
      <w:pPr>
        <w:widowControl w:val="0"/>
        <w:numPr>
          <w:ilvl w:val="0"/>
          <w:numId w:val="9"/>
        </w:numPr>
        <w:spacing w:line="276" w:lineRule="auto"/>
        <w:ind w:left="0" w:firstLine="633"/>
        <w:jc w:val="both"/>
        <w:rPr>
          <w:lang w:val="en-US"/>
        </w:rPr>
      </w:pPr>
      <w:r w:rsidRPr="00F2736B">
        <w:t xml:space="preserve">    </w:t>
      </w:r>
      <w:r w:rsidR="0047182F" w:rsidRPr="00F2736B">
        <w:t xml:space="preserve">за </w:t>
      </w:r>
      <w:r w:rsidR="0047182F" w:rsidRPr="00F2736B">
        <w:rPr>
          <w:rFonts w:hint="eastAsia"/>
        </w:rPr>
        <w:t>заседанията</w:t>
      </w:r>
      <w:r w:rsidR="0047182F" w:rsidRPr="00F2736B">
        <w:t xml:space="preserve"> </w:t>
      </w:r>
      <w:r w:rsidR="0047182F" w:rsidRPr="00F2736B">
        <w:rPr>
          <w:rFonts w:hint="eastAsia"/>
        </w:rPr>
        <w:t>на</w:t>
      </w:r>
      <w:r w:rsidR="0047182F" w:rsidRPr="00F2736B">
        <w:t xml:space="preserve"> </w:t>
      </w:r>
      <w:r w:rsidR="0047182F" w:rsidRPr="00F2736B">
        <w:rPr>
          <w:rFonts w:hint="eastAsia"/>
        </w:rPr>
        <w:t>Генералния</w:t>
      </w:r>
      <w:r w:rsidR="0047182F" w:rsidRPr="00F2736B">
        <w:t xml:space="preserve"> </w:t>
      </w:r>
      <w:r w:rsidR="0047182F" w:rsidRPr="00F2736B">
        <w:rPr>
          <w:rFonts w:hint="eastAsia"/>
        </w:rPr>
        <w:t>съвет</w:t>
      </w:r>
      <w:r w:rsidR="0047182F" w:rsidRPr="00F2736B">
        <w:t xml:space="preserve"> на </w:t>
      </w:r>
      <w:r w:rsidR="0047182F" w:rsidRPr="00F2736B">
        <w:rPr>
          <w:lang w:val="en-GB"/>
        </w:rPr>
        <w:t>ESRB</w:t>
      </w:r>
      <w:r w:rsidR="0047182F" w:rsidRPr="00F2736B">
        <w:t xml:space="preserve"> са </w:t>
      </w:r>
      <w:r w:rsidR="0047182F" w:rsidRPr="00F2736B">
        <w:rPr>
          <w:rFonts w:hint="eastAsia"/>
        </w:rPr>
        <w:t>изготвени</w:t>
      </w:r>
      <w:r w:rsidR="0047182F" w:rsidRPr="00F2736B">
        <w:t xml:space="preserve"> </w:t>
      </w:r>
      <w:r w:rsidR="0047182F" w:rsidRPr="00F2736B">
        <w:rPr>
          <w:rFonts w:hint="eastAsia"/>
        </w:rPr>
        <w:t>общо</w:t>
      </w:r>
      <w:r w:rsidR="0047182F" w:rsidRPr="00F2736B">
        <w:t xml:space="preserve"> 6 </w:t>
      </w:r>
      <w:r w:rsidR="0047182F" w:rsidRPr="00F2736B">
        <w:rPr>
          <w:rFonts w:hint="eastAsia"/>
        </w:rPr>
        <w:t>позиции</w:t>
      </w:r>
      <w:r w:rsidR="0047182F" w:rsidRPr="00F2736B">
        <w:t xml:space="preserve"> от заложените 16 в бюджета за 2025 г. Обикновено позициите варира</w:t>
      </w:r>
      <w:r w:rsidRPr="00F2736B">
        <w:t>т</w:t>
      </w:r>
      <w:r w:rsidR="0047182F" w:rsidRPr="00F2736B">
        <w:t xml:space="preserve"> между 4 и 5 на заседание;</w:t>
      </w:r>
    </w:p>
    <w:p w14:paraId="7A7668C9" w14:textId="77777777" w:rsidR="0047182F" w:rsidRPr="00F2736B" w:rsidRDefault="0047182F" w:rsidP="00F004B4">
      <w:pPr>
        <w:widowControl w:val="0"/>
        <w:numPr>
          <w:ilvl w:val="0"/>
          <w:numId w:val="9"/>
        </w:numPr>
        <w:spacing w:line="276" w:lineRule="auto"/>
        <w:ind w:left="993"/>
        <w:jc w:val="both"/>
        <w:rPr>
          <w:lang w:val="en-US"/>
        </w:rPr>
      </w:pPr>
      <w:r w:rsidRPr="00F2736B">
        <w:t xml:space="preserve">участие в 3 заседания на </w:t>
      </w:r>
      <w:r w:rsidRPr="00F2736B">
        <w:rPr>
          <w:rFonts w:hint="eastAsia"/>
        </w:rPr>
        <w:t>Генералния</w:t>
      </w:r>
      <w:r w:rsidRPr="00F2736B">
        <w:t xml:space="preserve"> </w:t>
      </w:r>
      <w:r w:rsidRPr="00F2736B">
        <w:rPr>
          <w:rFonts w:hint="eastAsia"/>
        </w:rPr>
        <w:t>съвет</w:t>
      </w:r>
      <w:r w:rsidRPr="00F2736B">
        <w:t xml:space="preserve"> </w:t>
      </w:r>
      <w:r w:rsidRPr="00F2736B">
        <w:rPr>
          <w:rFonts w:hint="eastAsia"/>
        </w:rPr>
        <w:t>на</w:t>
      </w:r>
      <w:r w:rsidRPr="00F2736B">
        <w:t xml:space="preserve"> </w:t>
      </w:r>
      <w:r w:rsidRPr="00F2736B">
        <w:rPr>
          <w:lang w:val="en-US"/>
        </w:rPr>
        <w:t>ESRB</w:t>
      </w:r>
      <w:r w:rsidRPr="00F2736B">
        <w:t>;</w:t>
      </w:r>
    </w:p>
    <w:p w14:paraId="2B9EEC9E" w14:textId="4B9681BC" w:rsidR="0047182F" w:rsidRPr="00F2736B" w:rsidRDefault="00CC779A" w:rsidP="00F004B4">
      <w:pPr>
        <w:widowControl w:val="0"/>
        <w:numPr>
          <w:ilvl w:val="0"/>
          <w:numId w:val="9"/>
        </w:numPr>
        <w:spacing w:line="276" w:lineRule="auto"/>
        <w:ind w:left="0" w:firstLine="633"/>
        <w:jc w:val="both"/>
        <w:rPr>
          <w:lang w:val="en-US"/>
        </w:rPr>
      </w:pPr>
      <w:r w:rsidRPr="00F2736B">
        <w:t xml:space="preserve">    </w:t>
      </w:r>
      <w:r w:rsidR="0047182F" w:rsidRPr="00F2736B">
        <w:rPr>
          <w:rFonts w:hint="eastAsia"/>
        </w:rPr>
        <w:t xml:space="preserve">становища по </w:t>
      </w:r>
      <w:r w:rsidR="0047182F" w:rsidRPr="00F2736B">
        <w:t xml:space="preserve">11 </w:t>
      </w:r>
      <w:r w:rsidR="0047182F" w:rsidRPr="00F2736B">
        <w:rPr>
          <w:rFonts w:hint="eastAsia"/>
        </w:rPr>
        <w:t>писмени</w:t>
      </w:r>
      <w:r w:rsidR="0047182F" w:rsidRPr="00F2736B">
        <w:t xml:space="preserve"> </w:t>
      </w:r>
      <w:r w:rsidR="0047182F" w:rsidRPr="00F2736B">
        <w:rPr>
          <w:rFonts w:hint="eastAsia"/>
        </w:rPr>
        <w:t>процедури</w:t>
      </w:r>
      <w:r w:rsidR="0047182F" w:rsidRPr="00F2736B">
        <w:t xml:space="preserve"> </w:t>
      </w:r>
      <w:r w:rsidR="0047182F" w:rsidRPr="00F2736B">
        <w:rPr>
          <w:rFonts w:hint="eastAsia"/>
        </w:rPr>
        <w:t>на</w:t>
      </w:r>
      <w:r w:rsidR="0047182F" w:rsidRPr="00F2736B">
        <w:t xml:space="preserve"> </w:t>
      </w:r>
      <w:r w:rsidR="0047182F" w:rsidRPr="00F2736B">
        <w:rPr>
          <w:lang w:val="en-US"/>
        </w:rPr>
        <w:t>ESRB</w:t>
      </w:r>
      <w:r w:rsidR="0047182F" w:rsidRPr="00F2736B">
        <w:t xml:space="preserve"> от предвидени 50.</w:t>
      </w:r>
      <w:r w:rsidR="0047182F" w:rsidRPr="00F2736B">
        <w:rPr>
          <w:lang w:val="en-US"/>
        </w:rPr>
        <w:t xml:space="preserve"> </w:t>
      </w:r>
      <w:r w:rsidR="0047182F" w:rsidRPr="00F2736B">
        <w:t>Броят на писмените процедури зависи от програмата и естеството на проблемите, по които  работят съответните работни групи през годината;</w:t>
      </w:r>
    </w:p>
    <w:p w14:paraId="0AE83E25" w14:textId="34862F7C" w:rsidR="0047182F" w:rsidRPr="00F2736B" w:rsidRDefault="00CC779A" w:rsidP="00F004B4">
      <w:pPr>
        <w:widowControl w:val="0"/>
        <w:numPr>
          <w:ilvl w:val="0"/>
          <w:numId w:val="9"/>
        </w:numPr>
        <w:spacing w:line="276" w:lineRule="auto"/>
        <w:ind w:left="0" w:firstLine="633"/>
        <w:jc w:val="both"/>
      </w:pPr>
      <w:r w:rsidRPr="00F2736B">
        <w:t xml:space="preserve">    </w:t>
      </w:r>
      <w:r w:rsidR="0047182F" w:rsidRPr="00F2736B">
        <w:t xml:space="preserve">попълнени 2 тримесечни въпросника за </w:t>
      </w:r>
      <w:r w:rsidR="0047182F" w:rsidRPr="00F2736B">
        <w:rPr>
          <w:rFonts w:hint="eastAsia"/>
        </w:rPr>
        <w:t>рисковете</w:t>
      </w:r>
      <w:r w:rsidR="0047182F" w:rsidRPr="00F2736B">
        <w:t xml:space="preserve"> </w:t>
      </w:r>
      <w:r w:rsidR="0047182F" w:rsidRPr="00F2736B">
        <w:rPr>
          <w:rFonts w:hint="eastAsia"/>
        </w:rPr>
        <w:t>и</w:t>
      </w:r>
      <w:r w:rsidR="0047182F" w:rsidRPr="00F2736B">
        <w:t xml:space="preserve"> </w:t>
      </w:r>
      <w:r w:rsidR="0047182F" w:rsidRPr="00F2736B">
        <w:rPr>
          <w:rFonts w:hint="eastAsia"/>
        </w:rPr>
        <w:t>заплахите</w:t>
      </w:r>
      <w:r w:rsidR="0047182F" w:rsidRPr="00F2736B">
        <w:t xml:space="preserve"> </w:t>
      </w:r>
      <w:r w:rsidR="0047182F" w:rsidRPr="00F2736B">
        <w:rPr>
          <w:rFonts w:hint="eastAsia"/>
        </w:rPr>
        <w:t>в</w:t>
      </w:r>
      <w:r w:rsidR="0047182F" w:rsidRPr="00F2736B">
        <w:t xml:space="preserve"> </w:t>
      </w:r>
      <w:r w:rsidR="0047182F" w:rsidRPr="00F2736B">
        <w:rPr>
          <w:rFonts w:hint="eastAsia"/>
        </w:rPr>
        <w:t>рамките</w:t>
      </w:r>
      <w:r w:rsidR="0047182F" w:rsidRPr="00F2736B">
        <w:t xml:space="preserve"> </w:t>
      </w:r>
      <w:r w:rsidR="0047182F" w:rsidRPr="00F2736B">
        <w:rPr>
          <w:rFonts w:hint="eastAsia"/>
        </w:rPr>
        <w:t>на</w:t>
      </w:r>
      <w:r w:rsidR="0047182F" w:rsidRPr="00F2736B">
        <w:t xml:space="preserve"> </w:t>
      </w:r>
      <w:r w:rsidR="0047182F" w:rsidRPr="00F2736B">
        <w:rPr>
          <w:rFonts w:hint="eastAsia"/>
        </w:rPr>
        <w:t>АТС</w:t>
      </w:r>
      <w:r w:rsidR="0047182F" w:rsidRPr="00F2736B">
        <w:t xml:space="preserve"> </w:t>
      </w:r>
      <w:r w:rsidR="0047182F" w:rsidRPr="00F2736B">
        <w:rPr>
          <w:rFonts w:hint="eastAsia"/>
        </w:rPr>
        <w:t>на</w:t>
      </w:r>
      <w:r w:rsidR="0047182F" w:rsidRPr="00F2736B">
        <w:t xml:space="preserve"> ESRB</w:t>
      </w:r>
      <w:r w:rsidR="0047182F" w:rsidRPr="00F2736B">
        <w:rPr>
          <w:lang w:val="en-US"/>
        </w:rPr>
        <w:t>;</w:t>
      </w:r>
    </w:p>
    <w:p w14:paraId="0AA4D5A1" w14:textId="2AD45D2E" w:rsidR="0047182F" w:rsidRPr="00F2736B" w:rsidRDefault="00CC779A" w:rsidP="00F004B4">
      <w:pPr>
        <w:widowControl w:val="0"/>
        <w:numPr>
          <w:ilvl w:val="0"/>
          <w:numId w:val="9"/>
        </w:numPr>
        <w:spacing w:line="276" w:lineRule="auto"/>
        <w:ind w:left="0" w:firstLine="633"/>
        <w:jc w:val="both"/>
      </w:pPr>
      <w:r w:rsidRPr="00F2736B">
        <w:t xml:space="preserve">    </w:t>
      </w:r>
      <w:r w:rsidR="0047182F" w:rsidRPr="00F2736B">
        <w:t>работа по д</w:t>
      </w:r>
      <w:r w:rsidR="0047182F" w:rsidRPr="00F2736B">
        <w:rPr>
          <w:rFonts w:hint="eastAsia"/>
        </w:rPr>
        <w:t>оклад</w:t>
      </w:r>
      <w:r w:rsidR="0047182F" w:rsidRPr="00F2736B">
        <w:t xml:space="preserve"> </w:t>
      </w:r>
      <w:r w:rsidR="0047182F" w:rsidRPr="00F2736B">
        <w:rPr>
          <w:rFonts w:hint="eastAsia"/>
        </w:rPr>
        <w:t>за</w:t>
      </w:r>
      <w:r w:rsidR="0047182F" w:rsidRPr="00F2736B">
        <w:t xml:space="preserve"> </w:t>
      </w:r>
      <w:r w:rsidR="0047182F" w:rsidRPr="00F2736B">
        <w:rPr>
          <w:rFonts w:hint="eastAsia"/>
        </w:rPr>
        <w:t>съответствие</w:t>
      </w:r>
      <w:r w:rsidR="0047182F" w:rsidRPr="00F2736B">
        <w:t xml:space="preserve"> </w:t>
      </w:r>
      <w:r w:rsidR="0047182F" w:rsidRPr="00F2736B">
        <w:rPr>
          <w:rFonts w:hint="eastAsia"/>
        </w:rPr>
        <w:t>с</w:t>
      </w:r>
      <w:r w:rsidR="0047182F" w:rsidRPr="00F2736B">
        <w:t xml:space="preserve"> </w:t>
      </w:r>
      <w:r w:rsidR="0047182F" w:rsidRPr="00F2736B">
        <w:rPr>
          <w:rFonts w:hint="eastAsia"/>
        </w:rPr>
        <w:t>изискванията</w:t>
      </w:r>
      <w:r w:rsidR="0047182F" w:rsidRPr="00F2736B">
        <w:t xml:space="preserve"> </w:t>
      </w:r>
      <w:r w:rsidR="0047182F" w:rsidRPr="00F2736B">
        <w:rPr>
          <w:rFonts w:hint="eastAsia"/>
        </w:rPr>
        <w:t>на</w:t>
      </w:r>
      <w:r w:rsidR="0047182F" w:rsidRPr="00F2736B">
        <w:t xml:space="preserve"> </w:t>
      </w:r>
      <w:r w:rsidR="0047182F" w:rsidRPr="00F2736B">
        <w:rPr>
          <w:rFonts w:hint="eastAsia"/>
        </w:rPr>
        <w:t>Препоръка</w:t>
      </w:r>
      <w:r w:rsidR="0047182F" w:rsidRPr="00F2736B">
        <w:t xml:space="preserve"> </w:t>
      </w:r>
      <w:r w:rsidR="0047182F" w:rsidRPr="00F2736B">
        <w:rPr>
          <w:rFonts w:hint="eastAsia"/>
        </w:rPr>
        <w:t>на</w:t>
      </w:r>
      <w:r w:rsidR="0047182F" w:rsidRPr="00F2736B">
        <w:t xml:space="preserve"> ESRB </w:t>
      </w:r>
      <w:r w:rsidR="0047182F" w:rsidRPr="00F2736B">
        <w:rPr>
          <w:rFonts w:hint="eastAsia"/>
        </w:rPr>
        <w:t>относно</w:t>
      </w:r>
      <w:r w:rsidR="0047182F" w:rsidRPr="00F2736B">
        <w:t xml:space="preserve"> </w:t>
      </w:r>
      <w:r w:rsidR="0047182F" w:rsidRPr="00F2736B">
        <w:rPr>
          <w:rFonts w:hint="eastAsia"/>
        </w:rPr>
        <w:t>реформата</w:t>
      </w:r>
      <w:r w:rsidR="0047182F" w:rsidRPr="00F2736B">
        <w:t xml:space="preserve"> </w:t>
      </w:r>
      <w:r w:rsidR="0047182F" w:rsidRPr="00F2736B">
        <w:rPr>
          <w:rFonts w:hint="eastAsia"/>
        </w:rPr>
        <w:t>на</w:t>
      </w:r>
      <w:r w:rsidR="0047182F" w:rsidRPr="00F2736B">
        <w:t xml:space="preserve"> </w:t>
      </w:r>
      <w:r w:rsidR="0047182F" w:rsidRPr="00F2736B">
        <w:rPr>
          <w:rFonts w:hint="eastAsia"/>
        </w:rPr>
        <w:t>фондовете</w:t>
      </w:r>
      <w:r w:rsidR="0047182F" w:rsidRPr="00F2736B">
        <w:t xml:space="preserve"> </w:t>
      </w:r>
      <w:r w:rsidR="0047182F" w:rsidRPr="00F2736B">
        <w:rPr>
          <w:rFonts w:hint="eastAsia"/>
        </w:rPr>
        <w:t>на</w:t>
      </w:r>
      <w:r w:rsidR="0047182F" w:rsidRPr="00F2736B">
        <w:t xml:space="preserve"> </w:t>
      </w:r>
      <w:r w:rsidR="0047182F" w:rsidRPr="00F2736B">
        <w:rPr>
          <w:rFonts w:hint="eastAsia"/>
        </w:rPr>
        <w:t>паричния</w:t>
      </w:r>
      <w:r w:rsidR="0047182F" w:rsidRPr="00F2736B">
        <w:t xml:space="preserve"> </w:t>
      </w:r>
      <w:r w:rsidR="0047182F" w:rsidRPr="00F2736B">
        <w:rPr>
          <w:rFonts w:hint="eastAsia"/>
        </w:rPr>
        <w:t>пазар</w:t>
      </w:r>
      <w:r w:rsidR="0047182F" w:rsidRPr="00F2736B">
        <w:t xml:space="preserve"> (</w:t>
      </w:r>
      <w:r w:rsidR="0047182F" w:rsidRPr="00F2736B">
        <w:rPr>
          <w:rFonts w:hint="eastAsia"/>
        </w:rPr>
        <w:t>Препоръка</w:t>
      </w:r>
      <w:r w:rsidR="0047182F" w:rsidRPr="00F2736B">
        <w:t xml:space="preserve"> ESRB/2021/9);</w:t>
      </w:r>
    </w:p>
    <w:p w14:paraId="70A44033" w14:textId="15192D1B" w:rsidR="0047182F" w:rsidRPr="00F2736B" w:rsidRDefault="00CC779A" w:rsidP="00F004B4">
      <w:pPr>
        <w:widowControl w:val="0"/>
        <w:numPr>
          <w:ilvl w:val="0"/>
          <w:numId w:val="9"/>
        </w:numPr>
        <w:spacing w:line="276" w:lineRule="auto"/>
        <w:ind w:left="0" w:firstLine="633"/>
        <w:jc w:val="both"/>
      </w:pPr>
      <w:r w:rsidRPr="00F2736B">
        <w:t xml:space="preserve">    </w:t>
      </w:r>
      <w:r w:rsidR="0047182F" w:rsidRPr="00F2736B">
        <w:rPr>
          <w:rFonts w:hint="eastAsia"/>
        </w:rPr>
        <w:t>работа</w:t>
      </w:r>
      <w:r w:rsidR="0047182F" w:rsidRPr="00F2736B">
        <w:t xml:space="preserve"> </w:t>
      </w:r>
      <w:r w:rsidR="0047182F" w:rsidRPr="00F2736B">
        <w:rPr>
          <w:rFonts w:hint="eastAsia"/>
        </w:rPr>
        <w:t>по</w:t>
      </w:r>
      <w:r w:rsidR="0047182F" w:rsidRPr="00F2736B">
        <w:t xml:space="preserve"> </w:t>
      </w:r>
      <w:r w:rsidR="0047182F" w:rsidRPr="00F2736B">
        <w:rPr>
          <w:rFonts w:hint="eastAsia"/>
        </w:rPr>
        <w:t>четвърта оценка за съответствие с изискванията на</w:t>
      </w:r>
      <w:r w:rsidR="0047182F" w:rsidRPr="00F2736B">
        <w:t xml:space="preserve"> </w:t>
      </w:r>
      <w:r w:rsidR="0047182F" w:rsidRPr="00F2736B">
        <w:rPr>
          <w:rFonts w:hint="eastAsia"/>
        </w:rPr>
        <w:t>Препоръка</w:t>
      </w:r>
      <w:r w:rsidR="0047182F" w:rsidRPr="00F2736B">
        <w:t xml:space="preserve"> </w:t>
      </w:r>
      <w:r w:rsidR="0047182F" w:rsidRPr="00F2736B">
        <w:rPr>
          <w:rFonts w:hint="eastAsia"/>
        </w:rPr>
        <w:t>относно</w:t>
      </w:r>
      <w:r w:rsidR="0047182F" w:rsidRPr="00F2736B">
        <w:t xml:space="preserve"> </w:t>
      </w:r>
      <w:r w:rsidR="0047182F" w:rsidRPr="00F2736B">
        <w:rPr>
          <w:rFonts w:hint="eastAsia"/>
        </w:rPr>
        <w:t>оценката</w:t>
      </w:r>
      <w:r w:rsidR="0047182F" w:rsidRPr="00F2736B">
        <w:t xml:space="preserve"> </w:t>
      </w:r>
      <w:r w:rsidR="0047182F" w:rsidRPr="00F2736B">
        <w:rPr>
          <w:rFonts w:hint="eastAsia"/>
        </w:rPr>
        <w:t>на</w:t>
      </w:r>
      <w:r w:rsidR="0047182F" w:rsidRPr="00F2736B">
        <w:t xml:space="preserve"> </w:t>
      </w:r>
      <w:r w:rsidR="0047182F" w:rsidRPr="00F2736B">
        <w:rPr>
          <w:rFonts w:hint="eastAsia"/>
        </w:rPr>
        <w:t>трансграничните</w:t>
      </w:r>
      <w:r w:rsidR="0047182F" w:rsidRPr="00F2736B">
        <w:t xml:space="preserve"> </w:t>
      </w:r>
      <w:r w:rsidR="0047182F" w:rsidRPr="00F2736B">
        <w:rPr>
          <w:rFonts w:hint="eastAsia"/>
        </w:rPr>
        <w:t>ефекти</w:t>
      </w:r>
      <w:r w:rsidR="0047182F" w:rsidRPr="00F2736B">
        <w:t xml:space="preserve"> </w:t>
      </w:r>
      <w:r w:rsidR="0047182F" w:rsidRPr="00F2736B">
        <w:rPr>
          <w:rFonts w:hint="eastAsia"/>
        </w:rPr>
        <w:t>и</w:t>
      </w:r>
      <w:r w:rsidR="0047182F" w:rsidRPr="00F2736B">
        <w:t xml:space="preserve"> </w:t>
      </w:r>
      <w:r w:rsidR="0047182F" w:rsidRPr="00F2736B">
        <w:rPr>
          <w:rFonts w:hint="eastAsia"/>
        </w:rPr>
        <w:t>доброволната</w:t>
      </w:r>
      <w:r w:rsidR="0047182F" w:rsidRPr="00F2736B">
        <w:t xml:space="preserve"> </w:t>
      </w:r>
      <w:r w:rsidR="0047182F" w:rsidRPr="00F2736B">
        <w:rPr>
          <w:rFonts w:hint="eastAsia"/>
        </w:rPr>
        <w:t>реципрочност</w:t>
      </w:r>
      <w:r w:rsidR="0047182F" w:rsidRPr="00F2736B">
        <w:t xml:space="preserve"> </w:t>
      </w:r>
      <w:r w:rsidR="0047182F" w:rsidRPr="00F2736B">
        <w:rPr>
          <w:rFonts w:hint="eastAsia"/>
        </w:rPr>
        <w:t>за</w:t>
      </w:r>
      <w:r w:rsidR="0047182F" w:rsidRPr="00F2736B">
        <w:t xml:space="preserve"> </w:t>
      </w:r>
      <w:r w:rsidR="0047182F" w:rsidRPr="00F2736B">
        <w:rPr>
          <w:rFonts w:hint="eastAsia"/>
        </w:rPr>
        <w:t>мерките</w:t>
      </w:r>
      <w:r w:rsidR="0047182F" w:rsidRPr="00F2736B">
        <w:t xml:space="preserve"> </w:t>
      </w:r>
      <w:r w:rsidR="0047182F" w:rsidRPr="00F2736B">
        <w:rPr>
          <w:rFonts w:hint="eastAsia"/>
        </w:rPr>
        <w:t>на</w:t>
      </w:r>
      <w:r w:rsidR="0047182F" w:rsidRPr="00F2736B">
        <w:t xml:space="preserve"> </w:t>
      </w:r>
      <w:r w:rsidR="0047182F" w:rsidRPr="00F2736B">
        <w:rPr>
          <w:rFonts w:hint="eastAsia"/>
        </w:rPr>
        <w:t>макропруденциална</w:t>
      </w:r>
      <w:r w:rsidR="0047182F" w:rsidRPr="00F2736B">
        <w:t xml:space="preserve"> </w:t>
      </w:r>
      <w:r w:rsidR="0047182F" w:rsidRPr="00F2736B">
        <w:rPr>
          <w:rFonts w:hint="eastAsia"/>
        </w:rPr>
        <w:t>политика</w:t>
      </w:r>
      <w:r w:rsidR="0047182F" w:rsidRPr="00F2736B">
        <w:t xml:space="preserve"> ESRB/2015/2</w:t>
      </w:r>
      <w:r w:rsidR="0047182F" w:rsidRPr="00F2736B">
        <w:rPr>
          <w:lang w:val="en-US"/>
        </w:rPr>
        <w:t>;</w:t>
      </w:r>
    </w:p>
    <w:p w14:paraId="683FE600" w14:textId="410FA308" w:rsidR="0047182F" w:rsidRPr="00F2736B" w:rsidRDefault="00CC779A" w:rsidP="00F004B4">
      <w:pPr>
        <w:widowControl w:val="0"/>
        <w:numPr>
          <w:ilvl w:val="0"/>
          <w:numId w:val="9"/>
        </w:numPr>
        <w:spacing w:line="276" w:lineRule="auto"/>
        <w:ind w:left="0" w:firstLine="633"/>
        <w:jc w:val="both"/>
      </w:pPr>
      <w:r w:rsidRPr="00F2736B">
        <w:t xml:space="preserve">    </w:t>
      </w:r>
      <w:r w:rsidR="0047182F" w:rsidRPr="00F2736B">
        <w:rPr>
          <w:rFonts w:hint="eastAsia"/>
        </w:rPr>
        <w:t>работа</w:t>
      </w:r>
      <w:r w:rsidR="0047182F" w:rsidRPr="00F2736B">
        <w:t xml:space="preserve"> </w:t>
      </w:r>
      <w:r w:rsidR="0047182F" w:rsidRPr="00F2736B">
        <w:rPr>
          <w:rFonts w:hint="eastAsia"/>
        </w:rPr>
        <w:t>по</w:t>
      </w:r>
      <w:r w:rsidR="0047182F" w:rsidRPr="00F2736B">
        <w:t xml:space="preserve"> </w:t>
      </w:r>
      <w:r w:rsidR="0047182F" w:rsidRPr="00F2736B">
        <w:rPr>
          <w:rFonts w:hint="eastAsia"/>
        </w:rPr>
        <w:t>трета оценка за съответствие с изискванията на</w:t>
      </w:r>
      <w:r w:rsidR="0047182F" w:rsidRPr="00F2736B">
        <w:t xml:space="preserve"> </w:t>
      </w:r>
      <w:r w:rsidR="0047182F" w:rsidRPr="00F2736B">
        <w:rPr>
          <w:rFonts w:hint="eastAsia"/>
        </w:rPr>
        <w:t>Препоръка</w:t>
      </w:r>
      <w:r w:rsidR="0047182F" w:rsidRPr="00F2736B">
        <w:t xml:space="preserve"> </w:t>
      </w:r>
      <w:r w:rsidR="0047182F" w:rsidRPr="00F2736B">
        <w:rPr>
          <w:rFonts w:hint="eastAsia"/>
        </w:rPr>
        <w:t>на</w:t>
      </w:r>
      <w:r w:rsidR="0047182F" w:rsidRPr="00F2736B">
        <w:t xml:space="preserve"> ESRB </w:t>
      </w:r>
      <w:r w:rsidR="0047182F" w:rsidRPr="00F2736B">
        <w:rPr>
          <w:rFonts w:hint="eastAsia"/>
        </w:rPr>
        <w:t>относно</w:t>
      </w:r>
      <w:r w:rsidR="0047182F" w:rsidRPr="00F2736B">
        <w:t xml:space="preserve"> </w:t>
      </w:r>
      <w:r w:rsidR="0047182F" w:rsidRPr="00F2736B">
        <w:rPr>
          <w:rFonts w:hint="eastAsia"/>
        </w:rPr>
        <w:t>насоки</w:t>
      </w:r>
      <w:r w:rsidR="0047182F" w:rsidRPr="00F2736B">
        <w:t xml:space="preserve"> </w:t>
      </w:r>
      <w:r w:rsidR="0047182F" w:rsidRPr="00F2736B">
        <w:rPr>
          <w:rFonts w:hint="eastAsia"/>
        </w:rPr>
        <w:t>за</w:t>
      </w:r>
      <w:r w:rsidR="0047182F" w:rsidRPr="00F2736B">
        <w:t xml:space="preserve"> </w:t>
      </w:r>
      <w:r w:rsidR="0047182F" w:rsidRPr="00F2736B">
        <w:rPr>
          <w:rFonts w:hint="eastAsia"/>
        </w:rPr>
        <w:t>определяне</w:t>
      </w:r>
      <w:r w:rsidR="0047182F" w:rsidRPr="00F2736B">
        <w:t xml:space="preserve"> </w:t>
      </w:r>
      <w:r w:rsidR="0047182F" w:rsidRPr="00F2736B">
        <w:rPr>
          <w:rFonts w:hint="eastAsia"/>
        </w:rPr>
        <w:t>на</w:t>
      </w:r>
      <w:r w:rsidR="0047182F" w:rsidRPr="00F2736B">
        <w:t xml:space="preserve"> </w:t>
      </w:r>
      <w:r w:rsidR="0047182F" w:rsidRPr="00F2736B">
        <w:rPr>
          <w:rFonts w:hint="eastAsia"/>
        </w:rPr>
        <w:t>нива</w:t>
      </w:r>
      <w:r w:rsidR="0047182F" w:rsidRPr="00F2736B">
        <w:t xml:space="preserve"> </w:t>
      </w:r>
      <w:r w:rsidR="0047182F" w:rsidRPr="00F2736B">
        <w:rPr>
          <w:rFonts w:hint="eastAsia"/>
        </w:rPr>
        <w:t>на</w:t>
      </w:r>
      <w:r w:rsidR="0047182F" w:rsidRPr="00F2736B">
        <w:t xml:space="preserve"> </w:t>
      </w:r>
      <w:r w:rsidR="0047182F" w:rsidRPr="00F2736B">
        <w:rPr>
          <w:rFonts w:hint="eastAsia"/>
        </w:rPr>
        <w:t>антицикличния</w:t>
      </w:r>
      <w:r w:rsidR="0047182F" w:rsidRPr="00F2736B">
        <w:t xml:space="preserve"> </w:t>
      </w:r>
      <w:r w:rsidR="0047182F" w:rsidRPr="00F2736B">
        <w:rPr>
          <w:rFonts w:hint="eastAsia"/>
        </w:rPr>
        <w:t>буфер</w:t>
      </w:r>
      <w:r w:rsidR="0047182F" w:rsidRPr="00F2736B">
        <w:t xml:space="preserve"> (Препоръка</w:t>
      </w:r>
      <w:r w:rsidRPr="00F2736B">
        <w:t xml:space="preserve"> </w:t>
      </w:r>
      <w:r w:rsidR="0047182F" w:rsidRPr="00F2736B">
        <w:t>ESRB/2014/1);</w:t>
      </w:r>
    </w:p>
    <w:p w14:paraId="76678967" w14:textId="22BFD43B" w:rsidR="0047182F" w:rsidRPr="00F2736B" w:rsidRDefault="00CC779A" w:rsidP="00F004B4">
      <w:pPr>
        <w:widowControl w:val="0"/>
        <w:numPr>
          <w:ilvl w:val="0"/>
          <w:numId w:val="9"/>
        </w:numPr>
        <w:spacing w:line="276" w:lineRule="auto"/>
        <w:ind w:left="0" w:firstLine="633"/>
        <w:jc w:val="both"/>
      </w:pPr>
      <w:r w:rsidRPr="00F2736B">
        <w:t xml:space="preserve">    </w:t>
      </w:r>
      <w:r w:rsidR="0047182F" w:rsidRPr="00F2736B">
        <w:rPr>
          <w:rFonts w:hint="eastAsia"/>
        </w:rPr>
        <w:t>работа</w:t>
      </w:r>
      <w:r w:rsidR="0047182F" w:rsidRPr="00F2736B">
        <w:t xml:space="preserve"> </w:t>
      </w:r>
      <w:r w:rsidR="0047182F" w:rsidRPr="00F2736B">
        <w:rPr>
          <w:rFonts w:hint="eastAsia"/>
        </w:rPr>
        <w:t>по</w:t>
      </w:r>
      <w:r w:rsidR="0047182F" w:rsidRPr="00F2736B">
        <w:t xml:space="preserve"> д</w:t>
      </w:r>
      <w:r w:rsidR="0047182F" w:rsidRPr="00F2736B">
        <w:rPr>
          <w:rFonts w:hint="eastAsia"/>
        </w:rPr>
        <w:t>оклад</w:t>
      </w:r>
      <w:r w:rsidR="0047182F" w:rsidRPr="00F2736B">
        <w:t xml:space="preserve"> </w:t>
      </w:r>
      <w:r w:rsidR="0047182F" w:rsidRPr="00F2736B">
        <w:rPr>
          <w:rFonts w:hint="eastAsia"/>
        </w:rPr>
        <w:t>за</w:t>
      </w:r>
      <w:r w:rsidR="0047182F" w:rsidRPr="00F2736B">
        <w:t xml:space="preserve"> </w:t>
      </w:r>
      <w:r w:rsidR="0047182F" w:rsidRPr="00F2736B">
        <w:rPr>
          <w:rFonts w:hint="eastAsia"/>
        </w:rPr>
        <w:t>съответствие</w:t>
      </w:r>
      <w:r w:rsidR="0047182F" w:rsidRPr="00F2736B">
        <w:t xml:space="preserve"> </w:t>
      </w:r>
      <w:r w:rsidR="0047182F" w:rsidRPr="00F2736B">
        <w:rPr>
          <w:rFonts w:hint="eastAsia"/>
        </w:rPr>
        <w:t>с</w:t>
      </w:r>
      <w:r w:rsidR="0047182F" w:rsidRPr="00F2736B">
        <w:t xml:space="preserve"> </w:t>
      </w:r>
      <w:r w:rsidR="0047182F" w:rsidRPr="00F2736B">
        <w:rPr>
          <w:rFonts w:hint="eastAsia"/>
        </w:rPr>
        <w:t>изискванията</w:t>
      </w:r>
      <w:r w:rsidR="0047182F" w:rsidRPr="00F2736B">
        <w:t xml:space="preserve"> </w:t>
      </w:r>
      <w:r w:rsidR="0047182F" w:rsidRPr="00F2736B">
        <w:rPr>
          <w:rFonts w:hint="eastAsia"/>
        </w:rPr>
        <w:t>на</w:t>
      </w:r>
      <w:r w:rsidR="0047182F" w:rsidRPr="00F2736B">
        <w:t xml:space="preserve"> </w:t>
      </w:r>
      <w:r w:rsidR="0047182F" w:rsidRPr="00F2736B">
        <w:rPr>
          <w:rFonts w:hint="eastAsia"/>
        </w:rPr>
        <w:t>Препоръка</w:t>
      </w:r>
      <w:r w:rsidR="0047182F" w:rsidRPr="00F2736B">
        <w:t xml:space="preserve"> </w:t>
      </w:r>
      <w:r w:rsidR="0047182F" w:rsidRPr="00F2736B">
        <w:rPr>
          <w:rFonts w:hint="eastAsia"/>
        </w:rPr>
        <w:t>на</w:t>
      </w:r>
      <w:r w:rsidR="0047182F" w:rsidRPr="00F2736B">
        <w:t xml:space="preserve"> ESRB </w:t>
      </w:r>
      <w:r w:rsidR="0047182F" w:rsidRPr="00F2736B">
        <w:rPr>
          <w:rFonts w:hint="eastAsia"/>
        </w:rPr>
        <w:t>относно</w:t>
      </w:r>
      <w:r w:rsidR="0047182F" w:rsidRPr="00F2736B">
        <w:t xml:space="preserve"> </w:t>
      </w:r>
      <w:r w:rsidR="0047182F" w:rsidRPr="00F2736B">
        <w:rPr>
          <w:rFonts w:hint="eastAsia"/>
        </w:rPr>
        <w:t>общоевропейската</w:t>
      </w:r>
      <w:r w:rsidR="0047182F" w:rsidRPr="00F2736B">
        <w:t xml:space="preserve"> </w:t>
      </w:r>
      <w:r w:rsidR="0047182F" w:rsidRPr="00F2736B">
        <w:rPr>
          <w:rFonts w:hint="eastAsia"/>
        </w:rPr>
        <w:t>рамка</w:t>
      </w:r>
      <w:r w:rsidR="0047182F" w:rsidRPr="00F2736B">
        <w:t xml:space="preserve"> </w:t>
      </w:r>
      <w:r w:rsidR="0047182F" w:rsidRPr="00F2736B">
        <w:rPr>
          <w:rFonts w:hint="eastAsia"/>
        </w:rPr>
        <w:t>за</w:t>
      </w:r>
      <w:r w:rsidR="0047182F" w:rsidRPr="00F2736B">
        <w:t xml:space="preserve"> </w:t>
      </w:r>
      <w:r w:rsidR="0047182F" w:rsidRPr="00F2736B">
        <w:rPr>
          <w:rFonts w:hint="eastAsia"/>
        </w:rPr>
        <w:t>координация</w:t>
      </w:r>
      <w:r w:rsidR="0047182F" w:rsidRPr="00F2736B">
        <w:t xml:space="preserve"> </w:t>
      </w:r>
      <w:r w:rsidR="0047182F" w:rsidRPr="00F2736B">
        <w:rPr>
          <w:rFonts w:hint="eastAsia"/>
        </w:rPr>
        <w:t>на</w:t>
      </w:r>
      <w:r w:rsidR="0047182F" w:rsidRPr="00F2736B">
        <w:t xml:space="preserve"> </w:t>
      </w:r>
      <w:r w:rsidR="0047182F" w:rsidRPr="00F2736B">
        <w:rPr>
          <w:rFonts w:hint="eastAsia"/>
        </w:rPr>
        <w:t>системни</w:t>
      </w:r>
      <w:r w:rsidR="0047182F" w:rsidRPr="00F2736B">
        <w:t xml:space="preserve"> </w:t>
      </w:r>
      <w:r w:rsidR="0047182F" w:rsidRPr="00F2736B">
        <w:rPr>
          <w:rFonts w:hint="eastAsia"/>
        </w:rPr>
        <w:t>киберинциденти</w:t>
      </w:r>
      <w:r w:rsidR="0047182F" w:rsidRPr="00F2736B">
        <w:t xml:space="preserve"> </w:t>
      </w:r>
      <w:r w:rsidR="0047182F" w:rsidRPr="00F2736B">
        <w:rPr>
          <w:rFonts w:hint="eastAsia"/>
        </w:rPr>
        <w:t>за</w:t>
      </w:r>
      <w:r w:rsidR="0047182F" w:rsidRPr="00F2736B">
        <w:t xml:space="preserve"> </w:t>
      </w:r>
      <w:r w:rsidR="0047182F" w:rsidRPr="00F2736B">
        <w:rPr>
          <w:rFonts w:hint="eastAsia"/>
        </w:rPr>
        <w:t>съответните</w:t>
      </w:r>
      <w:r w:rsidR="0047182F" w:rsidRPr="00F2736B">
        <w:t xml:space="preserve"> </w:t>
      </w:r>
      <w:r w:rsidR="0047182F" w:rsidRPr="00F2736B">
        <w:rPr>
          <w:rFonts w:hint="eastAsia"/>
        </w:rPr>
        <w:t>органи</w:t>
      </w:r>
      <w:r w:rsidR="0047182F" w:rsidRPr="00F2736B">
        <w:t xml:space="preserve"> (</w:t>
      </w:r>
      <w:r w:rsidR="0047182F" w:rsidRPr="00F2736B">
        <w:rPr>
          <w:rFonts w:hint="eastAsia"/>
        </w:rPr>
        <w:t>Препоръка</w:t>
      </w:r>
      <w:r w:rsidR="0047182F" w:rsidRPr="00F2736B">
        <w:t xml:space="preserve"> ESRB/2021/17).</w:t>
      </w:r>
    </w:p>
    <w:p w14:paraId="318CF649" w14:textId="77777777" w:rsidR="00F6274C" w:rsidRPr="00F2736B" w:rsidRDefault="00F6274C" w:rsidP="00F004B4">
      <w:pPr>
        <w:widowControl w:val="0"/>
        <w:spacing w:line="276" w:lineRule="auto"/>
        <w:ind w:left="993"/>
        <w:jc w:val="both"/>
      </w:pPr>
    </w:p>
    <w:p w14:paraId="07D11F39" w14:textId="77777777" w:rsidR="001F178A" w:rsidRPr="00F2736B" w:rsidRDefault="001F178A" w:rsidP="00F004B4">
      <w:pPr>
        <w:spacing w:line="276" w:lineRule="auto"/>
        <w:jc w:val="both"/>
      </w:pPr>
      <w:bookmarkStart w:id="34" w:name="_Toc78466440"/>
      <w:r w:rsidRPr="00F2736B">
        <w:rPr>
          <w:b/>
        </w:rPr>
        <w:lastRenderedPageBreak/>
        <w:t>2.4. Изготвяне на проекти на позиции/становища и участие в срещи на междуведомствените работни групи във връзка с присъединяването на България към Организацията за икономическо сътрудничество и развитие</w:t>
      </w:r>
      <w:bookmarkEnd w:id="34"/>
    </w:p>
    <w:p w14:paraId="7F5B7DBE" w14:textId="77777777" w:rsidR="00D422E7" w:rsidRPr="00F2736B" w:rsidRDefault="00D422E7" w:rsidP="00F004B4">
      <w:pPr>
        <w:spacing w:line="276" w:lineRule="auto"/>
        <w:ind w:firstLine="720"/>
        <w:jc w:val="both"/>
      </w:pPr>
      <w:r w:rsidRPr="00F2736B">
        <w:t xml:space="preserve">През първото полугодие на 2025 г. представители на Комисията продължиха активната си работа по процеса на присъединяване на България към ОИСР, като усилията бяха съсредоточени основно в комуникация по отношение на </w:t>
      </w:r>
      <w:r w:rsidRPr="00F2736B">
        <w:rPr>
          <w:iCs/>
        </w:rPr>
        <w:t xml:space="preserve">Комитета по корпоративно управление (ККУ), като представители на КФН взеха участие в заседание на ККУ през април, а през юни в София се проведе мисия на ОИСР, по време на която КФН съвместно с НККУ организира тематична конференция. </w:t>
      </w:r>
    </w:p>
    <w:p w14:paraId="73F3E12D" w14:textId="77777777" w:rsidR="00D422E7" w:rsidRPr="00F2736B" w:rsidRDefault="00D422E7" w:rsidP="00F004B4">
      <w:pPr>
        <w:tabs>
          <w:tab w:val="left" w:pos="709"/>
        </w:tabs>
        <w:spacing w:line="276" w:lineRule="auto"/>
        <w:jc w:val="both"/>
      </w:pPr>
      <w:r w:rsidRPr="00F2736B">
        <w:rPr>
          <w:iCs/>
        </w:rPr>
        <w:tab/>
      </w:r>
      <w:r w:rsidRPr="00F2736B">
        <w:t xml:space="preserve">Комисията продължи да си сътрудничи с Министерство на икономиката и Министерството на външните работи, като системно беше предоставяна информация, свързана с присъединителния процес на България към организацията. </w:t>
      </w:r>
    </w:p>
    <w:p w14:paraId="6E125EA0" w14:textId="2A7004F1" w:rsidR="00D422E7" w:rsidRPr="00F2736B" w:rsidRDefault="00D422E7" w:rsidP="00F004B4">
      <w:pPr>
        <w:spacing w:line="276" w:lineRule="auto"/>
        <w:jc w:val="both"/>
      </w:pPr>
      <w:r w:rsidRPr="00F2736B">
        <w:tab/>
        <w:t xml:space="preserve">Представители на Комисията взеха участие както в срещи на структури на ОИСР, така и в заседания между българските институции, например на Междуведомствената експертна комисия към Междуведомствения координационен механизъм по кандидатурата на България за членство в ОИСР и заседания на самия </w:t>
      </w:r>
      <w:r w:rsidR="004F470A" w:rsidRPr="00F2736B">
        <w:t>Междуведомствения координационен механизъм</w:t>
      </w:r>
      <w:r w:rsidRPr="00F2736B">
        <w:t>.</w:t>
      </w:r>
    </w:p>
    <w:p w14:paraId="7E05634A" w14:textId="77777777" w:rsidR="008A0611" w:rsidRPr="00F2736B" w:rsidRDefault="008A0611" w:rsidP="00F16DE6">
      <w:pPr>
        <w:spacing w:line="276" w:lineRule="auto"/>
        <w:ind w:right="-28" w:firstLine="720"/>
        <w:jc w:val="both"/>
      </w:pPr>
    </w:p>
    <w:p w14:paraId="2FBF1475" w14:textId="77777777" w:rsidR="005240D5" w:rsidRPr="00F2736B" w:rsidRDefault="00490197" w:rsidP="00F004B4">
      <w:pPr>
        <w:spacing w:line="276" w:lineRule="auto"/>
        <w:jc w:val="both"/>
        <w:rPr>
          <w:b/>
        </w:rPr>
      </w:pPr>
      <w:bookmarkStart w:id="35" w:name="_Toc78466441"/>
      <w:r w:rsidRPr="00F2736B">
        <w:rPr>
          <w:b/>
        </w:rPr>
        <w:t xml:space="preserve">3. Участие в процеса на вземане на решения на ЕС при формирането и изпълнението на политиките в областта на небанковия финансов сектор за налагане на единни правила за всички пазарни участници </w:t>
      </w:r>
      <w:bookmarkStart w:id="36" w:name="_Toc78466442"/>
      <w:bookmarkEnd w:id="35"/>
    </w:p>
    <w:p w14:paraId="508088AC" w14:textId="77777777" w:rsidR="00490197" w:rsidRPr="00F2736B" w:rsidRDefault="00490197" w:rsidP="00F004B4">
      <w:pPr>
        <w:spacing w:line="276" w:lineRule="auto"/>
        <w:jc w:val="both"/>
      </w:pPr>
      <w:r w:rsidRPr="00F2736B">
        <w:rPr>
          <w:b/>
        </w:rPr>
        <w:t>3.1</w:t>
      </w:r>
      <w:r w:rsidR="00206CDD" w:rsidRPr="00F2736B">
        <w:rPr>
          <w:b/>
        </w:rPr>
        <w:t>.</w:t>
      </w:r>
      <w:r w:rsidRPr="00F2736B">
        <w:rPr>
          <w:b/>
        </w:rPr>
        <w:t xml:space="preserve"> Участие във форуми и работни групи  в процеса на вземане на решения на ЕС</w:t>
      </w:r>
      <w:bookmarkEnd w:id="36"/>
    </w:p>
    <w:p w14:paraId="70B4963D" w14:textId="77777777" w:rsidR="003A09E5" w:rsidRPr="00F2736B" w:rsidRDefault="008A0611" w:rsidP="00F004B4">
      <w:pPr>
        <w:spacing w:line="276" w:lineRule="auto"/>
        <w:jc w:val="both"/>
      </w:pPr>
      <w:r w:rsidRPr="00F2736B">
        <w:tab/>
      </w:r>
      <w:r w:rsidR="003A09E5" w:rsidRPr="00F2736B">
        <w:t xml:space="preserve">Комисията не участва пряко във форуми и работни групи в процеса на вземане на решения на ЕС, но предоставя становища по теми, попадащи в компетенциите на българския регулаторен орган. </w:t>
      </w:r>
    </w:p>
    <w:p w14:paraId="5AF4A296" w14:textId="77777777" w:rsidR="003A09E5" w:rsidRPr="00F2736B" w:rsidRDefault="003A09E5" w:rsidP="00F004B4">
      <w:pPr>
        <w:spacing w:line="276" w:lineRule="auto"/>
        <w:ind w:firstLine="720"/>
        <w:jc w:val="both"/>
      </w:pPr>
      <w:r w:rsidRPr="00F2736B">
        <w:t xml:space="preserve">През отчетния период Комисията изготви и предостави становища по Listing Act, Retail Investment Strategy, </w:t>
      </w:r>
      <w:r w:rsidRPr="00F2736B">
        <w:rPr>
          <w:rFonts w:eastAsia="Calibri"/>
          <w:lang w:eastAsia="en-US"/>
        </w:rPr>
        <w:t xml:space="preserve">FIDA и </w:t>
      </w:r>
      <w:r w:rsidRPr="00F2736B">
        <w:rPr>
          <w:rFonts w:eastAsiaTheme="minorHAnsi"/>
          <w:lang w:eastAsia="en-US"/>
        </w:rPr>
        <w:t>Omnibus IV (</w:t>
      </w:r>
      <w:r w:rsidRPr="00F2736B">
        <w:rPr>
          <w:rFonts w:eastAsiaTheme="minorHAnsi"/>
          <w:lang w:val="en-US" w:eastAsia="en-US"/>
        </w:rPr>
        <w:t>Sustainability Omnibus)</w:t>
      </w:r>
      <w:r w:rsidRPr="00F2736B">
        <w:t>.</w:t>
      </w:r>
    </w:p>
    <w:p w14:paraId="0B212B1A" w14:textId="250CA221" w:rsidR="005240D5" w:rsidRPr="00F2736B" w:rsidRDefault="005240D5" w:rsidP="00F004B4">
      <w:pPr>
        <w:spacing w:line="276" w:lineRule="auto"/>
        <w:jc w:val="both"/>
      </w:pPr>
    </w:p>
    <w:p w14:paraId="127F3E4B" w14:textId="77777777" w:rsidR="00490197" w:rsidRPr="00F2736B" w:rsidRDefault="001F178A" w:rsidP="00F004B4">
      <w:pPr>
        <w:spacing w:line="276" w:lineRule="auto"/>
        <w:jc w:val="both"/>
        <w:rPr>
          <w:lang w:eastAsia="en-US"/>
        </w:rPr>
      </w:pPr>
      <w:r w:rsidRPr="00F2736B">
        <w:t xml:space="preserve"> </w:t>
      </w:r>
      <w:bookmarkStart w:id="37" w:name="_Toc78466443"/>
      <w:r w:rsidR="00490197" w:rsidRPr="00F2736B">
        <w:rPr>
          <w:b/>
        </w:rPr>
        <w:t>3.2</w:t>
      </w:r>
      <w:r w:rsidR="00206CDD" w:rsidRPr="00F2736B">
        <w:rPr>
          <w:b/>
        </w:rPr>
        <w:t>.</w:t>
      </w:r>
      <w:r w:rsidR="00490197" w:rsidRPr="00F2736B">
        <w:rPr>
          <w:b/>
        </w:rPr>
        <w:t xml:space="preserve"> Участие в консултативни комитети или сътрудничество с други международни и европейски органи и институции</w:t>
      </w:r>
      <w:bookmarkEnd w:id="37"/>
    </w:p>
    <w:p w14:paraId="04C3F46F" w14:textId="274E96D3" w:rsidR="00C83CA0" w:rsidRPr="00F2736B" w:rsidRDefault="004D009F" w:rsidP="00F004B4">
      <w:pPr>
        <w:spacing w:line="276" w:lineRule="auto"/>
        <w:jc w:val="both"/>
      </w:pPr>
      <w:r w:rsidRPr="00F2736B">
        <w:tab/>
      </w:r>
      <w:r w:rsidR="00C83CA0" w:rsidRPr="00F2736B">
        <w:t>През отчетния период бяха попъл</w:t>
      </w:r>
      <w:r w:rsidR="00002423">
        <w:t>нени</w:t>
      </w:r>
      <w:r w:rsidR="00C83CA0" w:rsidRPr="00F2736B">
        <w:t xml:space="preserve"> въпросници към международни и европейски органи</w:t>
      </w:r>
      <w:r w:rsidR="00002423">
        <w:t>,</w:t>
      </w:r>
      <w:r w:rsidR="00C83CA0" w:rsidRPr="00F2736B">
        <w:t xml:space="preserve"> институции</w:t>
      </w:r>
      <w:r w:rsidR="00002423">
        <w:t xml:space="preserve"> и </w:t>
      </w:r>
      <w:r w:rsidR="00002423" w:rsidRPr="00F2736B">
        <w:t>организации, в които Комисията е член</w:t>
      </w:r>
      <w:r w:rsidR="00C83CA0" w:rsidRPr="00F2736B">
        <w:t>, сред които такива на IOSCO, IAIS и IOPS.</w:t>
      </w:r>
    </w:p>
    <w:p w14:paraId="30986CBC" w14:textId="0D85400A" w:rsidR="00A04452" w:rsidRPr="00F2736B" w:rsidRDefault="00C83CA0" w:rsidP="00F004B4">
      <w:pPr>
        <w:spacing w:line="276" w:lineRule="auto"/>
        <w:jc w:val="both"/>
      </w:pPr>
      <w:r w:rsidRPr="00F2736B">
        <w:tab/>
      </w:r>
    </w:p>
    <w:p w14:paraId="62904189" w14:textId="77777777" w:rsidR="00570DC1" w:rsidRPr="00F2736B" w:rsidRDefault="00490197" w:rsidP="00F004B4">
      <w:pPr>
        <w:spacing w:line="276" w:lineRule="auto"/>
        <w:jc w:val="both"/>
        <w:rPr>
          <w:b/>
        </w:rPr>
      </w:pPr>
      <w:bookmarkStart w:id="38" w:name="_Toc78466444"/>
      <w:r w:rsidRPr="00F2736B">
        <w:rPr>
          <w:b/>
        </w:rPr>
        <w:t>4. Участие в работата на европейските надзорни органи, част от Европейската система за финансов надзор, при изготвянето на нови и актуализирането на действащите надзорни политики на ЕС</w:t>
      </w:r>
      <w:bookmarkEnd w:id="38"/>
      <w:r w:rsidRPr="00F2736B">
        <w:rPr>
          <w:b/>
        </w:rPr>
        <w:t xml:space="preserve"> </w:t>
      </w:r>
      <w:bookmarkStart w:id="39" w:name="_Toc78466445"/>
    </w:p>
    <w:p w14:paraId="532F0B6C" w14:textId="77777777" w:rsidR="00490197" w:rsidRPr="00F2736B" w:rsidRDefault="00490197" w:rsidP="00F004B4">
      <w:pPr>
        <w:spacing w:line="276" w:lineRule="auto"/>
        <w:jc w:val="both"/>
      </w:pPr>
      <w:r w:rsidRPr="00F2736B">
        <w:rPr>
          <w:b/>
        </w:rPr>
        <w:t>4.1</w:t>
      </w:r>
      <w:r w:rsidR="00206CDD" w:rsidRPr="00F2736B">
        <w:rPr>
          <w:b/>
        </w:rPr>
        <w:t>.</w:t>
      </w:r>
      <w:r w:rsidRPr="00F2736B">
        <w:rPr>
          <w:b/>
        </w:rPr>
        <w:t xml:space="preserve"> Участие в заседания на европейските надзорни органи, произтичащи от членството на България в ЕС</w:t>
      </w:r>
      <w:bookmarkEnd w:id="39"/>
    </w:p>
    <w:p w14:paraId="470EB76D" w14:textId="77777777" w:rsidR="002B4166" w:rsidRPr="00F2736B" w:rsidRDefault="002B4166" w:rsidP="00F004B4">
      <w:pPr>
        <w:spacing w:line="276" w:lineRule="auto"/>
        <w:ind w:firstLine="720"/>
        <w:jc w:val="both"/>
      </w:pPr>
      <w:bookmarkStart w:id="40" w:name="_Toc78466446"/>
      <w:r w:rsidRPr="001F7CA0">
        <w:t xml:space="preserve">През първото полугодие на 2025 г. половината заседания на ЕОЦКП и на ЕОЗППО се провеждаха присъствено, а другата половина - чрез телеконферентни разговори. </w:t>
      </w:r>
      <w:r w:rsidRPr="001F7CA0">
        <w:lastRenderedPageBreak/>
        <w:t xml:space="preserve">Отчетените заседания за шестмесечието не включват само срещите на най-високо ниво на ЕОЦКП и ЕОЗППО – тези на Съветите на надзорниците, но също така и заседания на работните групи на двете регулаторни институции. Все повече заседания и срещи на работните групи се провеждат неприсъствено, тъй като това е по-лесен и удобен начин за дискутиране и решаване на актуални проблеми веднага, когато възникнат. Комисията за финансов надзор има представители и в работни групи към ЕБО и </w:t>
      </w:r>
      <w:r w:rsidRPr="001F7CA0">
        <w:rPr>
          <w:lang w:val="en-GB"/>
        </w:rPr>
        <w:t>AMLA</w:t>
      </w:r>
      <w:r w:rsidRPr="001F7CA0">
        <w:t>.</w:t>
      </w:r>
    </w:p>
    <w:p w14:paraId="1A9F9C5A" w14:textId="77777777" w:rsidR="002B4166" w:rsidRPr="00F2736B" w:rsidRDefault="002B4166" w:rsidP="002B4166">
      <w:pPr>
        <w:spacing w:line="276" w:lineRule="auto"/>
        <w:ind w:firstLine="720"/>
        <w:contextualSpacing/>
        <w:jc w:val="both"/>
      </w:pPr>
      <w:r w:rsidRPr="00F2736B">
        <w:t>През първото полугодие на 2025 г. представителите на Комисията в подкомитетите на Съвместния комитет на европейските надзорни органи продължиха своята работа, основно чрез попълване на въпросници.</w:t>
      </w:r>
    </w:p>
    <w:p w14:paraId="692F036B" w14:textId="77777777" w:rsidR="00490197" w:rsidRPr="00F2736B" w:rsidRDefault="00490197" w:rsidP="00F16DE6">
      <w:pPr>
        <w:spacing w:line="276" w:lineRule="auto"/>
        <w:jc w:val="both"/>
      </w:pPr>
      <w:r w:rsidRPr="00F2736B">
        <w:rPr>
          <w:b/>
        </w:rPr>
        <w:t>4.2</w:t>
      </w:r>
      <w:r w:rsidR="00206CDD" w:rsidRPr="00F2736B">
        <w:rPr>
          <w:b/>
        </w:rPr>
        <w:t>.</w:t>
      </w:r>
      <w:r w:rsidRPr="00F2736B">
        <w:rPr>
          <w:b/>
        </w:rPr>
        <w:t xml:space="preserve"> Изготвяне на позиции /становища/ и във връзка с действащите надзорни политики на ЕС</w:t>
      </w:r>
      <w:bookmarkEnd w:id="40"/>
      <w:r w:rsidRPr="00F2736B">
        <w:rPr>
          <w:b/>
        </w:rPr>
        <w:t xml:space="preserve"> </w:t>
      </w:r>
    </w:p>
    <w:p w14:paraId="60469254" w14:textId="60D815A5" w:rsidR="00364919" w:rsidRPr="00F2736B" w:rsidRDefault="00364919" w:rsidP="00364919">
      <w:pPr>
        <w:spacing w:after="120" w:line="276" w:lineRule="auto"/>
        <w:ind w:firstLine="720"/>
        <w:jc w:val="both"/>
      </w:pPr>
      <w:r w:rsidRPr="00F2736B">
        <w:t>Във връзка с изложеното в т. 4.</w:t>
      </w:r>
      <w:r w:rsidRPr="00F2736B">
        <w:rPr>
          <w:lang w:val="en-GB"/>
        </w:rPr>
        <w:t>1</w:t>
      </w:r>
      <w:r w:rsidRPr="00F2736B">
        <w:t>. се наблюдава и голям брой позиции/становища, изготвени през отчетния период – 2</w:t>
      </w:r>
      <w:r w:rsidRPr="00F2736B">
        <w:rPr>
          <w:lang w:val="en-GB"/>
        </w:rPr>
        <w:t>44</w:t>
      </w:r>
      <w:r w:rsidRPr="00F2736B">
        <w:t xml:space="preserve">, като това число включва позиции за заседанията на най-високо ниво в европейските надзорни органи, а също така и документи, подготвени преди срещи на работни групи. В посоченото число попадат и становища по писмени процедури за коментари и гласуване от страна на представителите в Съветите на надзорниците, като има и такива, по които не е изпращан изричен отговор, тъй като се е прилагало мълчаливото съгласие. </w:t>
      </w:r>
    </w:p>
    <w:p w14:paraId="4598057D" w14:textId="77777777" w:rsidR="00490197" w:rsidRPr="00F2736B" w:rsidRDefault="00490197" w:rsidP="00F16DE6">
      <w:pPr>
        <w:spacing w:line="276" w:lineRule="auto"/>
        <w:jc w:val="both"/>
      </w:pPr>
      <w:bookmarkStart w:id="41" w:name="_Toc78466447"/>
      <w:r w:rsidRPr="00F2736B">
        <w:rPr>
          <w:b/>
        </w:rPr>
        <w:t>4.3</w:t>
      </w:r>
      <w:r w:rsidR="00206CDD" w:rsidRPr="00F2736B">
        <w:rPr>
          <w:b/>
        </w:rPr>
        <w:t>.</w:t>
      </w:r>
      <w:r w:rsidRPr="00F2736B">
        <w:rPr>
          <w:b/>
        </w:rPr>
        <w:t xml:space="preserve"> Изготвяне на отговори на искания за информация/въпросници/ анализи/предоставяне на статистически данни</w:t>
      </w:r>
      <w:bookmarkEnd w:id="41"/>
      <w:r w:rsidRPr="00F2736B">
        <w:rPr>
          <w:b/>
        </w:rPr>
        <w:t xml:space="preserve"> </w:t>
      </w:r>
    </w:p>
    <w:p w14:paraId="2864E7B6" w14:textId="77777777" w:rsidR="007A36A7" w:rsidRPr="00F2736B" w:rsidRDefault="004D009F" w:rsidP="007A36A7">
      <w:pPr>
        <w:spacing w:line="276" w:lineRule="auto"/>
        <w:jc w:val="both"/>
      </w:pPr>
      <w:r w:rsidRPr="00F2736B">
        <w:tab/>
      </w:r>
      <w:r w:rsidR="007A36A7" w:rsidRPr="00F2736B">
        <w:t>Броят на изготвените отговори на искания за информация, попълнените въпросници, предоставените анализи и статистически данни през последните години расте отново във връзка с предизвикателствата, пред които се изправи светът. Както и през предишните периоди, голям процент от изискваната информация се отнася до защитата на потребителите на небанковите финансови услуги. Отговори на запитвания са изпращани както на ЕОЦКП и ЕОЗППО, така и на национални компетентни органи.</w:t>
      </w:r>
    </w:p>
    <w:p w14:paraId="3F47A79B" w14:textId="29C5E813" w:rsidR="005A52A2" w:rsidRPr="00F2736B" w:rsidRDefault="005A52A2" w:rsidP="007A36A7">
      <w:pPr>
        <w:spacing w:line="276" w:lineRule="auto"/>
        <w:jc w:val="both"/>
      </w:pPr>
    </w:p>
    <w:p w14:paraId="3AF5B94E" w14:textId="77777777" w:rsidR="00EE1DBB" w:rsidRPr="00F2736B" w:rsidRDefault="00EE1DBB" w:rsidP="00F16DE6">
      <w:pPr>
        <w:spacing w:line="276" w:lineRule="auto"/>
        <w:jc w:val="both"/>
      </w:pPr>
      <w:bookmarkStart w:id="42" w:name="_Toc78466448"/>
      <w:r w:rsidRPr="00F2736B">
        <w:rPr>
          <w:b/>
        </w:rPr>
        <w:t>5. Участие в колегиуми за групов надзор в областта на застраховането</w:t>
      </w:r>
      <w:bookmarkEnd w:id="42"/>
    </w:p>
    <w:p w14:paraId="317FF4DB" w14:textId="77777777" w:rsidR="00D30EB0" w:rsidRPr="004E3B15" w:rsidRDefault="00D766BC" w:rsidP="00D30EB0">
      <w:pPr>
        <w:ind w:firstLine="710"/>
        <w:jc w:val="both"/>
        <w:rPr>
          <w:lang w:val="en-US"/>
        </w:rPr>
      </w:pPr>
      <w:r w:rsidRPr="00F2736B">
        <w:tab/>
      </w:r>
      <w:r w:rsidR="00D30EB0" w:rsidRPr="00F2736B">
        <w:t>През първото полугодие на 2025 г. служители на управление „Застрахователен надзор“ взеха участие в 3 срещи на колегиума на надзорните органи на 2 застрахователни групи.</w:t>
      </w:r>
    </w:p>
    <w:p w14:paraId="50CC6C3D" w14:textId="7E94E772" w:rsidR="00EE1DBB" w:rsidRPr="005240D5" w:rsidRDefault="00EE1DBB" w:rsidP="00D30EB0">
      <w:pPr>
        <w:spacing w:line="276" w:lineRule="auto"/>
        <w:jc w:val="both"/>
        <w:rPr>
          <w:b/>
        </w:rPr>
      </w:pPr>
    </w:p>
    <w:p w14:paraId="4D61379A" w14:textId="77777777" w:rsidR="00EE1DBB" w:rsidRPr="00C52478" w:rsidRDefault="00EE1DBB" w:rsidP="00F16DE6">
      <w:pPr>
        <w:spacing w:line="276" w:lineRule="auto"/>
        <w:jc w:val="both"/>
      </w:pPr>
      <w:bookmarkStart w:id="43" w:name="_Toc78466449"/>
      <w:r w:rsidRPr="005240D5">
        <w:rPr>
          <w:b/>
        </w:rPr>
        <w:t>6</w:t>
      </w:r>
      <w:r w:rsidR="00490197" w:rsidRPr="005240D5">
        <w:rPr>
          <w:b/>
        </w:rPr>
        <w:t xml:space="preserve">. </w:t>
      </w:r>
      <w:r w:rsidRPr="005240D5">
        <w:rPr>
          <w:b/>
        </w:rPr>
        <w:t>Разглеждане на заявления и изготвяне на проекти на индивидуални</w:t>
      </w:r>
      <w:r w:rsidRPr="00C52478">
        <w:rPr>
          <w:b/>
        </w:rPr>
        <w:t xml:space="preserve"> административни актове в производствата по издаване на лицензии, разрешения, одобрения, признаване на правоспособност, утвърждаване на образци на документи и др.</w:t>
      </w:r>
      <w:bookmarkEnd w:id="43"/>
    </w:p>
    <w:p w14:paraId="259EE7D0" w14:textId="77777777" w:rsidR="00EE1DBB" w:rsidRPr="00F2736B" w:rsidRDefault="00EE1DBB" w:rsidP="00F16DE6">
      <w:pPr>
        <w:spacing w:line="276" w:lineRule="auto"/>
        <w:jc w:val="both"/>
      </w:pPr>
      <w:bookmarkStart w:id="44" w:name="_Toc78466450"/>
      <w:r w:rsidRPr="00C52478">
        <w:rPr>
          <w:b/>
        </w:rPr>
        <w:t>6</w:t>
      </w:r>
      <w:r w:rsidR="00490197" w:rsidRPr="00C52478">
        <w:rPr>
          <w:b/>
        </w:rPr>
        <w:t>.1</w:t>
      </w:r>
      <w:r w:rsidR="00206CDD">
        <w:rPr>
          <w:b/>
        </w:rPr>
        <w:t>.</w:t>
      </w:r>
      <w:r w:rsidR="00490197" w:rsidRPr="00C52478">
        <w:rPr>
          <w:b/>
        </w:rPr>
        <w:t xml:space="preserve"> </w:t>
      </w:r>
      <w:r w:rsidRPr="00C52478">
        <w:rPr>
          <w:b/>
        </w:rPr>
        <w:t xml:space="preserve">Разглеждане на заявления и изготвяне на проекти на индивидуални административни актове във връзка с производствата по издаване на лицензии, </w:t>
      </w:r>
      <w:r w:rsidRPr="00F2736B">
        <w:rPr>
          <w:b/>
        </w:rPr>
        <w:t>разрешения или одобрения</w:t>
      </w:r>
      <w:bookmarkEnd w:id="44"/>
    </w:p>
    <w:p w14:paraId="5C2FDA5F" w14:textId="6C16B1D1" w:rsidR="0074697F" w:rsidRPr="000F0CC9" w:rsidRDefault="00B211C8" w:rsidP="00F16DE6">
      <w:pPr>
        <w:spacing w:line="276" w:lineRule="auto"/>
        <w:ind w:firstLine="709"/>
        <w:jc w:val="both"/>
      </w:pPr>
      <w:r w:rsidRPr="000F0CC9">
        <w:t>През първото шестмесечие на 2025</w:t>
      </w:r>
      <w:r w:rsidR="0074697F" w:rsidRPr="000F0CC9">
        <w:t xml:space="preserve"> г. от управление „Надзор на инвестиционната дейност“ са изготвени проекти за:</w:t>
      </w:r>
    </w:p>
    <w:p w14:paraId="7725C388" w14:textId="2E50F2A1" w:rsidR="00B211C8" w:rsidRPr="000F0CC9" w:rsidRDefault="00B211C8" w:rsidP="00B211C8">
      <w:pPr>
        <w:pStyle w:val="ListParagraph"/>
        <w:numPr>
          <w:ilvl w:val="1"/>
          <w:numId w:val="11"/>
        </w:numPr>
        <w:ind w:left="1134" w:hanging="425"/>
        <w:jc w:val="both"/>
      </w:pPr>
      <w:r w:rsidRPr="000F0CC9">
        <w:lastRenderedPageBreak/>
        <w:t>2</w:t>
      </w:r>
      <w:r w:rsidRPr="000F0CC9">
        <w:rPr>
          <w:lang w:val="en-US"/>
        </w:rPr>
        <w:t>2</w:t>
      </w:r>
      <w:r w:rsidRPr="000F0CC9">
        <w:t xml:space="preserve"> решения за издаване на одобрения на лица за членове на съвета на директорите на дружества със специална инвестиционна цел;</w:t>
      </w:r>
    </w:p>
    <w:p w14:paraId="7ECB389B" w14:textId="19E97C2E" w:rsidR="00B211C8" w:rsidRPr="000F0CC9" w:rsidRDefault="00B211C8" w:rsidP="00B211C8">
      <w:pPr>
        <w:pStyle w:val="ListParagraph"/>
        <w:numPr>
          <w:ilvl w:val="1"/>
          <w:numId w:val="11"/>
        </w:numPr>
        <w:ind w:left="1134" w:hanging="425"/>
        <w:jc w:val="both"/>
      </w:pPr>
      <w:r w:rsidRPr="000F0CC9">
        <w:t>9 решения за издаване на одобрения на промени в устава на дружества със специална инвестиционна цел;</w:t>
      </w:r>
    </w:p>
    <w:p w14:paraId="55478A6B" w14:textId="13E9978D" w:rsidR="00B211C8" w:rsidRPr="000F0CC9" w:rsidRDefault="00B211C8" w:rsidP="00B211C8">
      <w:pPr>
        <w:pStyle w:val="ListParagraph"/>
        <w:numPr>
          <w:ilvl w:val="1"/>
          <w:numId w:val="11"/>
        </w:numPr>
        <w:ind w:left="1134" w:hanging="425"/>
        <w:jc w:val="both"/>
      </w:pPr>
      <w:r w:rsidRPr="000F0CC9">
        <w:t>4 решения за издаване на одобрение за възлагане на дейност на трето лице по чл. 27, ал. 4 от ЗДСИЦДС или изменения/допълнения в договора с трето лице по чл. 27, ал. 6 от ЗДСИЦДС по отношение на дейността на ДСИЦ;</w:t>
      </w:r>
    </w:p>
    <w:p w14:paraId="34960B4E" w14:textId="1AD8779E" w:rsidR="00B211C8" w:rsidRPr="000F0CC9" w:rsidRDefault="00B211C8" w:rsidP="00B211C8">
      <w:pPr>
        <w:pStyle w:val="ListParagraph"/>
        <w:numPr>
          <w:ilvl w:val="1"/>
          <w:numId w:val="11"/>
        </w:numPr>
        <w:ind w:left="1134" w:hanging="425"/>
        <w:jc w:val="both"/>
      </w:pPr>
      <w:r w:rsidRPr="000F0CC9">
        <w:t>1 решение за издаване на одобрение на замяна на банка-депозитар  по отношение на дейността на ДСИЦ;</w:t>
      </w:r>
    </w:p>
    <w:p w14:paraId="7B3C8068" w14:textId="6A500ABC" w:rsidR="00B211C8" w:rsidRPr="000F0CC9" w:rsidRDefault="00B211C8" w:rsidP="00B211C8">
      <w:pPr>
        <w:pStyle w:val="ListParagraph"/>
        <w:numPr>
          <w:ilvl w:val="1"/>
          <w:numId w:val="11"/>
        </w:numPr>
        <w:ind w:left="1134" w:hanging="425"/>
        <w:jc w:val="both"/>
      </w:pPr>
      <w:r w:rsidRPr="000F0CC9">
        <w:t xml:space="preserve">1 решение за прекратяване на производство за издаване на одобрение на лице за нов член на СД на ДСИЦ; </w:t>
      </w:r>
    </w:p>
    <w:p w14:paraId="5B170426" w14:textId="3241A816" w:rsidR="00B211C8" w:rsidRPr="000F0CC9" w:rsidRDefault="00B211C8" w:rsidP="00B211C8">
      <w:pPr>
        <w:pStyle w:val="ListParagraph"/>
        <w:numPr>
          <w:ilvl w:val="1"/>
          <w:numId w:val="11"/>
        </w:numPr>
        <w:ind w:left="1134" w:hanging="425"/>
        <w:jc w:val="both"/>
      </w:pPr>
      <w:r w:rsidRPr="000F0CC9">
        <w:t>7 решения за одобрение на проспект за първично публично предлагане на акции;</w:t>
      </w:r>
    </w:p>
    <w:p w14:paraId="1D071513" w14:textId="103E0ADE" w:rsidR="00B211C8" w:rsidRPr="000F0CC9" w:rsidRDefault="00B211C8" w:rsidP="00B211C8">
      <w:pPr>
        <w:pStyle w:val="ListParagraph"/>
        <w:numPr>
          <w:ilvl w:val="1"/>
          <w:numId w:val="11"/>
        </w:numPr>
        <w:ind w:left="1134" w:hanging="425"/>
        <w:jc w:val="both"/>
      </w:pPr>
      <w:r w:rsidRPr="000F0CC9">
        <w:t>1 решение за одобрение на проспект за първично публично предлагане на варанти;</w:t>
      </w:r>
    </w:p>
    <w:p w14:paraId="33C049A1" w14:textId="505BABE7" w:rsidR="00B211C8" w:rsidRPr="000F0CC9" w:rsidRDefault="00B211C8" w:rsidP="00B211C8">
      <w:pPr>
        <w:pStyle w:val="ListParagraph"/>
        <w:numPr>
          <w:ilvl w:val="1"/>
          <w:numId w:val="11"/>
        </w:numPr>
        <w:ind w:left="1134" w:hanging="425"/>
        <w:jc w:val="both"/>
      </w:pPr>
      <w:r w:rsidRPr="000F0CC9">
        <w:t>1 решение за одобрение на проспект за допускане до търговия на регулиран пазар на емисия акции;</w:t>
      </w:r>
    </w:p>
    <w:p w14:paraId="72D56327" w14:textId="47A62EAE" w:rsidR="00B211C8" w:rsidRPr="000F0CC9" w:rsidRDefault="00B211C8" w:rsidP="00B211C8">
      <w:pPr>
        <w:pStyle w:val="ListParagraph"/>
        <w:numPr>
          <w:ilvl w:val="1"/>
          <w:numId w:val="11"/>
        </w:numPr>
        <w:ind w:left="1134" w:hanging="425"/>
        <w:jc w:val="both"/>
      </w:pPr>
      <w:r w:rsidRPr="000F0CC9">
        <w:t>17 решения за одобрение на проспект за допускане до търговия на емисии облигации;</w:t>
      </w:r>
    </w:p>
    <w:p w14:paraId="7F49BBCF" w14:textId="2CB61EC8" w:rsidR="00B211C8" w:rsidRPr="000F0CC9" w:rsidRDefault="00B211C8" w:rsidP="00B211C8">
      <w:pPr>
        <w:pStyle w:val="ListParagraph"/>
        <w:numPr>
          <w:ilvl w:val="1"/>
          <w:numId w:val="11"/>
        </w:numPr>
        <w:ind w:left="1134" w:hanging="425"/>
        <w:jc w:val="both"/>
      </w:pPr>
      <w:r w:rsidRPr="000F0CC9">
        <w:t>36 писма за допълнителна информация и документи по производства за разглеждане на проспекти;</w:t>
      </w:r>
    </w:p>
    <w:p w14:paraId="4AB70316" w14:textId="32266999" w:rsidR="00B211C8" w:rsidRPr="000F0CC9" w:rsidRDefault="00B211C8" w:rsidP="00B211C8">
      <w:pPr>
        <w:pStyle w:val="ListParagraph"/>
        <w:numPr>
          <w:ilvl w:val="1"/>
          <w:numId w:val="11"/>
        </w:numPr>
        <w:ind w:left="1134" w:hanging="425"/>
        <w:jc w:val="both"/>
      </w:pPr>
      <w:r w:rsidRPr="000F0CC9">
        <w:t>8 общо докладни записки и писма във връзка със задълженията на КФН по Делегиран Регламент (ЕС) 2017/587 и Делегиран Регламент (ЕС) 2017/588;</w:t>
      </w:r>
    </w:p>
    <w:p w14:paraId="69FE4BD1" w14:textId="7AEF0A07" w:rsidR="00B211C8" w:rsidRPr="000F0CC9" w:rsidRDefault="00B211C8" w:rsidP="00B211C8">
      <w:pPr>
        <w:pStyle w:val="ListParagraph"/>
        <w:numPr>
          <w:ilvl w:val="1"/>
          <w:numId w:val="11"/>
        </w:numPr>
        <w:ind w:left="1134" w:hanging="425"/>
        <w:jc w:val="both"/>
      </w:pPr>
      <w:r w:rsidRPr="000F0CC9">
        <w:t>9 решения за вписване на емисия акции след успешно приключило първично публично предлагане;</w:t>
      </w:r>
    </w:p>
    <w:p w14:paraId="5BAF6F2F" w14:textId="7617C731" w:rsidR="00B211C8" w:rsidRPr="000F0CC9" w:rsidRDefault="00B211C8" w:rsidP="00B211C8">
      <w:pPr>
        <w:pStyle w:val="ListParagraph"/>
        <w:numPr>
          <w:ilvl w:val="1"/>
          <w:numId w:val="11"/>
        </w:numPr>
        <w:ind w:left="1134" w:hanging="425"/>
        <w:jc w:val="both"/>
      </w:pPr>
      <w:r w:rsidRPr="000F0CC9">
        <w:t>1 решение за вписване на емисия облигации след успешно приключило първично публично предлагане;</w:t>
      </w:r>
    </w:p>
    <w:p w14:paraId="74494B3E" w14:textId="6F73B7AA" w:rsidR="00B211C8" w:rsidRPr="000F0CC9" w:rsidRDefault="00B211C8" w:rsidP="00B211C8">
      <w:pPr>
        <w:pStyle w:val="ListParagraph"/>
        <w:numPr>
          <w:ilvl w:val="1"/>
          <w:numId w:val="11"/>
        </w:numPr>
        <w:ind w:left="1134" w:hanging="425"/>
        <w:jc w:val="both"/>
      </w:pPr>
      <w:r w:rsidRPr="000F0CC9">
        <w:t>4 решения за вписване на емисия варанти след успешно приключило първично публично предл</w:t>
      </w:r>
      <w:r w:rsidR="0069728A" w:rsidRPr="000F0CC9">
        <w:t>аг</w:t>
      </w:r>
      <w:r w:rsidRPr="000F0CC9">
        <w:t>ане;</w:t>
      </w:r>
    </w:p>
    <w:p w14:paraId="3AD87C50" w14:textId="7727947D" w:rsidR="00B211C8" w:rsidRPr="000F0CC9" w:rsidRDefault="00B211C8" w:rsidP="00B211C8">
      <w:pPr>
        <w:pStyle w:val="ListParagraph"/>
        <w:numPr>
          <w:ilvl w:val="1"/>
          <w:numId w:val="11"/>
        </w:numPr>
        <w:ind w:left="1134" w:hanging="425"/>
        <w:jc w:val="both"/>
      </w:pPr>
      <w:r w:rsidRPr="000F0CC9">
        <w:t>3 решение за отписване на публично дружество и издадената от него емисия акции;</w:t>
      </w:r>
    </w:p>
    <w:p w14:paraId="1E25ED65" w14:textId="4A3101AF" w:rsidR="00B211C8" w:rsidRPr="000F0CC9" w:rsidRDefault="00B211C8" w:rsidP="00B211C8">
      <w:pPr>
        <w:pStyle w:val="ListParagraph"/>
        <w:numPr>
          <w:ilvl w:val="1"/>
          <w:numId w:val="11"/>
        </w:numPr>
        <w:ind w:left="1134" w:hanging="425"/>
        <w:jc w:val="both"/>
      </w:pPr>
      <w:r w:rsidRPr="000F0CC9">
        <w:t>8 решения за отписване на емисии облигации;</w:t>
      </w:r>
    </w:p>
    <w:p w14:paraId="3010F77C" w14:textId="28A96649" w:rsidR="00B211C8" w:rsidRPr="000F0CC9" w:rsidRDefault="00B211C8" w:rsidP="00B211C8">
      <w:pPr>
        <w:pStyle w:val="ListParagraph"/>
        <w:numPr>
          <w:ilvl w:val="1"/>
          <w:numId w:val="11"/>
        </w:numPr>
        <w:ind w:left="1134" w:hanging="425"/>
        <w:jc w:val="both"/>
      </w:pPr>
      <w:r w:rsidRPr="000F0CC9">
        <w:t>1 решение за отписване на емисия варанти;</w:t>
      </w:r>
    </w:p>
    <w:p w14:paraId="15F327F1" w14:textId="496DA73B" w:rsidR="00B211C8" w:rsidRPr="000F0CC9" w:rsidRDefault="00B211C8" w:rsidP="00B211C8">
      <w:pPr>
        <w:pStyle w:val="ListParagraph"/>
        <w:numPr>
          <w:ilvl w:val="1"/>
          <w:numId w:val="11"/>
        </w:numPr>
        <w:ind w:left="1134" w:hanging="425"/>
        <w:jc w:val="both"/>
      </w:pPr>
      <w:r w:rsidRPr="000F0CC9">
        <w:t>1 решение за вписване на публично дружество;</w:t>
      </w:r>
    </w:p>
    <w:p w14:paraId="2C4FFE80" w14:textId="7B78A5FB" w:rsidR="00B211C8" w:rsidRPr="000F0CC9" w:rsidRDefault="00B211C8" w:rsidP="00B211C8">
      <w:pPr>
        <w:pStyle w:val="ListParagraph"/>
        <w:numPr>
          <w:ilvl w:val="1"/>
          <w:numId w:val="11"/>
        </w:numPr>
        <w:ind w:left="1134" w:hanging="425"/>
        <w:jc w:val="both"/>
      </w:pPr>
      <w:r w:rsidRPr="000F0CC9">
        <w:rPr>
          <w:lang w:val="en-US"/>
        </w:rPr>
        <w:t>2</w:t>
      </w:r>
      <w:r w:rsidRPr="000F0CC9">
        <w:t xml:space="preserve"> решения за отписване на дружества като емитенти и издадените от тях емисии облигации;</w:t>
      </w:r>
    </w:p>
    <w:p w14:paraId="13E345F3" w14:textId="592EAAF1" w:rsidR="00B211C8" w:rsidRPr="000F0CC9" w:rsidRDefault="00B211C8" w:rsidP="00B211C8">
      <w:pPr>
        <w:pStyle w:val="ListParagraph"/>
        <w:numPr>
          <w:ilvl w:val="1"/>
          <w:numId w:val="11"/>
        </w:numPr>
        <w:ind w:left="1134" w:hanging="425"/>
        <w:jc w:val="both"/>
      </w:pPr>
      <w:r w:rsidRPr="000F0CC9">
        <w:t>1 решение за издаване на одобрение на документи във връзка с преобразуване с участието на публични дружества;</w:t>
      </w:r>
    </w:p>
    <w:p w14:paraId="10FF3FC4" w14:textId="4DE25A4E" w:rsidR="00B211C8" w:rsidRPr="000F0CC9" w:rsidRDefault="00B211C8" w:rsidP="00B211C8">
      <w:pPr>
        <w:pStyle w:val="ListParagraph"/>
        <w:numPr>
          <w:ilvl w:val="1"/>
          <w:numId w:val="11"/>
        </w:numPr>
        <w:ind w:left="1134" w:hanging="425"/>
        <w:jc w:val="both"/>
      </w:pPr>
      <w:r w:rsidRPr="000F0CC9">
        <w:t>2 решения за признаване на придобита квалификация за упражняване на дейност като инвестиционен консултант;</w:t>
      </w:r>
    </w:p>
    <w:p w14:paraId="2B3DF66E" w14:textId="3E302138" w:rsidR="00B211C8" w:rsidRPr="000F0CC9" w:rsidRDefault="00B211C8" w:rsidP="00B211C8">
      <w:pPr>
        <w:pStyle w:val="ListParagraph"/>
        <w:numPr>
          <w:ilvl w:val="1"/>
          <w:numId w:val="11"/>
        </w:numPr>
        <w:ind w:left="1134" w:hanging="425"/>
        <w:jc w:val="both"/>
      </w:pPr>
      <w:r w:rsidRPr="000F0CC9">
        <w:t>1 издаване на дубликат на сертификат за упражняване на дейност като инвестиционен консултант;</w:t>
      </w:r>
    </w:p>
    <w:p w14:paraId="0323A498" w14:textId="6B5B856F" w:rsidR="00B211C8" w:rsidRPr="000F0CC9" w:rsidRDefault="00B211C8" w:rsidP="00B211C8">
      <w:pPr>
        <w:pStyle w:val="ListParagraph"/>
        <w:numPr>
          <w:ilvl w:val="1"/>
          <w:numId w:val="11"/>
        </w:numPr>
        <w:ind w:left="1134" w:hanging="425"/>
        <w:jc w:val="both"/>
      </w:pPr>
      <w:r w:rsidRPr="000F0CC9">
        <w:t>95 изготвени различни документи и материали във връзка с насрочените за м. май 2025 г. изпити за придобиване на право за извършване на дейност като брокер на финансови инструменти и/или инвестиционен консултант (обработени заявления за допускане до изпит; подготовка на предложения за заседания; решения за допускане на кандидатите до</w:t>
      </w:r>
      <w:r w:rsidR="0069728A" w:rsidRPr="000F0CC9">
        <w:t xml:space="preserve"> изпит; прес</w:t>
      </w:r>
      <w:r w:rsidRPr="000F0CC9">
        <w:t xml:space="preserve">съобщения; писма до </w:t>
      </w:r>
      <w:r w:rsidRPr="000F0CC9">
        <w:lastRenderedPageBreak/>
        <w:t>кандидатите за допускането им до изпитите; писма-покани членове на изпитна комисия, ДЗ за квестори и др.).</w:t>
      </w:r>
    </w:p>
    <w:p w14:paraId="096E0B67" w14:textId="739AE8E4" w:rsidR="00B211C8" w:rsidRPr="000F0CC9" w:rsidRDefault="00B211C8" w:rsidP="00B211C8">
      <w:pPr>
        <w:pStyle w:val="ListParagraph"/>
        <w:numPr>
          <w:ilvl w:val="1"/>
          <w:numId w:val="11"/>
        </w:numPr>
        <w:ind w:left="1134" w:hanging="425"/>
        <w:jc w:val="both"/>
      </w:pPr>
      <w:r w:rsidRPr="000F0CC9">
        <w:t>1 решение за прекратяване на производство за разширяване на лиценз на ИП;</w:t>
      </w:r>
    </w:p>
    <w:p w14:paraId="5DB81A07" w14:textId="7B77119D" w:rsidR="00B211C8" w:rsidRPr="000F0CC9" w:rsidRDefault="00B211C8" w:rsidP="00B211C8">
      <w:pPr>
        <w:pStyle w:val="ListParagraph"/>
        <w:numPr>
          <w:ilvl w:val="0"/>
          <w:numId w:val="11"/>
        </w:numPr>
        <w:spacing w:after="160" w:line="259" w:lineRule="auto"/>
        <w:ind w:left="1134" w:hanging="425"/>
        <w:jc w:val="both"/>
      </w:pPr>
      <w:r w:rsidRPr="000F0CC9">
        <w:t>9 решения относно промени в състава на управителните и контролни органи на ИП;</w:t>
      </w:r>
    </w:p>
    <w:p w14:paraId="7ACB646F" w14:textId="298A75E6" w:rsidR="00B211C8" w:rsidRPr="000F0CC9" w:rsidRDefault="00B211C8" w:rsidP="00B211C8">
      <w:pPr>
        <w:pStyle w:val="ListParagraph"/>
        <w:numPr>
          <w:ilvl w:val="0"/>
          <w:numId w:val="11"/>
        </w:numPr>
        <w:spacing w:after="160" w:line="259" w:lineRule="auto"/>
        <w:ind w:left="1134" w:hanging="425"/>
        <w:jc w:val="both"/>
      </w:pPr>
      <w:r w:rsidRPr="000F0CC9">
        <w:t>1 решение за одобрение на промени в правилника за дейността на „Българска фондова борса“ АД;</w:t>
      </w:r>
    </w:p>
    <w:p w14:paraId="67D8E870" w14:textId="00B42BD4" w:rsidR="00B211C8" w:rsidRPr="000F0CC9" w:rsidRDefault="00B211C8" w:rsidP="00B211C8">
      <w:pPr>
        <w:pStyle w:val="ListParagraph"/>
        <w:numPr>
          <w:ilvl w:val="0"/>
          <w:numId w:val="11"/>
        </w:numPr>
        <w:spacing w:after="160" w:line="259" w:lineRule="auto"/>
        <w:ind w:left="1134" w:hanging="425"/>
        <w:jc w:val="both"/>
      </w:pPr>
      <w:r w:rsidRPr="000F0CC9">
        <w:t>1 решение за одобрение на промени в съвета на директорите на „Българска фондова борса“ АД;</w:t>
      </w:r>
    </w:p>
    <w:p w14:paraId="075A031B" w14:textId="4A229771" w:rsidR="00B211C8" w:rsidRPr="000F0CC9" w:rsidRDefault="00B211C8" w:rsidP="00B211C8">
      <w:pPr>
        <w:pStyle w:val="ListParagraph"/>
        <w:numPr>
          <w:ilvl w:val="0"/>
          <w:numId w:val="11"/>
        </w:numPr>
        <w:spacing w:after="160" w:line="259" w:lineRule="auto"/>
        <w:ind w:left="1134" w:hanging="425"/>
        <w:jc w:val="both"/>
      </w:pPr>
      <w:r w:rsidRPr="000F0CC9">
        <w:t>1 решение за разширяване на лиценз за извършване на дейност като доставчик на услуги за колективно финансиране;</w:t>
      </w:r>
    </w:p>
    <w:p w14:paraId="2335E44C" w14:textId="358FA3E6" w:rsidR="00B211C8" w:rsidRPr="000F0CC9" w:rsidRDefault="00B211C8" w:rsidP="00B211C8">
      <w:pPr>
        <w:pStyle w:val="ListParagraph"/>
        <w:numPr>
          <w:ilvl w:val="0"/>
          <w:numId w:val="11"/>
        </w:numPr>
        <w:spacing w:after="160" w:line="259" w:lineRule="auto"/>
        <w:ind w:left="1134" w:hanging="425"/>
        <w:jc w:val="both"/>
      </w:pPr>
      <w:r w:rsidRPr="000F0CC9">
        <w:t>2 решения за одобрение на промени в управителен орган на доставчик на услуги за колективно финансиране;</w:t>
      </w:r>
    </w:p>
    <w:p w14:paraId="65840801" w14:textId="5BA59C81" w:rsidR="00B211C8" w:rsidRPr="000F0CC9" w:rsidRDefault="00B211C8" w:rsidP="00B211C8">
      <w:pPr>
        <w:pStyle w:val="ListParagraph"/>
        <w:numPr>
          <w:ilvl w:val="0"/>
          <w:numId w:val="11"/>
        </w:numPr>
        <w:spacing w:after="160" w:line="259" w:lineRule="auto"/>
        <w:ind w:left="1134" w:hanging="425"/>
        <w:jc w:val="both"/>
      </w:pPr>
      <w:r w:rsidRPr="000F0CC9">
        <w:t>1 решение за спиране на производство за одобрение на член на съвета на директорите на управляващо дружество;</w:t>
      </w:r>
    </w:p>
    <w:p w14:paraId="15340ABF" w14:textId="07862696" w:rsidR="00B211C8" w:rsidRPr="000F0CC9" w:rsidRDefault="00B211C8" w:rsidP="00B211C8">
      <w:pPr>
        <w:pStyle w:val="ListParagraph"/>
        <w:numPr>
          <w:ilvl w:val="0"/>
          <w:numId w:val="11"/>
        </w:numPr>
        <w:spacing w:after="160" w:line="259" w:lineRule="auto"/>
        <w:ind w:left="1134" w:hanging="425"/>
        <w:jc w:val="both"/>
      </w:pPr>
      <w:r w:rsidRPr="000F0CC9">
        <w:t>2 решения за одобрение на промени в съвета на директорите на управляващо дружество;</w:t>
      </w:r>
    </w:p>
    <w:p w14:paraId="088D08F2" w14:textId="3C78E42C" w:rsidR="00B211C8" w:rsidRPr="000F0CC9" w:rsidRDefault="00B211C8" w:rsidP="00B211C8">
      <w:pPr>
        <w:pStyle w:val="ListParagraph"/>
        <w:numPr>
          <w:ilvl w:val="0"/>
          <w:numId w:val="11"/>
        </w:numPr>
        <w:spacing w:after="160" w:line="259" w:lineRule="auto"/>
        <w:ind w:left="1134" w:hanging="425"/>
        <w:jc w:val="both"/>
      </w:pPr>
      <w:r w:rsidRPr="000F0CC9">
        <w:t>2 разрешения на управляващо дружество за организиране и управление на договорен фонд;</w:t>
      </w:r>
    </w:p>
    <w:p w14:paraId="259CF14D" w14:textId="081C4F0B" w:rsidR="00B211C8" w:rsidRPr="000F0CC9" w:rsidRDefault="00B211C8" w:rsidP="00B211C8">
      <w:pPr>
        <w:pStyle w:val="ListParagraph"/>
        <w:numPr>
          <w:ilvl w:val="0"/>
          <w:numId w:val="11"/>
        </w:numPr>
        <w:spacing w:after="160" w:line="259" w:lineRule="auto"/>
        <w:ind w:left="1134" w:hanging="425"/>
        <w:jc w:val="both"/>
      </w:pPr>
      <w:r w:rsidRPr="000F0CC9">
        <w:t>1 разрешение на захранваща схема да продължи да бъде захранваща на главна схема след преобразуване на главната схема;</w:t>
      </w:r>
    </w:p>
    <w:p w14:paraId="10E1D218" w14:textId="4BBED1DE" w:rsidR="00B211C8" w:rsidRPr="000F0CC9" w:rsidRDefault="00B211C8" w:rsidP="00B211C8">
      <w:pPr>
        <w:pStyle w:val="ListParagraph"/>
        <w:numPr>
          <w:ilvl w:val="0"/>
          <w:numId w:val="11"/>
        </w:numPr>
        <w:spacing w:after="160" w:line="259" w:lineRule="auto"/>
        <w:ind w:left="1134" w:hanging="425"/>
        <w:jc w:val="both"/>
      </w:pPr>
      <w:r w:rsidRPr="000F0CC9">
        <w:t>21 решения за одобрение на промени в Правилата по чл. 13, ал. 2 от ЗДКИСДПКИ на договорни фондове;</w:t>
      </w:r>
    </w:p>
    <w:p w14:paraId="4245A242" w14:textId="7CB4A4B7" w:rsidR="00B211C8" w:rsidRPr="000F0CC9" w:rsidRDefault="00B211C8" w:rsidP="00B211C8">
      <w:pPr>
        <w:pStyle w:val="ListParagraph"/>
        <w:numPr>
          <w:ilvl w:val="0"/>
          <w:numId w:val="11"/>
        </w:numPr>
        <w:spacing w:after="160" w:line="259" w:lineRule="auto"/>
        <w:ind w:left="1134" w:hanging="425"/>
        <w:jc w:val="both"/>
      </w:pPr>
      <w:r w:rsidRPr="000F0CC9">
        <w:t>1 решение за одобрение на промени в правилата за оценка на активите на договорни фондове;</w:t>
      </w:r>
    </w:p>
    <w:p w14:paraId="046E9905" w14:textId="0A77B46A" w:rsidR="00B211C8" w:rsidRPr="000F0CC9" w:rsidRDefault="00B211C8" w:rsidP="00B211C8">
      <w:pPr>
        <w:pStyle w:val="ListParagraph"/>
        <w:numPr>
          <w:ilvl w:val="0"/>
          <w:numId w:val="11"/>
        </w:numPr>
        <w:spacing w:after="160" w:line="259" w:lineRule="auto"/>
        <w:ind w:left="1134" w:hanging="425"/>
        <w:jc w:val="both"/>
      </w:pPr>
      <w:r w:rsidRPr="000F0CC9">
        <w:t>3 решения за одобрение на промени в правилата за управление на риска на договорен фонд;</w:t>
      </w:r>
    </w:p>
    <w:p w14:paraId="21F0FC88" w14:textId="1E18D575" w:rsidR="00B211C8" w:rsidRPr="000F0CC9" w:rsidRDefault="00B211C8" w:rsidP="00B211C8">
      <w:pPr>
        <w:pStyle w:val="ListParagraph"/>
        <w:numPr>
          <w:ilvl w:val="0"/>
          <w:numId w:val="11"/>
        </w:numPr>
        <w:spacing w:after="160" w:line="259" w:lineRule="auto"/>
        <w:ind w:left="1134" w:hanging="425"/>
        <w:jc w:val="both"/>
      </w:pPr>
      <w:r w:rsidRPr="000F0CC9">
        <w:t>1 решение за одобрение на промени в договор за депозитарни услуги на договорен фонд;</w:t>
      </w:r>
    </w:p>
    <w:p w14:paraId="3514AB39" w14:textId="32CB5DBA" w:rsidR="00B211C8" w:rsidRPr="000F0CC9" w:rsidRDefault="00B211C8" w:rsidP="00B211C8">
      <w:pPr>
        <w:pStyle w:val="ListParagraph"/>
        <w:numPr>
          <w:ilvl w:val="0"/>
          <w:numId w:val="11"/>
        </w:numPr>
        <w:spacing w:after="160" w:line="259" w:lineRule="auto"/>
        <w:ind w:left="1134" w:hanging="425"/>
        <w:jc w:val="both"/>
      </w:pPr>
      <w:r w:rsidRPr="000F0CC9">
        <w:t>2 разрешения на управляващо дружество за организиране и управление на национален инвестиционен фонд;</w:t>
      </w:r>
    </w:p>
    <w:p w14:paraId="74F97DEC" w14:textId="41785010" w:rsidR="00B211C8" w:rsidRPr="000F0CC9" w:rsidRDefault="00B211C8" w:rsidP="00B211C8">
      <w:pPr>
        <w:pStyle w:val="ListParagraph"/>
        <w:numPr>
          <w:ilvl w:val="0"/>
          <w:numId w:val="11"/>
        </w:numPr>
        <w:spacing w:after="160" w:line="259" w:lineRule="auto"/>
        <w:ind w:left="1134" w:hanging="425"/>
        <w:jc w:val="both"/>
      </w:pPr>
      <w:r w:rsidRPr="000F0CC9">
        <w:t>1 решение за одобрение на ползване на заем от национален инвестиционен фонд;</w:t>
      </w:r>
    </w:p>
    <w:p w14:paraId="2260CD3C" w14:textId="66D9D855" w:rsidR="00B211C8" w:rsidRPr="000F0CC9" w:rsidRDefault="00B211C8" w:rsidP="00B211C8">
      <w:pPr>
        <w:pStyle w:val="ListParagraph"/>
        <w:numPr>
          <w:ilvl w:val="0"/>
          <w:numId w:val="11"/>
        </w:numPr>
        <w:spacing w:after="160" w:line="259" w:lineRule="auto"/>
        <w:ind w:left="1134" w:hanging="425"/>
        <w:jc w:val="both"/>
      </w:pPr>
      <w:r w:rsidRPr="000F0CC9">
        <w:t>6 решения за одобрение на промени в Правилата по чл. 173, ал. 4 от ЗДКИСДПКИ на национален инвестиционен фонд;</w:t>
      </w:r>
    </w:p>
    <w:p w14:paraId="76AE2C11" w14:textId="40E7A208" w:rsidR="00B211C8" w:rsidRPr="000F0CC9" w:rsidRDefault="00B211C8" w:rsidP="00B211C8">
      <w:pPr>
        <w:pStyle w:val="ListParagraph"/>
        <w:numPr>
          <w:ilvl w:val="0"/>
          <w:numId w:val="11"/>
        </w:numPr>
        <w:spacing w:after="160" w:line="259" w:lineRule="auto"/>
        <w:ind w:left="1134" w:hanging="425"/>
        <w:jc w:val="both"/>
      </w:pPr>
      <w:r w:rsidRPr="000F0CC9">
        <w:t>2 решения за одобрение на промени в Правилата за управление на риска на национален инвестиционен фонд;</w:t>
      </w:r>
    </w:p>
    <w:p w14:paraId="12DD8E00" w14:textId="66355ECB" w:rsidR="00B211C8" w:rsidRPr="000F0CC9" w:rsidRDefault="00B211C8" w:rsidP="00B211C8">
      <w:pPr>
        <w:pStyle w:val="ListParagraph"/>
        <w:numPr>
          <w:ilvl w:val="0"/>
          <w:numId w:val="11"/>
        </w:numPr>
        <w:spacing w:line="276" w:lineRule="auto"/>
        <w:ind w:left="1134" w:hanging="425"/>
        <w:jc w:val="both"/>
      </w:pPr>
      <w:r w:rsidRPr="000F0CC9">
        <w:t>1 уведомление за придобиване на квалифицирано участие в лице, управляващо алтернативен инвестиционен фонд.</w:t>
      </w:r>
    </w:p>
    <w:p w14:paraId="23DFFDBC" w14:textId="22D3D30E" w:rsidR="0091406A" w:rsidRPr="000F0CC9" w:rsidRDefault="00D766BC" w:rsidP="0091406A">
      <w:pPr>
        <w:ind w:firstLine="709"/>
        <w:jc w:val="both"/>
        <w:rPr>
          <w:rFonts w:eastAsiaTheme="minorHAnsi"/>
          <w:lang w:eastAsia="en-US"/>
        </w:rPr>
      </w:pPr>
      <w:r w:rsidRPr="000F0CC9">
        <w:rPr>
          <w:rFonts w:eastAsiaTheme="minorHAnsi"/>
          <w:lang w:eastAsia="en-US"/>
        </w:rPr>
        <w:tab/>
      </w:r>
      <w:r w:rsidR="0091406A" w:rsidRPr="000F0CC9">
        <w:rPr>
          <w:rFonts w:eastAsiaTheme="minorHAnsi"/>
          <w:lang w:eastAsia="en-US"/>
        </w:rPr>
        <w:t>За първото полугодие на 20</w:t>
      </w:r>
      <w:r w:rsidR="0091406A" w:rsidRPr="000F0CC9">
        <w:rPr>
          <w:rFonts w:eastAsiaTheme="minorHAnsi"/>
          <w:lang w:val="en-US" w:eastAsia="en-US"/>
        </w:rPr>
        <w:t>25</w:t>
      </w:r>
      <w:r w:rsidR="0091406A" w:rsidRPr="000F0CC9">
        <w:rPr>
          <w:rFonts w:eastAsiaTheme="minorHAnsi"/>
          <w:lang w:eastAsia="en-US"/>
        </w:rPr>
        <w:t xml:space="preserve"> г. в управление „Застрахователен надзор“ са изготвени проекти на 39 индивидуални административни актове във връзка с производствата по издаване на лицензии, разрешения или одобрения:</w:t>
      </w:r>
    </w:p>
    <w:p w14:paraId="6315E0E6" w14:textId="1DA4F6E3" w:rsidR="0091406A" w:rsidRPr="000F0CC9" w:rsidRDefault="0091406A" w:rsidP="0091406A">
      <w:pPr>
        <w:numPr>
          <w:ilvl w:val="0"/>
          <w:numId w:val="40"/>
        </w:numPr>
        <w:ind w:hanging="11"/>
        <w:contextualSpacing/>
        <w:jc w:val="both"/>
      </w:pPr>
      <w:r w:rsidRPr="000F0CC9">
        <w:t>3 решения за издаване на допълнителен лиценз за извършване на застрахователна дейност с право на достъп до единния пазар.</w:t>
      </w:r>
    </w:p>
    <w:p w14:paraId="5961BBF5" w14:textId="45E0F647" w:rsidR="0091406A" w:rsidRPr="000F0CC9" w:rsidRDefault="0091406A" w:rsidP="0091406A">
      <w:pPr>
        <w:numPr>
          <w:ilvl w:val="0"/>
          <w:numId w:val="40"/>
        </w:numPr>
        <w:ind w:hanging="11"/>
        <w:contextualSpacing/>
        <w:jc w:val="both"/>
      </w:pPr>
      <w:r w:rsidRPr="000F0CC9">
        <w:lastRenderedPageBreak/>
        <w:t>1 решение за одобряване на придобиване на непряко квалифицирано участие в застрахователно дружество;</w:t>
      </w:r>
    </w:p>
    <w:p w14:paraId="15748F22" w14:textId="44C29386" w:rsidR="0091406A" w:rsidRPr="000F0CC9" w:rsidRDefault="0091406A" w:rsidP="0091406A">
      <w:pPr>
        <w:numPr>
          <w:ilvl w:val="0"/>
          <w:numId w:val="40"/>
        </w:numPr>
        <w:ind w:hanging="11"/>
        <w:contextualSpacing/>
        <w:jc w:val="both"/>
      </w:pPr>
      <w:r w:rsidRPr="000F0CC9">
        <w:t>1 решение за налагане на забрана за придобиване на пряко квалифицирано участие застрахователно дружество;</w:t>
      </w:r>
    </w:p>
    <w:p w14:paraId="33A3B8C2" w14:textId="4151B62F" w:rsidR="0091406A" w:rsidRPr="000F0CC9" w:rsidRDefault="0091406A" w:rsidP="0091406A">
      <w:pPr>
        <w:numPr>
          <w:ilvl w:val="0"/>
          <w:numId w:val="40"/>
        </w:numPr>
        <w:ind w:hanging="11"/>
        <w:contextualSpacing/>
        <w:jc w:val="both"/>
      </w:pPr>
      <w:r w:rsidRPr="000F0CC9">
        <w:t>29  решения относно одобрения на членове на управителни и контролни органи на застрахователни и презастрахователни дружества и застрахователни холдинги и на лица, осъществяващи ключови функции в застрахователни или презастрахователни дружества;</w:t>
      </w:r>
    </w:p>
    <w:p w14:paraId="2AF3C72A" w14:textId="718049CA" w:rsidR="0091406A" w:rsidRPr="000F0CC9" w:rsidRDefault="0091406A" w:rsidP="0091406A">
      <w:pPr>
        <w:numPr>
          <w:ilvl w:val="0"/>
          <w:numId w:val="40"/>
        </w:numPr>
        <w:ind w:hanging="11"/>
        <w:contextualSpacing/>
        <w:jc w:val="both"/>
      </w:pPr>
      <w:r w:rsidRPr="000F0CC9">
        <w:t>3 решения за прекратяване, спиране и възобновяване на административни производство;</w:t>
      </w:r>
    </w:p>
    <w:p w14:paraId="652C642E" w14:textId="1EE610AB" w:rsidR="0091406A" w:rsidRPr="000F0CC9" w:rsidRDefault="0091406A" w:rsidP="0091406A">
      <w:pPr>
        <w:pStyle w:val="ListParagraph"/>
        <w:numPr>
          <w:ilvl w:val="0"/>
          <w:numId w:val="40"/>
        </w:numPr>
        <w:ind w:hanging="11"/>
        <w:jc w:val="both"/>
      </w:pPr>
      <w:r w:rsidRPr="000F0CC9">
        <w:rPr>
          <w:lang w:val="en-US"/>
        </w:rPr>
        <w:t>1</w:t>
      </w:r>
      <w:r w:rsidRPr="000F0CC9">
        <w:t xml:space="preserve"> решение за признаване на частична правоспособност на отговорен актюер в областта на животозастраховането;             </w:t>
      </w:r>
    </w:p>
    <w:p w14:paraId="730C3550" w14:textId="52AB42E4" w:rsidR="0091406A" w:rsidRPr="000F0CC9" w:rsidRDefault="0091406A" w:rsidP="0091406A">
      <w:pPr>
        <w:numPr>
          <w:ilvl w:val="0"/>
          <w:numId w:val="40"/>
        </w:numPr>
        <w:ind w:hanging="11"/>
        <w:contextualSpacing/>
        <w:jc w:val="both"/>
      </w:pPr>
      <w:r w:rsidRPr="000F0CC9">
        <w:t xml:space="preserve">1 решение във връзка с прилагане на регулаторни режими по отношение на застрахователи с отнет лиценз. </w:t>
      </w:r>
    </w:p>
    <w:p w14:paraId="16BE51F3" w14:textId="663D2311" w:rsidR="00486852" w:rsidRPr="000F0CC9" w:rsidRDefault="00486852" w:rsidP="0091406A">
      <w:pPr>
        <w:spacing w:line="276" w:lineRule="auto"/>
        <w:ind w:firstLine="709"/>
        <w:jc w:val="both"/>
      </w:pPr>
      <w:r w:rsidRPr="000F0CC9">
        <w:rPr>
          <w:rFonts w:eastAsiaTheme="minorHAnsi"/>
          <w:lang w:eastAsia="en-US"/>
        </w:rPr>
        <w:t xml:space="preserve">През отчетния период в управление „Осигурителен надзор“ са изготвени проекти на </w:t>
      </w:r>
      <w:r w:rsidR="00045297" w:rsidRPr="000F0CC9">
        <w:rPr>
          <w:rFonts w:eastAsiaTheme="minorHAnsi"/>
          <w:lang w:eastAsia="en-US"/>
        </w:rPr>
        <w:t>15</w:t>
      </w:r>
      <w:r w:rsidRPr="000F0CC9">
        <w:rPr>
          <w:rFonts w:eastAsiaTheme="minorHAnsi"/>
          <w:lang w:eastAsia="en-US"/>
        </w:rPr>
        <w:t xml:space="preserve"> индивидуални административни акта във връзка с производства по издаване на разрешения и одобрения:</w:t>
      </w:r>
    </w:p>
    <w:p w14:paraId="1E5A97DE" w14:textId="4A55E49A" w:rsidR="00486852" w:rsidRPr="000F0CC9" w:rsidRDefault="00045297" w:rsidP="00993DDC">
      <w:pPr>
        <w:widowControl w:val="0"/>
        <w:numPr>
          <w:ilvl w:val="0"/>
          <w:numId w:val="24"/>
        </w:numPr>
        <w:shd w:val="clear" w:color="auto" w:fill="FFFFFF"/>
        <w:tabs>
          <w:tab w:val="left" w:pos="949"/>
        </w:tabs>
        <w:spacing w:after="160" w:line="276" w:lineRule="auto"/>
        <w:contextualSpacing/>
        <w:jc w:val="both"/>
        <w:rPr>
          <w:lang w:bidi="bg-BG"/>
        </w:rPr>
      </w:pPr>
      <w:r w:rsidRPr="000F0CC9">
        <w:rPr>
          <w:lang w:bidi="bg-BG"/>
        </w:rPr>
        <w:t>12</w:t>
      </w:r>
      <w:r w:rsidR="00486852" w:rsidRPr="000F0CC9">
        <w:rPr>
          <w:lang w:bidi="bg-BG"/>
        </w:rPr>
        <w:t xml:space="preserve"> решения за издаване на одобрение на членове на управителни и надзорни органи на пенсионноосигурителни дружества;</w:t>
      </w:r>
    </w:p>
    <w:p w14:paraId="40111D03" w14:textId="7C690732" w:rsidR="00045297" w:rsidRPr="000F0CC9" w:rsidRDefault="00045297" w:rsidP="00045297">
      <w:pPr>
        <w:widowControl w:val="0"/>
        <w:numPr>
          <w:ilvl w:val="0"/>
          <w:numId w:val="24"/>
        </w:numPr>
        <w:shd w:val="clear" w:color="auto" w:fill="FFFFFF"/>
        <w:tabs>
          <w:tab w:val="left" w:pos="953"/>
        </w:tabs>
        <w:ind w:left="714" w:hanging="357"/>
        <w:contextualSpacing/>
        <w:jc w:val="both"/>
        <w:rPr>
          <w:lang w:bidi="bg-BG"/>
        </w:rPr>
      </w:pPr>
      <w:r w:rsidRPr="000F0CC9">
        <w:rPr>
          <w:lang w:bidi="bg-BG"/>
        </w:rPr>
        <w:t>2</w:t>
      </w:r>
      <w:r w:rsidR="00486852" w:rsidRPr="000F0CC9">
        <w:rPr>
          <w:lang w:bidi="bg-BG"/>
        </w:rPr>
        <w:t xml:space="preserve"> решения за одобрение на изменения и допълнения в правилник за организацията и дейността на управляван от пенсионноосигурително дружество универсален пенсионен фонд, професионален пенсионен фонд, доброволен пенсионен фонд или доброволен пенсионен фонд по професионални схеми;</w:t>
      </w:r>
    </w:p>
    <w:p w14:paraId="103F5C0B" w14:textId="30E129A7" w:rsidR="00045297" w:rsidRPr="000F0CC9" w:rsidRDefault="00486852" w:rsidP="00045297">
      <w:pPr>
        <w:pStyle w:val="ListParagraph"/>
        <w:numPr>
          <w:ilvl w:val="0"/>
          <w:numId w:val="24"/>
        </w:numPr>
        <w:ind w:left="714" w:hanging="357"/>
        <w:jc w:val="both"/>
        <w:rPr>
          <w:lang w:bidi="bg-BG"/>
        </w:rPr>
      </w:pPr>
      <w:r w:rsidRPr="000F0CC9">
        <w:rPr>
          <w:lang w:bidi="bg-BG"/>
        </w:rPr>
        <w:t xml:space="preserve"> </w:t>
      </w:r>
      <w:r w:rsidR="00045297" w:rsidRPr="000F0CC9">
        <w:rPr>
          <w:lang w:bidi="bg-BG"/>
        </w:rPr>
        <w:t>1 административно производство за признаване на правоспособност на отговорен актюер след успешно положен изпит пред професионална организация на актюерите.</w:t>
      </w:r>
    </w:p>
    <w:p w14:paraId="263494B3" w14:textId="77777777" w:rsidR="00F00C05" w:rsidRPr="00F2736B" w:rsidRDefault="00F00C05" w:rsidP="0052359F">
      <w:pPr>
        <w:pStyle w:val="ListParagraph"/>
        <w:spacing w:line="276" w:lineRule="auto"/>
        <w:ind w:left="1134"/>
        <w:jc w:val="both"/>
        <w:rPr>
          <w:rFonts w:cstheme="minorHAnsi"/>
          <w:b/>
        </w:rPr>
      </w:pPr>
    </w:p>
    <w:p w14:paraId="4A394B1A" w14:textId="77777777" w:rsidR="00E974EF" w:rsidRPr="00F2736B" w:rsidRDefault="00EE1DBB" w:rsidP="0052359F">
      <w:pPr>
        <w:spacing w:line="276" w:lineRule="auto"/>
        <w:jc w:val="both"/>
        <w:rPr>
          <w:b/>
        </w:rPr>
      </w:pPr>
      <w:bookmarkStart w:id="45" w:name="_Toc78466451"/>
      <w:r w:rsidRPr="00F2736B">
        <w:rPr>
          <w:b/>
        </w:rPr>
        <w:t>6</w:t>
      </w:r>
      <w:r w:rsidR="00490197" w:rsidRPr="00F2736B">
        <w:rPr>
          <w:b/>
        </w:rPr>
        <w:t>.2</w:t>
      </w:r>
      <w:r w:rsidR="00206CDD" w:rsidRPr="00F2736B">
        <w:rPr>
          <w:b/>
        </w:rPr>
        <w:t>.</w:t>
      </w:r>
      <w:r w:rsidR="00490197" w:rsidRPr="00F2736B">
        <w:rPr>
          <w:b/>
        </w:rPr>
        <w:t xml:space="preserve"> </w:t>
      </w:r>
      <w:r w:rsidRPr="00F2736B">
        <w:rPr>
          <w:b/>
        </w:rPr>
        <w:t>Разглеждане на заявления и изготвяне на проекти на индивидуални административни актове спрямо поднадзорни лица, подлежащи на регистрационен режим</w:t>
      </w:r>
      <w:bookmarkEnd w:id="45"/>
    </w:p>
    <w:p w14:paraId="13030781" w14:textId="5F12D5ED" w:rsidR="0074697F" w:rsidRPr="000F0CC9" w:rsidRDefault="0074697F" w:rsidP="00F16DE6">
      <w:pPr>
        <w:spacing w:line="276" w:lineRule="auto"/>
        <w:ind w:firstLine="709"/>
        <w:jc w:val="both"/>
      </w:pPr>
      <w:r w:rsidRPr="000F0CC9">
        <w:t xml:space="preserve">През първото шестмесечие на </w:t>
      </w:r>
      <w:r w:rsidR="008259CB" w:rsidRPr="000F0CC9">
        <w:t>2025</w:t>
      </w:r>
      <w:r w:rsidRPr="000F0CC9">
        <w:t xml:space="preserve"> г. от управление „Надзор на инвестиционната дейност“</w:t>
      </w:r>
      <w:r w:rsidRPr="000F0CC9">
        <w:rPr>
          <w:lang w:val="en-US"/>
        </w:rPr>
        <w:t xml:space="preserve">, </w:t>
      </w:r>
      <w:r w:rsidRPr="000F0CC9">
        <w:t>управление „Застрахователен надзор“ са изготвени проекти за:</w:t>
      </w:r>
    </w:p>
    <w:p w14:paraId="36DCCF0D" w14:textId="47656FF8" w:rsidR="008259CB" w:rsidRPr="000F0CC9" w:rsidRDefault="008259CB" w:rsidP="008259CB">
      <w:pPr>
        <w:pStyle w:val="ListParagraph"/>
        <w:numPr>
          <w:ilvl w:val="0"/>
          <w:numId w:val="13"/>
        </w:numPr>
        <w:spacing w:after="160" w:line="259" w:lineRule="auto"/>
        <w:jc w:val="both"/>
      </w:pPr>
      <w:r w:rsidRPr="000F0CC9">
        <w:t>5 решения по производства за вписване на обвързани агенти в регистъра на КФН;</w:t>
      </w:r>
    </w:p>
    <w:p w14:paraId="4FFFF9CB" w14:textId="733FEA7C" w:rsidR="008259CB" w:rsidRPr="000F0CC9" w:rsidRDefault="008259CB" w:rsidP="008259CB">
      <w:pPr>
        <w:pStyle w:val="ListParagraph"/>
        <w:numPr>
          <w:ilvl w:val="0"/>
          <w:numId w:val="13"/>
        </w:numPr>
        <w:spacing w:after="160" w:line="259" w:lineRule="auto"/>
        <w:jc w:val="both"/>
      </w:pPr>
      <w:r w:rsidRPr="000F0CC9">
        <w:t>1 решение по производства за отписване на обвързан агент в регистъра на КФН;</w:t>
      </w:r>
    </w:p>
    <w:p w14:paraId="2A1EB2F2" w14:textId="496EA034" w:rsidR="008259CB" w:rsidRPr="000F0CC9" w:rsidRDefault="008259CB" w:rsidP="008259CB">
      <w:pPr>
        <w:pStyle w:val="ListParagraph"/>
        <w:numPr>
          <w:ilvl w:val="0"/>
          <w:numId w:val="13"/>
        </w:numPr>
        <w:spacing w:after="160" w:line="259" w:lineRule="auto"/>
        <w:jc w:val="both"/>
      </w:pPr>
      <w:r w:rsidRPr="000F0CC9">
        <w:t>1 решение за регистрация на лице, управляващо алтернативни инвестиционни фондове, чиито активи не надхвърлят установените в чл. 197, ал. 1 от ЗДКИСДПКИ прагове.</w:t>
      </w:r>
    </w:p>
    <w:p w14:paraId="4EE70DF4" w14:textId="40404AE3" w:rsidR="0091406A" w:rsidRPr="000F0CC9" w:rsidRDefault="00D766BC" w:rsidP="0091406A">
      <w:pPr>
        <w:ind w:firstLine="426"/>
        <w:jc w:val="both"/>
      </w:pPr>
      <w:r w:rsidRPr="000F0CC9">
        <w:rPr>
          <w:rFonts w:cstheme="minorHAnsi"/>
        </w:rPr>
        <w:tab/>
      </w:r>
      <w:r w:rsidR="0091406A" w:rsidRPr="000F0CC9">
        <w:t xml:space="preserve">През периода, в управление „Застрахователен надзор“ са разгледани </w:t>
      </w:r>
      <w:r w:rsidR="00F20EC8" w:rsidRPr="000F0CC9">
        <w:t xml:space="preserve">заявления </w:t>
      </w:r>
      <w:r w:rsidR="0091406A" w:rsidRPr="000F0CC9">
        <w:t>и са изготвени проекти на 9 индивидуални административни актове спрямо поднадзорни лица, подлежащи на регистрационен режим:</w:t>
      </w:r>
    </w:p>
    <w:p w14:paraId="110F3AA3" w14:textId="3259D7C4" w:rsidR="0091406A" w:rsidRPr="000F0CC9" w:rsidRDefault="0091406A" w:rsidP="0091406A">
      <w:pPr>
        <w:numPr>
          <w:ilvl w:val="0"/>
          <w:numId w:val="42"/>
        </w:numPr>
        <w:ind w:left="709" w:hanging="283"/>
        <w:contextualSpacing/>
        <w:jc w:val="both"/>
      </w:pPr>
      <w:r w:rsidRPr="000F0CC9">
        <w:t>4</w:t>
      </w:r>
      <w:r w:rsidRPr="000F0CC9">
        <w:rPr>
          <w:lang w:val="en-US"/>
        </w:rPr>
        <w:t xml:space="preserve"> </w:t>
      </w:r>
      <w:r w:rsidRPr="000F0CC9">
        <w:t>решения за вписване на застрахователни брокери във водения от КФН регистър на основание чл. 30, ал. 1, т. 12 от ЗКФН;</w:t>
      </w:r>
    </w:p>
    <w:p w14:paraId="10492F66" w14:textId="3ADA2E5B" w:rsidR="0091406A" w:rsidRPr="000F0CC9" w:rsidRDefault="0091406A" w:rsidP="0091406A">
      <w:pPr>
        <w:numPr>
          <w:ilvl w:val="0"/>
          <w:numId w:val="42"/>
        </w:numPr>
        <w:ind w:left="709" w:hanging="283"/>
        <w:contextualSpacing/>
        <w:jc w:val="both"/>
      </w:pPr>
      <w:r w:rsidRPr="000F0CC9">
        <w:t>3 решения за заличаване на застрахователни брокери от водения от КФН регистър на основание чл. 30, ал. 1, т. 12 от ЗКФН;</w:t>
      </w:r>
    </w:p>
    <w:p w14:paraId="62AC07A9" w14:textId="38B8DFE3" w:rsidR="0091406A" w:rsidRPr="00F2736B" w:rsidRDefault="0091406A" w:rsidP="0091406A">
      <w:pPr>
        <w:numPr>
          <w:ilvl w:val="0"/>
          <w:numId w:val="42"/>
        </w:numPr>
        <w:ind w:left="709" w:hanging="283"/>
        <w:contextualSpacing/>
        <w:jc w:val="both"/>
      </w:pPr>
      <w:r w:rsidRPr="000F0CC9">
        <w:lastRenderedPageBreak/>
        <w:t xml:space="preserve">2 решения по постъпили заявления относно регистрация на промяна  на програма за обучение </w:t>
      </w:r>
      <w:r w:rsidRPr="00F2736B">
        <w:t xml:space="preserve">на организации за професионално обучение на застрахователни брокери. </w:t>
      </w:r>
    </w:p>
    <w:p w14:paraId="5D0E14CB" w14:textId="1DC94EF7" w:rsidR="00CF6789" w:rsidRPr="00F2736B" w:rsidRDefault="00CF6789" w:rsidP="0091406A">
      <w:pPr>
        <w:spacing w:line="276" w:lineRule="auto"/>
        <w:jc w:val="both"/>
      </w:pPr>
    </w:p>
    <w:p w14:paraId="0040A58A" w14:textId="77777777" w:rsidR="00490197" w:rsidRPr="00F2736B" w:rsidRDefault="00EE1DBB" w:rsidP="0052359F">
      <w:pPr>
        <w:spacing w:line="276" w:lineRule="auto"/>
        <w:jc w:val="both"/>
      </w:pPr>
      <w:bookmarkStart w:id="46" w:name="_Toc78466452"/>
      <w:r w:rsidRPr="00F2736B">
        <w:rPr>
          <w:b/>
        </w:rPr>
        <w:t>6.3</w:t>
      </w:r>
      <w:r w:rsidR="00206CDD" w:rsidRPr="00F2736B">
        <w:rPr>
          <w:b/>
        </w:rPr>
        <w:t>.</w:t>
      </w:r>
      <w:r w:rsidRPr="00F2736B">
        <w:rPr>
          <w:b/>
        </w:rPr>
        <w:t xml:space="preserve"> Разглеждане на уведомления (нотификации) във връзка с трансгранично извършване на дейност по линията на единен европейски паспорт</w:t>
      </w:r>
      <w:bookmarkEnd w:id="46"/>
      <w:r w:rsidR="00176F81" w:rsidRPr="00F2736B">
        <w:rPr>
          <w:b/>
        </w:rPr>
        <w:t xml:space="preserve"> </w:t>
      </w:r>
      <w:r w:rsidR="00490197" w:rsidRPr="00F2736B">
        <w:rPr>
          <w:b/>
        </w:rPr>
        <w:tab/>
        <w:t xml:space="preserve"> </w:t>
      </w:r>
    </w:p>
    <w:p w14:paraId="4B1B40ED" w14:textId="77777777" w:rsidR="00C41784" w:rsidRPr="00F2736B" w:rsidRDefault="00490197" w:rsidP="0052359F">
      <w:pPr>
        <w:spacing w:line="276" w:lineRule="auto"/>
        <w:jc w:val="both"/>
        <w:rPr>
          <w:b/>
        </w:rPr>
      </w:pPr>
      <w:r w:rsidRPr="00F2736B">
        <w:rPr>
          <w:b/>
        </w:rPr>
        <w:tab/>
      </w:r>
      <w:bookmarkStart w:id="47" w:name="_Toc78466453"/>
      <w:r w:rsidR="00EE1DBB" w:rsidRPr="00F2736B">
        <w:rPr>
          <w:b/>
        </w:rPr>
        <w:t>6.3.1. Разглеждане на уведомления от поднадзорни на КФН лица за извършване на трансгранична дейност в други държави членки на ЕС или на ЕИП;</w:t>
      </w:r>
      <w:bookmarkEnd w:id="47"/>
      <w:r w:rsidR="00EE1DBB" w:rsidRPr="00F2736B">
        <w:rPr>
          <w:b/>
        </w:rPr>
        <w:t xml:space="preserve">   </w:t>
      </w:r>
    </w:p>
    <w:p w14:paraId="6F969ADD" w14:textId="365E73C8" w:rsidR="0074697F" w:rsidRPr="000F0CC9" w:rsidRDefault="00BE0ACC" w:rsidP="0074697F">
      <w:pPr>
        <w:spacing w:line="276" w:lineRule="auto"/>
        <w:ind w:firstLine="709"/>
        <w:jc w:val="both"/>
        <w:rPr>
          <w:rFonts w:eastAsia="Calibri"/>
          <w:bCs/>
          <w:iCs/>
        </w:rPr>
      </w:pPr>
      <w:r w:rsidRPr="000F0CC9">
        <w:t>През първото шестмесечие на 2025</w:t>
      </w:r>
      <w:r w:rsidR="0074697F" w:rsidRPr="000F0CC9">
        <w:t xml:space="preserve"> г.</w:t>
      </w:r>
      <w:r w:rsidR="0074697F" w:rsidRPr="000F0CC9">
        <w:rPr>
          <w:rFonts w:eastAsia="Calibri"/>
          <w:bCs/>
          <w:iCs/>
        </w:rPr>
        <w:t xml:space="preserve"> в управление „Надзор на инвестиционната дейност“ са постъпили следните нотификации от поднадзорни на КФН лица:</w:t>
      </w:r>
    </w:p>
    <w:p w14:paraId="5B676BDA" w14:textId="77777777" w:rsidR="00BE0ACC" w:rsidRPr="000F0CC9" w:rsidRDefault="00BE0ACC" w:rsidP="00BE0ACC">
      <w:pPr>
        <w:spacing w:line="276" w:lineRule="auto"/>
        <w:ind w:firstLine="709"/>
        <w:jc w:val="both"/>
        <w:rPr>
          <w:rFonts w:eastAsia="Calibri"/>
          <w:bCs/>
          <w:iCs/>
        </w:rPr>
      </w:pPr>
      <w:r w:rsidRPr="000F0CC9">
        <w:t>През първото шестмесечие на 202</w:t>
      </w:r>
      <w:r w:rsidRPr="000F0CC9">
        <w:rPr>
          <w:lang w:val="en-US"/>
        </w:rPr>
        <w:t>5</w:t>
      </w:r>
      <w:r w:rsidRPr="000F0CC9">
        <w:t xml:space="preserve"> г.</w:t>
      </w:r>
      <w:r w:rsidRPr="000F0CC9">
        <w:rPr>
          <w:rFonts w:eastAsia="Calibri"/>
          <w:bCs/>
          <w:iCs/>
        </w:rPr>
        <w:t xml:space="preserve"> в управление „Надзор на инвестиционната дейност“ са постъпили следните нотификации от поднадзорни на КФН лица:</w:t>
      </w:r>
    </w:p>
    <w:p w14:paraId="29A16589" w14:textId="099B595F" w:rsidR="00BE0ACC" w:rsidRPr="000F0CC9" w:rsidRDefault="00BE0ACC" w:rsidP="009B40BB">
      <w:pPr>
        <w:pStyle w:val="ListParagraph"/>
        <w:numPr>
          <w:ilvl w:val="0"/>
          <w:numId w:val="49"/>
        </w:numPr>
        <w:spacing w:line="276" w:lineRule="auto"/>
        <w:ind w:left="709" w:hanging="425"/>
        <w:jc w:val="both"/>
        <w:rPr>
          <w:rFonts w:eastAsia="Calibri"/>
          <w:bCs/>
          <w:iCs/>
        </w:rPr>
      </w:pPr>
      <w:r w:rsidRPr="000F0CC9">
        <w:rPr>
          <w:rFonts w:eastAsia="Calibri"/>
          <w:bCs/>
          <w:iCs/>
        </w:rPr>
        <w:t>1 уведомление за предлагане на дялове на ДФ, лицензиран от КФН, на територията на друга държава членка.</w:t>
      </w:r>
    </w:p>
    <w:p w14:paraId="2FC0FC5B" w14:textId="5491F59C" w:rsidR="00BE0ACC" w:rsidRPr="000F0CC9" w:rsidRDefault="00BE0ACC" w:rsidP="009B40BB">
      <w:pPr>
        <w:pStyle w:val="ListParagraph"/>
        <w:numPr>
          <w:ilvl w:val="0"/>
          <w:numId w:val="49"/>
        </w:numPr>
        <w:spacing w:line="276" w:lineRule="auto"/>
        <w:ind w:left="709" w:hanging="425"/>
        <w:jc w:val="both"/>
        <w:rPr>
          <w:rFonts w:eastAsia="Calibri"/>
          <w:bCs/>
          <w:iCs/>
        </w:rPr>
      </w:pPr>
      <w:r w:rsidRPr="000F0CC9">
        <w:rPr>
          <w:rFonts w:eastAsia="Calibri"/>
          <w:bCs/>
          <w:iCs/>
        </w:rPr>
        <w:t>25 уведомления за предоставяне на услуги на територията на други държави членки от доставчик на услуги за колективно финансиране, лицензиран от КФН.</w:t>
      </w:r>
    </w:p>
    <w:p w14:paraId="199E02C2" w14:textId="77777777" w:rsidR="00BE0ACC" w:rsidRPr="000F0CC9" w:rsidRDefault="00BE0ACC" w:rsidP="00BE0ACC">
      <w:pPr>
        <w:spacing w:line="276" w:lineRule="auto"/>
        <w:ind w:firstLine="709"/>
        <w:jc w:val="both"/>
        <w:rPr>
          <w:rFonts w:eastAsia="Calibri"/>
          <w:bCs/>
          <w:iCs/>
        </w:rPr>
      </w:pPr>
      <w:r w:rsidRPr="000F0CC9">
        <w:rPr>
          <w:rFonts w:eastAsia="Calibri"/>
          <w:bCs/>
          <w:iCs/>
        </w:rPr>
        <w:t>Продължава уреждане на отношенията с клиенти в резултат на закриване на клон на лицензиран от КФН ИП в друга държава членка.</w:t>
      </w:r>
    </w:p>
    <w:p w14:paraId="5DDC7BD4" w14:textId="3D203D39" w:rsidR="00BE0ACC" w:rsidRPr="000F0CC9" w:rsidRDefault="009B40BB" w:rsidP="00BE0ACC">
      <w:pPr>
        <w:spacing w:line="276" w:lineRule="auto"/>
        <w:ind w:firstLine="709"/>
        <w:jc w:val="both"/>
        <w:rPr>
          <w:rFonts w:eastAsia="Calibri"/>
          <w:bCs/>
          <w:iCs/>
        </w:rPr>
      </w:pPr>
      <w:r w:rsidRPr="000F0CC9">
        <w:t xml:space="preserve">Изпратена е </w:t>
      </w:r>
      <w:r w:rsidR="00BE0ACC" w:rsidRPr="000F0CC9">
        <w:t xml:space="preserve">1 (една) нотификация </w:t>
      </w:r>
      <w:r w:rsidR="00BE0ACC" w:rsidRPr="000F0CC9">
        <w:rPr>
          <w:rFonts w:eastAsia="Calibri"/>
          <w:bCs/>
          <w:iCs/>
        </w:rPr>
        <w:t>от българско публично дружество з</w:t>
      </w:r>
      <w:r w:rsidR="00BE0ACC" w:rsidRPr="000F0CC9">
        <w:t>а извършено публично предлагане на варанти и на територията на друга държава-членка.</w:t>
      </w:r>
    </w:p>
    <w:p w14:paraId="7CA1DB9E" w14:textId="77777777" w:rsidR="006755DF" w:rsidRPr="000F0CC9" w:rsidRDefault="00D766BC" w:rsidP="00376C81">
      <w:pPr>
        <w:spacing w:line="276" w:lineRule="auto"/>
        <w:ind w:firstLine="709"/>
        <w:jc w:val="both"/>
        <w:rPr>
          <w:rFonts w:eastAsia="Calibri"/>
          <w:lang w:eastAsia="en-US"/>
        </w:rPr>
      </w:pPr>
      <w:r w:rsidRPr="000F0CC9">
        <w:rPr>
          <w:rFonts w:eastAsia="Calibri"/>
          <w:lang w:eastAsia="en-US"/>
        </w:rPr>
        <w:tab/>
      </w:r>
      <w:r w:rsidR="006755DF" w:rsidRPr="000F0CC9">
        <w:rPr>
          <w:rFonts w:eastAsia="Calibri"/>
          <w:lang w:eastAsia="en-US"/>
        </w:rPr>
        <w:t xml:space="preserve">През отчетения период в управление „Застрахователен надзор“ са получени нотификации относно намерението на застрахователи и застрахователни посредници да извършват трансгранична дейност, както следва: </w:t>
      </w:r>
    </w:p>
    <w:p w14:paraId="68733FE5" w14:textId="0C62A294" w:rsidR="006755DF" w:rsidRPr="000F0CC9" w:rsidRDefault="006755DF" w:rsidP="00376C81">
      <w:pPr>
        <w:numPr>
          <w:ilvl w:val="0"/>
          <w:numId w:val="44"/>
        </w:numPr>
        <w:spacing w:line="276" w:lineRule="auto"/>
        <w:contextualSpacing/>
        <w:jc w:val="both"/>
        <w:rPr>
          <w:rFonts w:eastAsia="Calibri"/>
          <w:bCs/>
          <w:lang w:eastAsia="en-US"/>
        </w:rPr>
      </w:pPr>
      <w:r w:rsidRPr="000F0CC9">
        <w:rPr>
          <w:rFonts w:eastAsia="Calibri"/>
          <w:bCs/>
          <w:lang w:eastAsia="en-US"/>
        </w:rPr>
        <w:t xml:space="preserve">3 </w:t>
      </w:r>
      <w:r w:rsidRPr="000F0CC9">
        <w:rPr>
          <w:rFonts w:eastAsia="Calibri"/>
          <w:lang w:eastAsia="en-US"/>
        </w:rPr>
        <w:t>уведомления до компетентните надзорни органи на държави членки на ЕС за намерението на застрахователни дружества със седалище в Република България да извършват дейност на тяхна територия;</w:t>
      </w:r>
    </w:p>
    <w:p w14:paraId="28672C01" w14:textId="786BD7BA" w:rsidR="006755DF" w:rsidRPr="000F0CC9" w:rsidRDefault="006755DF" w:rsidP="00376C81">
      <w:pPr>
        <w:numPr>
          <w:ilvl w:val="0"/>
          <w:numId w:val="44"/>
        </w:numPr>
        <w:spacing w:line="276" w:lineRule="auto"/>
        <w:contextualSpacing/>
        <w:jc w:val="both"/>
        <w:rPr>
          <w:rFonts w:eastAsia="Calibri"/>
          <w:lang w:eastAsia="en-US"/>
        </w:rPr>
      </w:pPr>
      <w:r w:rsidRPr="000F0CC9">
        <w:rPr>
          <w:rFonts w:eastAsia="Calibri"/>
          <w:bCs/>
          <w:lang w:eastAsia="en-US"/>
        </w:rPr>
        <w:t xml:space="preserve">1 </w:t>
      </w:r>
      <w:r w:rsidRPr="000F0CC9">
        <w:rPr>
          <w:rFonts w:eastAsia="Calibri"/>
          <w:lang w:eastAsia="en-US"/>
        </w:rPr>
        <w:t>уведомление до компетентните надзорни органи на държави членки на ЕС относно намерението на застрахователни дружества със седалище в Република България да извършват дейност при условията на право на установяване /чрез клон/ на тяхна територия;</w:t>
      </w:r>
    </w:p>
    <w:p w14:paraId="190FE6DA" w14:textId="349D48D9" w:rsidR="006755DF" w:rsidRPr="000F0CC9" w:rsidRDefault="006755DF" w:rsidP="00376C81">
      <w:pPr>
        <w:numPr>
          <w:ilvl w:val="0"/>
          <w:numId w:val="44"/>
        </w:numPr>
        <w:spacing w:line="276" w:lineRule="auto"/>
        <w:contextualSpacing/>
        <w:jc w:val="both"/>
        <w:rPr>
          <w:rFonts w:eastAsia="Calibri"/>
          <w:lang w:eastAsia="en-US"/>
        </w:rPr>
      </w:pPr>
      <w:r w:rsidRPr="000F0CC9">
        <w:rPr>
          <w:rFonts w:eastAsia="Calibri"/>
          <w:bCs/>
          <w:lang w:eastAsia="en-US"/>
        </w:rPr>
        <w:t xml:space="preserve">4 </w:t>
      </w:r>
      <w:r w:rsidRPr="000F0CC9">
        <w:rPr>
          <w:rFonts w:eastAsia="Calibri"/>
          <w:lang w:eastAsia="en-US"/>
        </w:rPr>
        <w:t>уведомления до компетентните надзорни органи на държави членки на ЕС относно намерението на застрахователни посредници със седалище в България да извършват дейност по застрахователно посредничество при условията на свободата на предоставяне на услуги чрез предоставянето на услуги на територията на нови държави членки.</w:t>
      </w:r>
    </w:p>
    <w:p w14:paraId="1217ED6C" w14:textId="77777777" w:rsidR="006755DF" w:rsidRPr="00F2736B" w:rsidRDefault="006755DF" w:rsidP="006755DF">
      <w:pPr>
        <w:ind w:left="1429"/>
        <w:contextualSpacing/>
        <w:jc w:val="both"/>
        <w:rPr>
          <w:rFonts w:eastAsia="Calibri"/>
          <w:lang w:eastAsia="en-US"/>
        </w:rPr>
      </w:pPr>
    </w:p>
    <w:p w14:paraId="3AFC12DD" w14:textId="77777777" w:rsidR="006755DF" w:rsidRPr="00F2736B" w:rsidRDefault="006755DF" w:rsidP="006755DF">
      <w:pPr>
        <w:ind w:firstLine="709"/>
        <w:jc w:val="both"/>
        <w:rPr>
          <w:rFonts w:eastAsia="Calibri"/>
          <w:i/>
          <w:iCs/>
          <w:lang w:eastAsia="en-US"/>
        </w:rPr>
      </w:pPr>
      <w:r w:rsidRPr="00F2736B">
        <w:rPr>
          <w:rFonts w:eastAsia="Calibri"/>
          <w:i/>
          <w:iCs/>
          <w:lang w:eastAsia="en-US"/>
        </w:rPr>
        <w:t xml:space="preserve">В края  на м. юни 2025 г. общият брой застрахователни дружества със седалище в Република България, заявили намерение да извършват трансгранична дейност, възлиза на 22 (двадесет и две), застрахователните посредници са общо 71 (седемдесет и един).  </w:t>
      </w:r>
    </w:p>
    <w:p w14:paraId="7D1CB82D" w14:textId="72FD5B3B" w:rsidR="00B00DCB" w:rsidRPr="00F2736B" w:rsidRDefault="00B00DCB" w:rsidP="006755DF">
      <w:pPr>
        <w:jc w:val="both"/>
        <w:rPr>
          <w:rFonts w:eastAsia="Calibri"/>
          <w:lang w:eastAsia="en-US"/>
        </w:rPr>
      </w:pPr>
    </w:p>
    <w:p w14:paraId="51D27EF2" w14:textId="77777777" w:rsidR="00C41784" w:rsidRPr="00F2736B" w:rsidRDefault="00C41784" w:rsidP="0052359F">
      <w:pPr>
        <w:spacing w:line="276" w:lineRule="auto"/>
        <w:ind w:firstLine="709"/>
        <w:jc w:val="both"/>
        <w:rPr>
          <w:rFonts w:cstheme="minorHAnsi"/>
          <w:b/>
          <w:bCs/>
        </w:rPr>
      </w:pPr>
      <w:r w:rsidRPr="00F2736B">
        <w:rPr>
          <w:rFonts w:cstheme="minorHAnsi"/>
          <w:b/>
          <w:bCs/>
        </w:rPr>
        <w:t>6.3.2. Разглеждане на уведомления от надзорни органи на други държави членки на ЕС или ЕИП относно намерението на техни поднадзорни лица да извършват трансгранична дейност на територията на България.</w:t>
      </w:r>
    </w:p>
    <w:p w14:paraId="19BE0666" w14:textId="77777777" w:rsidR="00AE7245" w:rsidRPr="000F0CC9" w:rsidRDefault="00AE7245" w:rsidP="00AE7245">
      <w:pPr>
        <w:spacing w:line="276" w:lineRule="auto"/>
        <w:ind w:firstLine="709"/>
        <w:jc w:val="both"/>
      </w:pPr>
      <w:r w:rsidRPr="00F2736B">
        <w:lastRenderedPageBreak/>
        <w:t>През първото шестмесечие на 2025 г. в управление „Надзор на инвестиционната дейност“</w:t>
      </w:r>
      <w:r w:rsidRPr="00F2736B">
        <w:rPr>
          <w:rFonts w:eastAsia="Calibri"/>
          <w:bCs/>
          <w:iCs/>
        </w:rPr>
        <w:t xml:space="preserve"> са постъпили </w:t>
      </w:r>
      <w:r w:rsidRPr="00F2736B">
        <w:t xml:space="preserve">уведомления от надзорни органи на други държави членки на ЕС или </w:t>
      </w:r>
      <w:r w:rsidRPr="000F0CC9">
        <w:t xml:space="preserve">ЕИП относно намерението на техни поднадзорни лица да извършват трансгранична дейност на територията на България </w:t>
      </w:r>
      <w:r w:rsidRPr="000F0CC9">
        <w:rPr>
          <w:rFonts w:eastAsia="Calibri"/>
          <w:bCs/>
          <w:iCs/>
        </w:rPr>
        <w:t>както следва</w:t>
      </w:r>
      <w:r w:rsidRPr="000F0CC9">
        <w:t>:</w:t>
      </w:r>
    </w:p>
    <w:p w14:paraId="2A08395E" w14:textId="77777777" w:rsidR="00AE7245" w:rsidRPr="000F0CC9" w:rsidRDefault="00AE7245" w:rsidP="00AE7245">
      <w:pPr>
        <w:pStyle w:val="ListParagraph"/>
        <w:numPr>
          <w:ilvl w:val="0"/>
          <w:numId w:val="12"/>
        </w:numPr>
        <w:spacing w:after="160" w:line="276" w:lineRule="auto"/>
        <w:jc w:val="both"/>
      </w:pPr>
      <w:r w:rsidRPr="000F0CC9">
        <w:t>Нотификации за свободно предоставяне на услуги от инвестиционни посредници от ЕС, включително чрез обвързан агент – 11 броя;</w:t>
      </w:r>
    </w:p>
    <w:p w14:paraId="188D9B79" w14:textId="77777777" w:rsidR="00AE7245" w:rsidRPr="000F0CC9" w:rsidRDefault="00AE7245" w:rsidP="00AE7245">
      <w:pPr>
        <w:pStyle w:val="ListParagraph"/>
        <w:numPr>
          <w:ilvl w:val="0"/>
          <w:numId w:val="12"/>
        </w:numPr>
        <w:spacing w:after="160" w:line="276" w:lineRule="auto"/>
        <w:jc w:val="both"/>
      </w:pPr>
      <w:r w:rsidRPr="000F0CC9">
        <w:t>Нотификации за откриване на клон за предоставяне на услуги от инвестиционни посредници от ЕС, включително чрез обвързан агент – 1 брой;</w:t>
      </w:r>
    </w:p>
    <w:p w14:paraId="0B924003" w14:textId="77777777" w:rsidR="00AE7245" w:rsidRPr="000F0CC9" w:rsidRDefault="00AE7245" w:rsidP="00AE7245">
      <w:pPr>
        <w:pStyle w:val="ListParagraph"/>
        <w:numPr>
          <w:ilvl w:val="0"/>
          <w:numId w:val="12"/>
        </w:numPr>
        <w:spacing w:after="160" w:line="276" w:lineRule="auto"/>
        <w:jc w:val="both"/>
      </w:pPr>
      <w:r w:rsidRPr="000F0CC9">
        <w:t>Нотификация за улесняване на достъп до място на търговия – 2 броя;</w:t>
      </w:r>
    </w:p>
    <w:p w14:paraId="2F8252CB" w14:textId="77777777" w:rsidR="00AE7245" w:rsidRPr="000F0CC9" w:rsidRDefault="00AE7245" w:rsidP="00AE7245">
      <w:pPr>
        <w:pStyle w:val="ListParagraph"/>
        <w:numPr>
          <w:ilvl w:val="0"/>
          <w:numId w:val="12"/>
        </w:numPr>
        <w:spacing w:after="160" w:line="276" w:lineRule="auto"/>
        <w:jc w:val="both"/>
      </w:pPr>
      <w:r w:rsidRPr="000F0CC9">
        <w:t>Нотификации на колективни инвестиционни схеми от ЕС – 8 броя;</w:t>
      </w:r>
    </w:p>
    <w:p w14:paraId="35AEF463" w14:textId="77777777" w:rsidR="00AE7245" w:rsidRPr="000F0CC9" w:rsidRDefault="00AE7245" w:rsidP="00AE7245">
      <w:pPr>
        <w:pStyle w:val="ListParagraph"/>
        <w:numPr>
          <w:ilvl w:val="0"/>
          <w:numId w:val="12"/>
        </w:numPr>
        <w:spacing w:after="160" w:line="276" w:lineRule="auto"/>
        <w:jc w:val="both"/>
      </w:pPr>
      <w:r w:rsidRPr="000F0CC9">
        <w:t>Нотификация на лица, управляващи алтернативни инвестиционни фондове – 1 брой;</w:t>
      </w:r>
    </w:p>
    <w:p w14:paraId="13E24E1D" w14:textId="77777777" w:rsidR="00AE7245" w:rsidRPr="000F0CC9" w:rsidRDefault="00AE7245" w:rsidP="00AE7245">
      <w:pPr>
        <w:pStyle w:val="ListParagraph"/>
        <w:numPr>
          <w:ilvl w:val="0"/>
          <w:numId w:val="12"/>
        </w:numPr>
        <w:spacing w:after="160" w:line="276" w:lineRule="auto"/>
        <w:jc w:val="both"/>
      </w:pPr>
      <w:r w:rsidRPr="000F0CC9">
        <w:t>Нотификации на алтернативни инвестиционни фондове – 52 броя;</w:t>
      </w:r>
    </w:p>
    <w:p w14:paraId="6BDB6156" w14:textId="77777777" w:rsidR="00AE7245" w:rsidRPr="000F0CC9" w:rsidRDefault="00AE7245" w:rsidP="00AE7245">
      <w:pPr>
        <w:pStyle w:val="ListParagraph"/>
        <w:numPr>
          <w:ilvl w:val="0"/>
          <w:numId w:val="12"/>
        </w:numPr>
        <w:spacing w:after="160" w:line="276" w:lineRule="auto"/>
        <w:jc w:val="both"/>
      </w:pPr>
      <w:r w:rsidRPr="000F0CC9">
        <w:t>Нотификации на EUVECA – 23 броя;</w:t>
      </w:r>
    </w:p>
    <w:p w14:paraId="5A31FFED" w14:textId="77777777" w:rsidR="00AE7245" w:rsidRPr="000F0CC9" w:rsidRDefault="00AE7245" w:rsidP="00AE7245">
      <w:pPr>
        <w:pStyle w:val="ListParagraph"/>
        <w:numPr>
          <w:ilvl w:val="0"/>
          <w:numId w:val="12"/>
        </w:numPr>
        <w:spacing w:after="160" w:line="276" w:lineRule="auto"/>
        <w:jc w:val="both"/>
      </w:pPr>
      <w:r w:rsidRPr="000F0CC9">
        <w:t>Нотификации за доставчици на услуги за колективно финансиране – 11 броя.</w:t>
      </w:r>
    </w:p>
    <w:p w14:paraId="4B33FF4A" w14:textId="77777777" w:rsidR="00AE7245" w:rsidRPr="000F0CC9" w:rsidRDefault="00AE7245" w:rsidP="00AE7245">
      <w:pPr>
        <w:pStyle w:val="ListParagraph"/>
        <w:spacing w:after="160" w:line="276" w:lineRule="auto"/>
        <w:ind w:left="900"/>
        <w:jc w:val="both"/>
      </w:pPr>
      <w:r w:rsidRPr="000F0CC9">
        <w:t>Прекратени нотификации на лица от ЕС – 48 броя:</w:t>
      </w:r>
    </w:p>
    <w:p w14:paraId="24D58BB5" w14:textId="77777777" w:rsidR="00AE7245" w:rsidRPr="000F0CC9" w:rsidRDefault="00AE7245" w:rsidP="00AE7245">
      <w:pPr>
        <w:pStyle w:val="ListParagraph"/>
        <w:numPr>
          <w:ilvl w:val="0"/>
          <w:numId w:val="12"/>
        </w:numPr>
        <w:spacing w:after="160" w:line="276" w:lineRule="auto"/>
        <w:jc w:val="both"/>
      </w:pPr>
      <w:r w:rsidRPr="000F0CC9">
        <w:t>На инвестиционни посредници – 14 броя;</w:t>
      </w:r>
    </w:p>
    <w:p w14:paraId="2F5D5FB8" w14:textId="77777777" w:rsidR="00AE7245" w:rsidRPr="000F0CC9" w:rsidRDefault="00AE7245" w:rsidP="00AE7245">
      <w:pPr>
        <w:pStyle w:val="ListParagraph"/>
        <w:numPr>
          <w:ilvl w:val="0"/>
          <w:numId w:val="12"/>
        </w:numPr>
        <w:spacing w:after="160" w:line="276" w:lineRule="auto"/>
        <w:jc w:val="both"/>
      </w:pPr>
      <w:r w:rsidRPr="000F0CC9">
        <w:t>На колективни инвестиционни схеми – 15 броя;</w:t>
      </w:r>
    </w:p>
    <w:p w14:paraId="2C2DDBD4" w14:textId="77777777" w:rsidR="00AE7245" w:rsidRPr="000F0CC9" w:rsidRDefault="00AE7245" w:rsidP="00AE7245">
      <w:pPr>
        <w:pStyle w:val="ListParagraph"/>
        <w:numPr>
          <w:ilvl w:val="0"/>
          <w:numId w:val="12"/>
        </w:numPr>
        <w:spacing w:after="160" w:line="276" w:lineRule="auto"/>
        <w:jc w:val="both"/>
      </w:pPr>
      <w:r w:rsidRPr="000F0CC9">
        <w:t>На алтернативни инвестиционни фондове – 19 броя.</w:t>
      </w:r>
    </w:p>
    <w:p w14:paraId="76572084" w14:textId="77777777" w:rsidR="00AE7245" w:rsidRPr="000F0CC9" w:rsidRDefault="00AE7245" w:rsidP="00F004B4">
      <w:pPr>
        <w:spacing w:line="276" w:lineRule="auto"/>
        <w:ind w:firstLine="708"/>
        <w:jc w:val="both"/>
      </w:pPr>
      <w:r w:rsidRPr="000F0CC9">
        <w:t>През първото шестмесечие на 2025 г. КФН е нотифицирана по Регламента за проспектите за общо 86 проспекта, от които 6</w:t>
      </w:r>
      <w:r w:rsidRPr="000F0CC9">
        <w:rPr>
          <w:lang w:val="en-US"/>
        </w:rPr>
        <w:t>0</w:t>
      </w:r>
      <w:r w:rsidRPr="000F0CC9">
        <w:t xml:space="preserve"> нотификации за допълнение към проспекти и </w:t>
      </w:r>
      <w:r w:rsidRPr="000F0CC9">
        <w:rPr>
          <w:lang w:val="en-US"/>
        </w:rPr>
        <w:t>2</w:t>
      </w:r>
      <w:r w:rsidRPr="000F0CC9">
        <w:t xml:space="preserve">6 нотификации за нови проспекти. </w:t>
      </w:r>
    </w:p>
    <w:p w14:paraId="07875341" w14:textId="77777777" w:rsidR="00AE7245" w:rsidRPr="000F0CC9" w:rsidRDefault="00AE7245" w:rsidP="00F004B4">
      <w:pPr>
        <w:pStyle w:val="ListParagraph"/>
        <w:spacing w:line="276" w:lineRule="auto"/>
        <w:jc w:val="both"/>
        <w:rPr>
          <w:bCs/>
        </w:rPr>
      </w:pPr>
    </w:p>
    <w:p w14:paraId="51FA37A6" w14:textId="23A32D17" w:rsidR="00F02CEB" w:rsidRPr="000F0CC9" w:rsidRDefault="00F02CEB" w:rsidP="00F004B4">
      <w:pPr>
        <w:spacing w:line="276" w:lineRule="auto"/>
        <w:ind w:firstLine="709"/>
        <w:jc w:val="both"/>
        <w:rPr>
          <w:rFonts w:eastAsia="Calibri"/>
          <w:lang w:eastAsia="en-US"/>
        </w:rPr>
      </w:pPr>
      <w:r w:rsidRPr="000F0CC9">
        <w:rPr>
          <w:rFonts w:eastAsia="Calibri"/>
          <w:lang w:eastAsia="en-US"/>
        </w:rPr>
        <w:t>За първото полугодие на 2025 г. в управление „Застрахователен надзор“ са получени </w:t>
      </w:r>
      <w:r w:rsidRPr="000F0CC9">
        <w:rPr>
          <w:rFonts w:eastAsia="Calibri"/>
          <w:bCs/>
          <w:lang w:eastAsia="en-US"/>
        </w:rPr>
        <w:t xml:space="preserve">150 </w:t>
      </w:r>
      <w:r w:rsidRPr="000F0CC9">
        <w:rPr>
          <w:rFonts w:eastAsia="Calibri"/>
          <w:lang w:eastAsia="en-US"/>
        </w:rPr>
        <w:t xml:space="preserve">нотификации относно намерението на застрахователи и застрахователни посредници със седалище в ЕС и ЕИП да извършват трансгранична дейност на територията на Република България, както следва: </w:t>
      </w:r>
    </w:p>
    <w:p w14:paraId="0735B513" w14:textId="35CE2CB9" w:rsidR="00F02CEB" w:rsidRPr="000F0CC9" w:rsidRDefault="00F02CEB" w:rsidP="00F004B4">
      <w:pPr>
        <w:numPr>
          <w:ilvl w:val="0"/>
          <w:numId w:val="10"/>
        </w:numPr>
        <w:spacing w:line="276" w:lineRule="auto"/>
        <w:contextualSpacing/>
        <w:jc w:val="both"/>
        <w:rPr>
          <w:rFonts w:eastAsia="Calibri"/>
          <w:lang w:eastAsia="en-US"/>
        </w:rPr>
      </w:pPr>
      <w:r w:rsidRPr="000F0CC9">
        <w:rPr>
          <w:rFonts w:eastAsia="Calibri"/>
          <w:bCs/>
          <w:lang w:eastAsia="en-US"/>
        </w:rPr>
        <w:t xml:space="preserve">4 </w:t>
      </w:r>
      <w:r w:rsidRPr="000F0CC9">
        <w:rPr>
          <w:rFonts w:eastAsia="Calibri"/>
          <w:lang w:eastAsia="en-US"/>
        </w:rPr>
        <w:t xml:space="preserve">уведомления до КФН за намерението на застрахователни дружества със седалище в ЕС или ЕИП да извършват дейност на територията на Република България; </w:t>
      </w:r>
    </w:p>
    <w:p w14:paraId="32703E3E" w14:textId="6BC792DA" w:rsidR="00F02CEB" w:rsidRPr="000F0CC9" w:rsidRDefault="00F02CEB" w:rsidP="00F004B4">
      <w:pPr>
        <w:numPr>
          <w:ilvl w:val="0"/>
          <w:numId w:val="10"/>
        </w:numPr>
        <w:spacing w:line="276" w:lineRule="auto"/>
        <w:contextualSpacing/>
        <w:jc w:val="both"/>
        <w:rPr>
          <w:rFonts w:eastAsia="Calibri"/>
          <w:lang w:eastAsia="en-US"/>
        </w:rPr>
      </w:pPr>
      <w:r w:rsidRPr="000F0CC9">
        <w:rPr>
          <w:rFonts w:eastAsia="Calibri"/>
          <w:bCs/>
          <w:lang w:eastAsia="en-US"/>
        </w:rPr>
        <w:t xml:space="preserve">25 </w:t>
      </w:r>
      <w:r w:rsidRPr="000F0CC9">
        <w:rPr>
          <w:rFonts w:eastAsia="Calibri"/>
          <w:lang w:eastAsia="en-US"/>
        </w:rPr>
        <w:t>уведомления относно промяна в обстоятелствата по отношение на застрахователни дружества със седалище в държави членки на ЕС, които  извършва дейност на територията на Република България при условията на своб</w:t>
      </w:r>
      <w:r w:rsidR="00C05D23" w:rsidRPr="000F0CC9">
        <w:rPr>
          <w:rFonts w:eastAsia="Calibri"/>
          <w:lang w:eastAsia="en-US"/>
        </w:rPr>
        <w:t>одата на предоставяне на услуги;</w:t>
      </w:r>
    </w:p>
    <w:p w14:paraId="1710AE09" w14:textId="24BBB9A0" w:rsidR="00F02CEB" w:rsidRPr="000F0CC9" w:rsidRDefault="00F02CEB" w:rsidP="00F004B4">
      <w:pPr>
        <w:numPr>
          <w:ilvl w:val="0"/>
          <w:numId w:val="10"/>
        </w:numPr>
        <w:spacing w:line="276" w:lineRule="auto"/>
        <w:contextualSpacing/>
        <w:jc w:val="both"/>
        <w:rPr>
          <w:rFonts w:eastAsia="Calibri"/>
          <w:lang w:eastAsia="en-US"/>
        </w:rPr>
      </w:pPr>
      <w:r w:rsidRPr="000F0CC9">
        <w:rPr>
          <w:rFonts w:eastAsia="Calibri"/>
          <w:bCs/>
          <w:lang w:eastAsia="en-US"/>
        </w:rPr>
        <w:t xml:space="preserve">2 </w:t>
      </w:r>
      <w:r w:rsidRPr="000F0CC9">
        <w:rPr>
          <w:rFonts w:eastAsia="Calibri"/>
          <w:lang w:eastAsia="en-US"/>
        </w:rPr>
        <w:t>уведомление до КФН от органи на държави членки на ЕС за намерението на застрахователни дружества със седалище в ЕС или ЕИП да преустановят извършването на дейност на територията на Република България;</w:t>
      </w:r>
    </w:p>
    <w:p w14:paraId="75F15D1E" w14:textId="2AA0A0C9" w:rsidR="00F02CEB" w:rsidRPr="000F0CC9" w:rsidRDefault="00F02CEB" w:rsidP="00F004B4">
      <w:pPr>
        <w:numPr>
          <w:ilvl w:val="0"/>
          <w:numId w:val="10"/>
        </w:numPr>
        <w:spacing w:line="276" w:lineRule="auto"/>
        <w:contextualSpacing/>
        <w:jc w:val="both"/>
        <w:rPr>
          <w:rFonts w:eastAsia="Calibri"/>
          <w:lang w:eastAsia="en-US"/>
        </w:rPr>
      </w:pPr>
      <w:r w:rsidRPr="000F0CC9">
        <w:rPr>
          <w:rFonts w:eastAsia="Calibri"/>
          <w:bCs/>
          <w:lang w:eastAsia="en-US"/>
        </w:rPr>
        <w:t xml:space="preserve">87 </w:t>
      </w:r>
      <w:r w:rsidRPr="000F0CC9">
        <w:rPr>
          <w:rFonts w:eastAsia="Calibri"/>
          <w:lang w:eastAsia="en-US"/>
        </w:rPr>
        <w:t xml:space="preserve">уведомления до КФН от компетентните надзорни органи на държави членки на ЕС относно намерението на застрахователни посредници със седалище в ЕС или ЕИП да извършват на територията на Република България дейност по </w:t>
      </w:r>
      <w:r w:rsidRPr="000F0CC9">
        <w:rPr>
          <w:rFonts w:eastAsia="Calibri"/>
          <w:lang w:eastAsia="en-US"/>
        </w:rPr>
        <w:lastRenderedPageBreak/>
        <w:t>застрахователно посредничество при условията на свободата на предоставяне на услуги или правото на установяване;</w:t>
      </w:r>
    </w:p>
    <w:p w14:paraId="478E3D89" w14:textId="72319668" w:rsidR="00F02CEB" w:rsidRPr="000F0CC9" w:rsidRDefault="00F02CEB" w:rsidP="00F004B4">
      <w:pPr>
        <w:numPr>
          <w:ilvl w:val="0"/>
          <w:numId w:val="10"/>
        </w:numPr>
        <w:spacing w:line="276" w:lineRule="auto"/>
        <w:contextualSpacing/>
        <w:jc w:val="both"/>
        <w:rPr>
          <w:rFonts w:eastAsia="Calibri"/>
          <w:lang w:eastAsia="en-US"/>
        </w:rPr>
      </w:pPr>
      <w:r w:rsidRPr="000F0CC9">
        <w:rPr>
          <w:rFonts w:eastAsia="Calibri"/>
          <w:bCs/>
          <w:lang w:eastAsia="en-US"/>
        </w:rPr>
        <w:t>24</w:t>
      </w:r>
      <w:r w:rsidR="001F285D">
        <w:rPr>
          <w:rFonts w:eastAsia="Calibri"/>
          <w:bCs/>
          <w:lang w:val="en-US" w:eastAsia="en-US"/>
        </w:rPr>
        <w:t xml:space="preserve"> </w:t>
      </w:r>
      <w:r w:rsidRPr="000F0CC9">
        <w:rPr>
          <w:rFonts w:eastAsia="Calibri"/>
          <w:lang w:eastAsia="en-US"/>
        </w:rPr>
        <w:t>уведомления относно промяна в обстоятелствата по отношение на застрахователни посредници със седалище в държави членки на ЕС, които  извършва дейност на територията на Република България при условията на своб</w:t>
      </w:r>
      <w:r w:rsidR="00C05D23" w:rsidRPr="000F0CC9">
        <w:rPr>
          <w:rFonts w:eastAsia="Calibri"/>
          <w:lang w:eastAsia="en-US"/>
        </w:rPr>
        <w:t>одата на предоставяне на услуги;</w:t>
      </w:r>
    </w:p>
    <w:p w14:paraId="36DB9181" w14:textId="02B40062" w:rsidR="00F02CEB" w:rsidRPr="000F0CC9" w:rsidRDefault="00F02CEB" w:rsidP="00F004B4">
      <w:pPr>
        <w:numPr>
          <w:ilvl w:val="0"/>
          <w:numId w:val="10"/>
        </w:numPr>
        <w:spacing w:line="276" w:lineRule="auto"/>
        <w:contextualSpacing/>
        <w:jc w:val="both"/>
        <w:rPr>
          <w:rFonts w:eastAsia="Calibri"/>
          <w:bCs/>
          <w:lang w:eastAsia="en-US"/>
        </w:rPr>
      </w:pPr>
      <w:r w:rsidRPr="000F0CC9">
        <w:rPr>
          <w:rFonts w:eastAsia="Calibri"/>
          <w:bCs/>
          <w:lang w:eastAsia="en-US"/>
        </w:rPr>
        <w:t xml:space="preserve">8 </w:t>
      </w:r>
      <w:r w:rsidRPr="000F0CC9">
        <w:rPr>
          <w:rFonts w:eastAsia="Calibri"/>
          <w:lang w:eastAsia="en-US"/>
        </w:rPr>
        <w:t xml:space="preserve">уведомления до КФН от компетентните надзорни органи на държави членки на ЕС относно намерението на застрахователни посредници със седалище в ЕС или ЕИП да преустановят извършването на дейност на територията на Република България. </w:t>
      </w:r>
    </w:p>
    <w:p w14:paraId="2069C873" w14:textId="77777777" w:rsidR="00F02CEB" w:rsidRPr="00F2736B" w:rsidRDefault="00F02CEB" w:rsidP="00F02CEB">
      <w:pPr>
        <w:ind w:left="360"/>
        <w:contextualSpacing/>
        <w:jc w:val="both"/>
        <w:rPr>
          <w:rFonts w:eastAsia="Calibri"/>
          <w:b/>
          <w:bCs/>
          <w:lang w:eastAsia="en-US"/>
        </w:rPr>
      </w:pPr>
    </w:p>
    <w:p w14:paraId="153B9B4D" w14:textId="345A285A" w:rsidR="00F02CEB" w:rsidRPr="00F2736B" w:rsidRDefault="00F02CEB" w:rsidP="00F004B4">
      <w:pPr>
        <w:spacing w:line="276" w:lineRule="auto"/>
        <w:ind w:firstLine="720"/>
        <w:jc w:val="both"/>
        <w:rPr>
          <w:rFonts w:eastAsia="Calibri"/>
          <w:lang w:eastAsia="en-US"/>
        </w:rPr>
      </w:pPr>
      <w:r w:rsidRPr="00F2736B">
        <w:rPr>
          <w:rFonts w:eastAsia="Calibri"/>
          <w:i/>
          <w:iCs/>
          <w:lang w:eastAsia="en-US"/>
        </w:rPr>
        <w:t>Към първо полугодие на 2025 г. общият брой застрахователни дружества със седалище в държави членки, заявили намерение да извършват трансгранична дейност на територията на Република България, възлиза на 434, застраховат</w:t>
      </w:r>
      <w:r w:rsidR="009903A7">
        <w:rPr>
          <w:rFonts w:eastAsia="Calibri"/>
          <w:i/>
          <w:iCs/>
          <w:lang w:eastAsia="en-US"/>
        </w:rPr>
        <w:t>елните посредници са общо 2 374</w:t>
      </w:r>
      <w:r w:rsidRPr="00F2736B">
        <w:rPr>
          <w:rFonts w:eastAsia="Calibri"/>
          <w:i/>
          <w:iCs/>
          <w:lang w:eastAsia="en-US"/>
        </w:rPr>
        <w:t xml:space="preserve">. </w:t>
      </w:r>
    </w:p>
    <w:p w14:paraId="2AC1A34E" w14:textId="77777777" w:rsidR="00F02CEB" w:rsidRPr="00F2736B" w:rsidRDefault="00F02CEB" w:rsidP="00F004B4">
      <w:pPr>
        <w:spacing w:line="276" w:lineRule="auto"/>
        <w:jc w:val="both"/>
        <w:rPr>
          <w:rFonts w:eastAsia="Calibri"/>
          <w:lang w:eastAsia="en-US"/>
        </w:rPr>
      </w:pPr>
      <w:r w:rsidRPr="00F2736B">
        <w:rPr>
          <w:rFonts w:eastAsia="Calibri"/>
          <w:b/>
          <w:bCs/>
          <w:lang w:eastAsia="en-US"/>
        </w:rPr>
        <w:t>   </w:t>
      </w:r>
    </w:p>
    <w:p w14:paraId="1C63FDDE" w14:textId="022AED33" w:rsidR="007E517E" w:rsidRPr="00F2736B" w:rsidRDefault="00EE1DBB" w:rsidP="00F004B4">
      <w:pPr>
        <w:spacing w:line="276" w:lineRule="auto"/>
        <w:jc w:val="both"/>
      </w:pPr>
      <w:r w:rsidRPr="00F2736B">
        <w:rPr>
          <w:b/>
        </w:rPr>
        <w:t xml:space="preserve"> </w:t>
      </w:r>
      <w:bookmarkStart w:id="48" w:name="_Toc78466455"/>
      <w:r w:rsidRPr="00F2736B">
        <w:rPr>
          <w:b/>
        </w:rPr>
        <w:t>6.4</w:t>
      </w:r>
      <w:r w:rsidR="00206CDD" w:rsidRPr="00F2736B">
        <w:rPr>
          <w:b/>
        </w:rPr>
        <w:t>.</w:t>
      </w:r>
      <w:r w:rsidR="00245031" w:rsidRPr="00F2736B">
        <w:rPr>
          <w:b/>
        </w:rPr>
        <w:t xml:space="preserve"> </w:t>
      </w:r>
      <w:r w:rsidRPr="00F2736B">
        <w:rPr>
          <w:b/>
        </w:rPr>
        <w:t>Разглеждане на документи, които не подлежат на одобрителен режим, но се проверяват от гледна точка на тяхното съответствие/привеждане в съответствие с регулаторните изисквания</w:t>
      </w:r>
      <w:bookmarkEnd w:id="48"/>
      <w:r w:rsidRPr="00F2736B">
        <w:rPr>
          <w:b/>
        </w:rPr>
        <w:t xml:space="preserve">     </w:t>
      </w:r>
    </w:p>
    <w:p w14:paraId="3A1E4144" w14:textId="4D79CACB" w:rsidR="00E16851" w:rsidRPr="000F0CC9" w:rsidRDefault="00E16851" w:rsidP="00F004B4">
      <w:pPr>
        <w:spacing w:line="276" w:lineRule="auto"/>
        <w:ind w:firstLine="709"/>
        <w:jc w:val="both"/>
      </w:pPr>
      <w:r w:rsidRPr="00F2736B">
        <w:t xml:space="preserve">През </w:t>
      </w:r>
      <w:r w:rsidRPr="000F0CC9">
        <w:t xml:space="preserve">първото полугодие на 2025 г. </w:t>
      </w:r>
      <w:r w:rsidRPr="000F0CC9">
        <w:rPr>
          <w:rFonts w:cstheme="minorHAnsi"/>
        </w:rPr>
        <w:t xml:space="preserve">в управление „Надзор на инвестиционната дейност” </w:t>
      </w:r>
      <w:r w:rsidRPr="000F0CC9">
        <w:t>са разгледани 9 броя уведомления по чл. 5 от ЗПФИ за прилагане на освобождаване за 2024 г. съгласно Регламент (ЕС) 2017/592, 1  уведомление за прехвърляне на квалифицирано участие в инвестиционен посредник и 2 уведомления за прехвърляне на квалифицирано участие в управляващо дружество.</w:t>
      </w:r>
    </w:p>
    <w:p w14:paraId="2E54C133" w14:textId="67C0FCD6" w:rsidR="00E30646" w:rsidRPr="000F0CC9" w:rsidRDefault="00D766BC" w:rsidP="00F004B4">
      <w:pPr>
        <w:spacing w:line="276" w:lineRule="auto"/>
        <w:ind w:firstLine="360"/>
        <w:jc w:val="both"/>
        <w:rPr>
          <w:rFonts w:eastAsia="Calibri"/>
          <w:lang w:eastAsia="en-US"/>
        </w:rPr>
      </w:pPr>
      <w:r w:rsidRPr="000F0CC9">
        <w:rPr>
          <w:rFonts w:eastAsia="Calibri"/>
          <w:lang w:eastAsia="en-US"/>
        </w:rPr>
        <w:tab/>
      </w:r>
      <w:r w:rsidR="00E30646" w:rsidRPr="000F0CC9">
        <w:rPr>
          <w:rFonts w:eastAsia="Calibri"/>
          <w:lang w:eastAsia="en-US"/>
        </w:rPr>
        <w:t xml:space="preserve">В управление „Застрахователен надзор“ са разгледани 12 проекта на договори за прехвърляне на дейности или ключови функции на застрахователни или презастрахователни дружества по смисъла на чл. 110 от КЗ. </w:t>
      </w:r>
    </w:p>
    <w:p w14:paraId="6B245B07" w14:textId="0F32B587" w:rsidR="00E30646" w:rsidRPr="000F0CC9" w:rsidRDefault="00E30646" w:rsidP="00F004B4">
      <w:pPr>
        <w:spacing w:line="276" w:lineRule="auto"/>
        <w:ind w:firstLine="720"/>
        <w:jc w:val="both"/>
      </w:pPr>
      <w:r w:rsidRPr="000F0CC9">
        <w:t xml:space="preserve">През отчетения период КФН е взела 2 решения по постъпили уведомления относно прехвърляне на застрахователен портфейл в рамките на Европейския съюз. </w:t>
      </w:r>
    </w:p>
    <w:p w14:paraId="6127FBBC" w14:textId="300D441D" w:rsidR="00E30646" w:rsidRPr="00F2736B" w:rsidRDefault="00E30646" w:rsidP="00F004B4">
      <w:pPr>
        <w:spacing w:line="276" w:lineRule="auto"/>
        <w:ind w:firstLine="720"/>
        <w:jc w:val="both"/>
        <w:rPr>
          <w:rFonts w:eastAsia="Calibri"/>
          <w:lang w:eastAsia="en-US"/>
        </w:rPr>
      </w:pPr>
      <w:r w:rsidRPr="000F0CC9">
        <w:rPr>
          <w:rFonts w:eastAsia="Calibri"/>
          <w:lang w:eastAsia="en-US"/>
        </w:rPr>
        <w:t>През отчетния период са разгледани документи на общо 40 промени в застрахователни посредници, които не подлежат на одобрителен режим, в т.ч. нови управители или лица, които отговарят за дейността по разпространение на застрахователни продукти, други ключови функции на уведомителен режим, политики</w:t>
      </w:r>
      <w:r w:rsidRPr="00F2736B">
        <w:rPr>
          <w:rFonts w:eastAsia="Calibri"/>
          <w:lang w:eastAsia="en-US"/>
        </w:rPr>
        <w:t xml:space="preserve"> по Наредба № 7</w:t>
      </w:r>
      <w:r w:rsidR="00F20EC8">
        <w:rPr>
          <w:rFonts w:eastAsia="Calibri"/>
          <w:lang w:eastAsia="en-US"/>
        </w:rPr>
        <w:t>1</w:t>
      </w:r>
      <w:r w:rsidRPr="00F2736B">
        <w:rPr>
          <w:rFonts w:eastAsia="Calibri"/>
          <w:lang w:eastAsia="en-US"/>
        </w:rPr>
        <w:t>, промени в организационната структура и други.</w:t>
      </w:r>
    </w:p>
    <w:p w14:paraId="777512B2" w14:textId="164E7C61" w:rsidR="000771E1" w:rsidRPr="00F2736B" w:rsidRDefault="00DB0515" w:rsidP="00F004B4">
      <w:pPr>
        <w:spacing w:line="276" w:lineRule="auto"/>
        <w:ind w:firstLine="720"/>
        <w:jc w:val="both"/>
      </w:pPr>
      <w:r w:rsidRPr="00F2736B">
        <w:t xml:space="preserve">През първото </w:t>
      </w:r>
      <w:r w:rsidRPr="000F0CC9">
        <w:t>полугодие на 202</w:t>
      </w:r>
      <w:r w:rsidR="00F25DE4" w:rsidRPr="000F0CC9">
        <w:t>5</w:t>
      </w:r>
      <w:r w:rsidRPr="000F0CC9">
        <w:t xml:space="preserve"> г. от служители на </w:t>
      </w:r>
      <w:r w:rsidR="00AC3A4B" w:rsidRPr="000F0CC9">
        <w:t xml:space="preserve">управление </w:t>
      </w:r>
      <w:r w:rsidRPr="000F0CC9">
        <w:t xml:space="preserve"> „Осигурителен надзор“ </w:t>
      </w:r>
      <w:r w:rsidR="000771E1" w:rsidRPr="000F0CC9">
        <w:rPr>
          <w:rFonts w:eastAsiaTheme="minorHAnsi"/>
          <w:lang w:eastAsia="en-US"/>
        </w:rPr>
        <w:t>е извършен текущ преглед</w:t>
      </w:r>
      <w:r w:rsidR="001F285D">
        <w:rPr>
          <w:rFonts w:eastAsiaTheme="minorHAnsi"/>
          <w:lang w:val="en-US" w:eastAsia="en-US"/>
        </w:rPr>
        <w:t xml:space="preserve"> </w:t>
      </w:r>
      <w:r w:rsidR="000771E1" w:rsidRPr="000F0CC9">
        <w:rPr>
          <w:rFonts w:eastAsiaTheme="minorHAnsi"/>
          <w:lang w:eastAsia="en-US"/>
        </w:rPr>
        <w:t xml:space="preserve">на </w:t>
      </w:r>
      <w:r w:rsidR="00F25DE4" w:rsidRPr="000F0CC9">
        <w:rPr>
          <w:rFonts w:eastAsiaTheme="minorHAnsi"/>
          <w:lang w:eastAsia="en-US"/>
        </w:rPr>
        <w:t>67</w:t>
      </w:r>
      <w:r w:rsidR="0004650D" w:rsidRPr="000F0CC9">
        <w:rPr>
          <w:rFonts w:eastAsiaTheme="minorHAnsi"/>
          <w:lang w:eastAsia="en-US"/>
        </w:rPr>
        <w:t xml:space="preserve"> </w:t>
      </w:r>
      <w:r w:rsidR="000771E1" w:rsidRPr="000F0CC9">
        <w:rPr>
          <w:rFonts w:eastAsiaTheme="minorHAnsi"/>
          <w:lang w:eastAsia="en-US"/>
        </w:rPr>
        <w:t>вътрешни документи, внесени от пенсионноосигурителните дружества</w:t>
      </w:r>
      <w:r w:rsidR="000771E1" w:rsidRPr="000F0CC9">
        <w:t>,</w:t>
      </w:r>
      <w:r w:rsidR="000771E1" w:rsidRPr="000F0CC9">
        <w:rPr>
          <w:rFonts w:eastAsiaTheme="minorHAnsi"/>
          <w:lang w:eastAsia="en-US"/>
        </w:rPr>
        <w:t xml:space="preserve"> които са проверени от гледна точка на тяхната законосъобразност и синхрон спрямо останалите вътрешни документи</w:t>
      </w:r>
      <w:r w:rsidR="000771E1" w:rsidRPr="00F2736B">
        <w:rPr>
          <w:rFonts w:eastAsiaTheme="minorHAnsi"/>
          <w:lang w:eastAsia="en-US"/>
        </w:rPr>
        <w:t>. При част от тях</w:t>
      </w:r>
      <w:r w:rsidR="000771E1" w:rsidRPr="00F2736B">
        <w:t xml:space="preserve"> бяха дадени насоки и препоръки за прецизирането им. </w:t>
      </w:r>
      <w:r w:rsidR="000771E1" w:rsidRPr="00F2736B">
        <w:rPr>
          <w:lang w:eastAsia="en-US"/>
        </w:rPr>
        <w:t xml:space="preserve">       </w:t>
      </w:r>
      <w:r w:rsidR="000771E1" w:rsidRPr="00F2736B">
        <w:rPr>
          <w:b/>
          <w:lang w:eastAsia="en-US"/>
        </w:rPr>
        <w:t xml:space="preserve">   </w:t>
      </w:r>
    </w:p>
    <w:p w14:paraId="615B3FDB" w14:textId="77777777" w:rsidR="00245031" w:rsidRPr="00F2736B" w:rsidRDefault="00EE1DBB" w:rsidP="00F004B4">
      <w:pPr>
        <w:spacing w:line="276" w:lineRule="auto"/>
        <w:ind w:firstLine="720"/>
        <w:jc w:val="both"/>
        <w:rPr>
          <w:b/>
          <w:lang w:eastAsia="en-US"/>
        </w:rPr>
      </w:pPr>
      <w:r w:rsidRPr="00F2736B">
        <w:rPr>
          <w:b/>
          <w:lang w:eastAsia="en-US"/>
        </w:rPr>
        <w:t xml:space="preserve">                  </w:t>
      </w:r>
    </w:p>
    <w:p w14:paraId="04ADA4E1" w14:textId="77777777" w:rsidR="00EE1DBB" w:rsidRPr="00F2736B" w:rsidRDefault="00EE1DBB" w:rsidP="00F004B4">
      <w:pPr>
        <w:spacing w:line="276" w:lineRule="auto"/>
        <w:jc w:val="both"/>
        <w:rPr>
          <w:b/>
        </w:rPr>
      </w:pPr>
      <w:bookmarkStart w:id="49" w:name="_Toc78466456"/>
      <w:r w:rsidRPr="00F2736B">
        <w:rPr>
          <w:b/>
        </w:rPr>
        <w:t>6.5</w:t>
      </w:r>
      <w:r w:rsidR="00206CDD" w:rsidRPr="00F2736B">
        <w:rPr>
          <w:b/>
        </w:rPr>
        <w:t>.</w:t>
      </w:r>
      <w:r w:rsidRPr="00F2736B">
        <w:rPr>
          <w:b/>
        </w:rPr>
        <w:t xml:space="preserve"> Одобряване и утвърждаване на биометрични таблици и технически лихвен процент</w:t>
      </w:r>
      <w:bookmarkEnd w:id="49"/>
    </w:p>
    <w:p w14:paraId="149B09EF" w14:textId="5AB10E5C" w:rsidR="002B2755" w:rsidRPr="00F2736B" w:rsidRDefault="002B2755" w:rsidP="00F004B4">
      <w:pPr>
        <w:spacing w:line="276" w:lineRule="auto"/>
        <w:ind w:firstLine="720"/>
        <w:jc w:val="both"/>
        <w:rPr>
          <w:b/>
        </w:rPr>
      </w:pPr>
      <w:r w:rsidRPr="00F2736B">
        <w:lastRenderedPageBreak/>
        <w:t xml:space="preserve">През отчетния период не са постъпвали предложения от страна на пенсионноосигурителните дружества и не са одобрявани технически лихвени проценти за определяне на размерите на пенсиите. </w:t>
      </w:r>
      <w:r w:rsidR="00E1265C">
        <w:t>Също така не</w:t>
      </w:r>
      <w:r w:rsidRPr="00F2736B">
        <w:t xml:space="preserve"> са утвърждавани и биометрични таблици и технически лихвен процент</w:t>
      </w:r>
      <w:r w:rsidRPr="00F2736B">
        <w:rPr>
          <w:lang w:val="en-US"/>
        </w:rPr>
        <w:t xml:space="preserve"> </w:t>
      </w:r>
      <w:r w:rsidRPr="00F2736B">
        <w:t>за изчисляване на пенсионните резерви, тъй като тази информация се изготвя и публикува на интернет страница на К</w:t>
      </w:r>
      <w:r w:rsidR="004A3EF6" w:rsidRPr="00F2736B">
        <w:t>омисията</w:t>
      </w:r>
      <w:r w:rsidRPr="00F2736B">
        <w:t xml:space="preserve"> в края на календарната година. </w:t>
      </w:r>
    </w:p>
    <w:p w14:paraId="1AD8C029" w14:textId="77777777" w:rsidR="00245031" w:rsidRPr="00F2736B" w:rsidRDefault="00EA5EF0" w:rsidP="00F004B4">
      <w:pPr>
        <w:spacing w:line="276" w:lineRule="auto"/>
        <w:jc w:val="both"/>
      </w:pPr>
      <w:r w:rsidRPr="00F2736B" w:rsidDel="00EA5EF0">
        <w:t xml:space="preserve"> </w:t>
      </w:r>
    </w:p>
    <w:p w14:paraId="0850B06D" w14:textId="77777777" w:rsidR="00490197" w:rsidRPr="00F2736B" w:rsidRDefault="00EE1DBB" w:rsidP="00F004B4">
      <w:pPr>
        <w:spacing w:line="276" w:lineRule="auto"/>
        <w:jc w:val="both"/>
        <w:rPr>
          <w:b/>
        </w:rPr>
      </w:pPr>
      <w:bookmarkStart w:id="50" w:name="_Toc78466457"/>
      <w:r w:rsidRPr="00F2736B">
        <w:rPr>
          <w:b/>
        </w:rPr>
        <w:t>6.6</w:t>
      </w:r>
      <w:r w:rsidR="00206CDD" w:rsidRPr="00F2736B">
        <w:rPr>
          <w:b/>
        </w:rPr>
        <w:t>.</w:t>
      </w:r>
      <w:r w:rsidRPr="00F2736B">
        <w:rPr>
          <w:b/>
        </w:rPr>
        <w:t xml:space="preserve"> </w:t>
      </w:r>
      <w:r w:rsidR="00490197" w:rsidRPr="00F2736B">
        <w:rPr>
          <w:b/>
        </w:rPr>
        <w:t>Определяне на минимална доходност от управлението на активите на задължителните пенсионни фондове</w:t>
      </w:r>
      <w:bookmarkEnd w:id="50"/>
    </w:p>
    <w:p w14:paraId="1A8CFCAC" w14:textId="781A49E2" w:rsidR="002B2755" w:rsidRPr="00F2736B" w:rsidRDefault="002B2755" w:rsidP="00F004B4">
      <w:pPr>
        <w:spacing w:line="276" w:lineRule="auto"/>
        <w:ind w:firstLine="708"/>
        <w:jc w:val="both"/>
      </w:pPr>
      <w:bookmarkStart w:id="51" w:name="_Toc78466458"/>
      <w:r w:rsidRPr="00F2736B">
        <w:t>През отчетния период бяха изчислени и обявени на интернет страница на К</w:t>
      </w:r>
      <w:r w:rsidR="000F158C" w:rsidRPr="00F2736B">
        <w:t>омисията</w:t>
      </w:r>
      <w:r w:rsidRPr="00F2736B">
        <w:t xml:space="preserve"> данни за минималната доходност от управлението на активите на фондовете за допълнително пенсионно осигуряване на годишна база, постигната за 24 - месечния период, изтичащ на </w:t>
      </w:r>
      <w:r w:rsidR="006F7FDC" w:rsidRPr="00F2736B">
        <w:t>31.12.2024</w:t>
      </w:r>
      <w:r w:rsidRPr="00F2736B">
        <w:t xml:space="preserve"> г.</w:t>
      </w:r>
      <w:r w:rsidRPr="00F2736B">
        <w:rPr>
          <w:b/>
        </w:rPr>
        <w:t xml:space="preserve"> </w:t>
      </w:r>
    </w:p>
    <w:p w14:paraId="2DC6195E" w14:textId="77777777" w:rsidR="002B2755" w:rsidRPr="00F2736B" w:rsidRDefault="002B2755" w:rsidP="00F004B4">
      <w:pPr>
        <w:autoSpaceDE w:val="0"/>
        <w:autoSpaceDN w:val="0"/>
        <w:adjustRightInd w:val="0"/>
        <w:spacing w:line="276" w:lineRule="auto"/>
        <w:ind w:firstLine="708"/>
        <w:jc w:val="both"/>
      </w:pPr>
      <w:r w:rsidRPr="00F2736B">
        <w:tab/>
        <w:t>Съгласно изискването на чл. 193, ал. 2 от КСО:</w:t>
      </w:r>
    </w:p>
    <w:p w14:paraId="40930E63" w14:textId="649BC61A" w:rsidR="006F7FDC" w:rsidRPr="00F2736B" w:rsidRDefault="006F7FDC" w:rsidP="00F004B4">
      <w:pPr>
        <w:pStyle w:val="ListParagraph"/>
        <w:numPr>
          <w:ilvl w:val="0"/>
          <w:numId w:val="7"/>
        </w:numPr>
        <w:tabs>
          <w:tab w:val="left" w:pos="993"/>
        </w:tabs>
        <w:spacing w:before="60" w:after="60" w:line="276" w:lineRule="auto"/>
        <w:ind w:left="0" w:firstLine="708"/>
        <w:jc w:val="both"/>
      </w:pPr>
      <w:r w:rsidRPr="00F2736B">
        <w:t>с Решения № 25-УПФ и № 26</w:t>
      </w:r>
      <w:r w:rsidR="002B2755" w:rsidRPr="00F2736B">
        <w:t xml:space="preserve">-ППФ на КФН от </w:t>
      </w:r>
      <w:r w:rsidRPr="00F2736B">
        <w:t>16.01.2025</w:t>
      </w:r>
      <w:r w:rsidR="002B2755" w:rsidRPr="00F2736B">
        <w:t xml:space="preserve"> г. беше определена минималната доходност при управлението на универсалните и на професионалните пенсионни </w:t>
      </w:r>
      <w:r w:rsidRPr="00F2736B">
        <w:t>фондове за периода от 30.12.2022 г. до 31.12.2024</w:t>
      </w:r>
      <w:r w:rsidR="002B2755" w:rsidRPr="00F2736B">
        <w:t xml:space="preserve"> г.</w:t>
      </w:r>
      <w:r w:rsidRPr="00F2736B">
        <w:t>, която за универсалните пенсионни фондове е в размер на 3,94 на сто на годишна база, а за професионалните пенсионни  фондове е в размер на 3,83 на сто на годишна база.</w:t>
      </w:r>
    </w:p>
    <w:p w14:paraId="0469CB6E" w14:textId="77777777" w:rsidR="006F7FDC" w:rsidRPr="00F2736B" w:rsidRDefault="006F7FDC" w:rsidP="00F004B4">
      <w:pPr>
        <w:pStyle w:val="ListParagraph"/>
        <w:numPr>
          <w:ilvl w:val="0"/>
          <w:numId w:val="7"/>
        </w:numPr>
        <w:tabs>
          <w:tab w:val="left" w:pos="851"/>
          <w:tab w:val="left" w:pos="993"/>
        </w:tabs>
        <w:autoSpaceDE w:val="0"/>
        <w:autoSpaceDN w:val="0"/>
        <w:adjustRightInd w:val="0"/>
        <w:spacing w:after="160" w:line="276" w:lineRule="auto"/>
        <w:ind w:left="0" w:firstLine="708"/>
        <w:jc w:val="both"/>
      </w:pPr>
      <w:r w:rsidRPr="00F2736B">
        <w:t>с Решения № 246-УПФ и № 247-ППФ на КФН от 23.04.2025</w:t>
      </w:r>
      <w:r w:rsidR="002B2755" w:rsidRPr="00F2736B">
        <w:t xml:space="preserve"> г. беше определена минималната доходност при управлението на универсалните и на професионалните пенсионни </w:t>
      </w:r>
      <w:r w:rsidRPr="00F2736B">
        <w:t>фондове за периода от 31.03.2023 г. до 31.03.2025</w:t>
      </w:r>
      <w:r w:rsidR="002B2755" w:rsidRPr="00F2736B">
        <w:t xml:space="preserve"> г.</w:t>
      </w:r>
      <w:r w:rsidRPr="00F2736B">
        <w:t xml:space="preserve">, </w:t>
      </w:r>
      <w:r w:rsidR="002B2755" w:rsidRPr="00F2736B">
        <w:t xml:space="preserve"> </w:t>
      </w:r>
      <w:r w:rsidRPr="00F2736B">
        <w:t>която за универсалните пенсионни фондове е в размер на 2,90 на сто на годишна база, а за професионалните пенсионни  фондове е в размер на 3,00 на сто на годишна база.</w:t>
      </w:r>
    </w:p>
    <w:p w14:paraId="37AAADEC" w14:textId="77777777" w:rsidR="00490197" w:rsidRPr="00F2736B" w:rsidRDefault="00815A09" w:rsidP="00F004B4">
      <w:pPr>
        <w:spacing w:line="276" w:lineRule="auto"/>
        <w:jc w:val="both"/>
        <w:rPr>
          <w:b/>
        </w:rPr>
      </w:pPr>
      <w:r w:rsidRPr="00F2736B">
        <w:rPr>
          <w:b/>
        </w:rPr>
        <w:t>7</w:t>
      </w:r>
      <w:r w:rsidR="00E077B4" w:rsidRPr="00F2736B">
        <w:rPr>
          <w:b/>
        </w:rPr>
        <w:t xml:space="preserve">. </w:t>
      </w:r>
      <w:r w:rsidR="00490197" w:rsidRPr="00F2736B">
        <w:rPr>
          <w:b/>
        </w:rPr>
        <w:t>Вписване в регистрите на КФН</w:t>
      </w:r>
      <w:bookmarkEnd w:id="51"/>
    </w:p>
    <w:p w14:paraId="29DF0B1B" w14:textId="351F7667" w:rsidR="00490197" w:rsidRPr="00F2736B" w:rsidRDefault="00815A09" w:rsidP="00F004B4">
      <w:pPr>
        <w:spacing w:line="276" w:lineRule="auto"/>
        <w:jc w:val="both"/>
        <w:rPr>
          <w:b/>
        </w:rPr>
      </w:pPr>
      <w:bookmarkStart w:id="52" w:name="_Toc78466459"/>
      <w:r w:rsidRPr="00F2736B">
        <w:rPr>
          <w:b/>
        </w:rPr>
        <w:t>7</w:t>
      </w:r>
      <w:r w:rsidR="00490197" w:rsidRPr="00F2736B">
        <w:rPr>
          <w:b/>
        </w:rPr>
        <w:t>.1</w:t>
      </w:r>
      <w:r w:rsidR="00206CDD" w:rsidRPr="00F2736B">
        <w:rPr>
          <w:b/>
        </w:rPr>
        <w:t>.</w:t>
      </w:r>
      <w:r w:rsidR="00490197" w:rsidRPr="00F2736B">
        <w:rPr>
          <w:b/>
        </w:rPr>
        <w:t xml:space="preserve"> </w:t>
      </w:r>
      <w:r w:rsidRPr="00F2736B">
        <w:rPr>
          <w:b/>
        </w:rPr>
        <w:t>Изготвяне на проекти на разпореждания за подлежащи на вписване</w:t>
      </w:r>
      <w:r w:rsidR="00F004B4">
        <w:rPr>
          <w:b/>
        </w:rPr>
        <w:t xml:space="preserve"> о</w:t>
      </w:r>
      <w:r w:rsidRPr="00F2736B">
        <w:rPr>
          <w:b/>
        </w:rPr>
        <w:t>бстоятелства във водените от КФН регистри</w:t>
      </w:r>
      <w:bookmarkEnd w:id="52"/>
    </w:p>
    <w:p w14:paraId="2FEC1E6B" w14:textId="651A2030" w:rsidR="00D9531A" w:rsidRPr="00F2736B" w:rsidRDefault="00D9531A" w:rsidP="00D9531A">
      <w:pPr>
        <w:spacing w:line="276" w:lineRule="auto"/>
        <w:ind w:firstLine="720"/>
        <w:jc w:val="both"/>
      </w:pPr>
      <w:r w:rsidRPr="00F2736B">
        <w:t xml:space="preserve">През първите 6 месеца на 2025 г. от дирекция </w:t>
      </w:r>
      <w:r w:rsidR="003C5005">
        <w:t>„Регулаторни режими на инвестиционната дейност“</w:t>
      </w:r>
      <w:r w:rsidRPr="00F2736B">
        <w:t xml:space="preserve"> са изготвени общо </w:t>
      </w:r>
      <w:r w:rsidRPr="00F2736B">
        <w:rPr>
          <w:lang w:val="en-US"/>
        </w:rPr>
        <w:t>5</w:t>
      </w:r>
      <w:r w:rsidRPr="00F2736B">
        <w:t xml:space="preserve">2 бр. заявки за обновяване на информацията на страницата на КФН във връзка с различни обстоятелства относно поднадзорните лица. </w:t>
      </w:r>
    </w:p>
    <w:p w14:paraId="6E33C8A2" w14:textId="70A73E18" w:rsidR="003C5005" w:rsidRDefault="003C5005" w:rsidP="004709C7">
      <w:pPr>
        <w:spacing w:line="276" w:lineRule="auto"/>
        <w:ind w:firstLine="720"/>
        <w:jc w:val="both"/>
      </w:pPr>
      <w:r>
        <w:t>П</w:t>
      </w:r>
      <w:r w:rsidRPr="00F2736B">
        <w:t xml:space="preserve">рез отчетния период </w:t>
      </w:r>
      <w:r>
        <w:t xml:space="preserve">от дирекция „Надзор на инвестиционната дейност“ </w:t>
      </w:r>
      <w:r w:rsidRPr="00F2736B">
        <w:t xml:space="preserve">са изготвени 32 броя заявки за обновяване </w:t>
      </w:r>
      <w:r>
        <w:t xml:space="preserve">на </w:t>
      </w:r>
      <w:r w:rsidRPr="00F2736B">
        <w:t>интернет страницата на КФН, въз основа на които е дадена публичност на документи, представляващи основно пр</w:t>
      </w:r>
      <w:r>
        <w:t>оспекти, ОИД и финансови отчети по</w:t>
      </w:r>
      <w:r w:rsidRPr="00564CE1">
        <w:t xml:space="preserve"> </w:t>
      </w:r>
      <w:r w:rsidRPr="00F2736B">
        <w:t>отношение на чуждестранни КИС с произход от друга държава-членка на ЕС, чиито дялове се предлагат на територията на Република България при условията на свободно предоставяне на услуги</w:t>
      </w:r>
      <w:r>
        <w:t>.</w:t>
      </w:r>
    </w:p>
    <w:p w14:paraId="524485EA" w14:textId="4775F6B1" w:rsidR="004709C7" w:rsidRPr="00F2736B" w:rsidRDefault="004709C7" w:rsidP="004709C7">
      <w:pPr>
        <w:spacing w:line="276" w:lineRule="auto"/>
        <w:ind w:firstLine="720"/>
        <w:jc w:val="both"/>
      </w:pPr>
      <w:r w:rsidRPr="00F2736B">
        <w:t xml:space="preserve">От м. януари до м. юни 2025 г. от </w:t>
      </w:r>
      <w:r w:rsidR="00F20EC8">
        <w:t>управление</w:t>
      </w:r>
      <w:r w:rsidR="00F20EC8" w:rsidRPr="00F2736B">
        <w:t xml:space="preserve"> </w:t>
      </w:r>
      <w:r w:rsidRPr="00F2736B">
        <w:t>„Застрахователен надзор” са изготвени общо</w:t>
      </w:r>
      <w:r w:rsidR="001F285D">
        <w:rPr>
          <w:lang w:val="en-US"/>
        </w:rPr>
        <w:t xml:space="preserve"> </w:t>
      </w:r>
      <w:r w:rsidRPr="00F2736B">
        <w:t xml:space="preserve">74 броя проекти на разпореждания за вписване на нормативно установени обстоятелства във водените от КФН публични регистри, които обхващат 66 разпореждания за нововъзникнали факти и обстоятелства, подлежащи на вписване във водените от КФН </w:t>
      </w:r>
      <w:r w:rsidRPr="00F2736B">
        <w:lastRenderedPageBreak/>
        <w:t>регистри и 8 разпореждания за установени факти и обстоятелства, в резултат на осъществяваната надзорна дейност.</w:t>
      </w:r>
    </w:p>
    <w:p w14:paraId="3848C6A7" w14:textId="02C0AA9B" w:rsidR="009C03D8" w:rsidRPr="00F2736B" w:rsidRDefault="009C03D8" w:rsidP="004709C7">
      <w:pPr>
        <w:spacing w:line="276" w:lineRule="auto"/>
        <w:ind w:firstLine="709"/>
        <w:jc w:val="both"/>
        <w:rPr>
          <w:lang w:bidi="bg-BG"/>
        </w:rPr>
      </w:pPr>
      <w:r w:rsidRPr="001F285D">
        <w:rPr>
          <w:lang w:bidi="bg-BG"/>
        </w:rPr>
        <w:t xml:space="preserve">През отчетния период експерти от дирекция „Регулаторни режими на осигурителния надзор“ са изготвили </w:t>
      </w:r>
      <w:r w:rsidR="00D95C05" w:rsidRPr="001F285D">
        <w:rPr>
          <w:lang w:bidi="bg-BG"/>
        </w:rPr>
        <w:t>63</w:t>
      </w:r>
      <w:r w:rsidRPr="001F285D">
        <w:rPr>
          <w:lang w:bidi="bg-BG"/>
        </w:rPr>
        <w:t xml:space="preserve"> броя </w:t>
      </w:r>
      <w:r w:rsidRPr="00F2736B">
        <w:rPr>
          <w:lang w:bidi="bg-BG"/>
        </w:rPr>
        <w:t>проекти на разпореждания за вписване на нормативно установени обстоятелства във водените от КФН публични регистри на пенсионноосигурителните дружества и управляваните от тях фондове и на професионалните схеми.</w:t>
      </w:r>
    </w:p>
    <w:p w14:paraId="08E187AC" w14:textId="6626B14B" w:rsidR="002B2755" w:rsidRPr="00F2736B" w:rsidRDefault="002B2755" w:rsidP="00F25901">
      <w:pPr>
        <w:spacing w:line="276" w:lineRule="auto"/>
        <w:ind w:firstLine="709"/>
        <w:jc w:val="both"/>
      </w:pPr>
      <w:r w:rsidRPr="00F2736B">
        <w:t>През отчетния период експерти от дирекция „Осиг</w:t>
      </w:r>
      <w:r w:rsidR="00164AD3" w:rsidRPr="00F2736B">
        <w:t>урителен надзор” са изготвили 51</w:t>
      </w:r>
      <w:r w:rsidRPr="00F2736B">
        <w:t xml:space="preserve"> броя разпореждания за вписване </w:t>
      </w:r>
      <w:r w:rsidR="00164AD3" w:rsidRPr="00F2736B">
        <w:t xml:space="preserve">в публичния регистър на КФН </w:t>
      </w:r>
      <w:r w:rsidRPr="00F2736B">
        <w:t>на одитираните финансови отчети</w:t>
      </w:r>
      <w:r w:rsidR="00164AD3" w:rsidRPr="00F2736B">
        <w:t xml:space="preserve"> на ФДПО и на ФИП към 31.12.2024</w:t>
      </w:r>
      <w:r w:rsidRPr="00F2736B">
        <w:t> г</w:t>
      </w:r>
      <w:r w:rsidRPr="00F2736B">
        <w:rPr>
          <w:bCs/>
        </w:rPr>
        <w:t>.</w:t>
      </w:r>
      <w:r w:rsidRPr="00F2736B">
        <w:t xml:space="preserve"> Също така текущо </w:t>
      </w:r>
      <w:r w:rsidR="003C5005">
        <w:t xml:space="preserve">се </w:t>
      </w:r>
      <w:r w:rsidRPr="00F2736B">
        <w:t>следят и информацията за влизането в сила на издадените от заместник - председателя наказателни постановления, споразумения и решения за приложени принудителни административни мерки, като през отчетния период не са изготвени разпореждания за вписване на такива обстоятелства.</w:t>
      </w:r>
    </w:p>
    <w:p w14:paraId="4F1E91C6" w14:textId="77777777" w:rsidR="00490197" w:rsidRPr="00F2736B" w:rsidRDefault="00490197" w:rsidP="00F25901">
      <w:pPr>
        <w:spacing w:line="276" w:lineRule="auto"/>
        <w:ind w:firstLine="709"/>
        <w:jc w:val="both"/>
        <w:rPr>
          <w:rFonts w:cstheme="minorHAnsi"/>
        </w:rPr>
      </w:pPr>
    </w:p>
    <w:p w14:paraId="62CB2CEC" w14:textId="77777777" w:rsidR="00490197" w:rsidRPr="00F2736B" w:rsidRDefault="00EE1DBB" w:rsidP="00F25901">
      <w:pPr>
        <w:spacing w:line="276" w:lineRule="auto"/>
        <w:rPr>
          <w:b/>
        </w:rPr>
      </w:pPr>
      <w:bookmarkStart w:id="53" w:name="_Toc78466460"/>
      <w:r w:rsidRPr="00F2736B">
        <w:rPr>
          <w:b/>
        </w:rPr>
        <w:t>7</w:t>
      </w:r>
      <w:r w:rsidR="00490197" w:rsidRPr="00F2736B">
        <w:rPr>
          <w:b/>
        </w:rPr>
        <w:t>.2</w:t>
      </w:r>
      <w:r w:rsidR="00206CDD" w:rsidRPr="00F2736B">
        <w:rPr>
          <w:b/>
        </w:rPr>
        <w:t>.</w:t>
      </w:r>
      <w:r w:rsidR="00490197" w:rsidRPr="00F2736B">
        <w:rPr>
          <w:b/>
        </w:rPr>
        <w:t xml:space="preserve"> </w:t>
      </w:r>
      <w:r w:rsidRPr="00F2736B">
        <w:rPr>
          <w:b/>
        </w:rPr>
        <w:t>Вписване на обстоятелства в регистрите на КФН</w:t>
      </w:r>
      <w:bookmarkEnd w:id="53"/>
    </w:p>
    <w:p w14:paraId="32813565" w14:textId="18090335" w:rsidR="003C5005" w:rsidRPr="00F2736B" w:rsidRDefault="003C5005" w:rsidP="003C5005">
      <w:pPr>
        <w:spacing w:line="276" w:lineRule="auto"/>
        <w:ind w:firstLine="720"/>
        <w:jc w:val="both"/>
      </w:pPr>
      <w:r>
        <w:t xml:space="preserve">През първите шест месеца на 2025 г. от управление „Надзор на инвестиционната дейност“ са извършени общо 3462 бр. вписвания на обстоятелства във </w:t>
      </w:r>
      <w:r w:rsidRPr="00F2736B">
        <w:t xml:space="preserve">водените от КФН регистри, </w:t>
      </w:r>
      <w:r>
        <w:t xml:space="preserve">от които 74 бр. на </w:t>
      </w:r>
      <w:r w:rsidRPr="00F2736B">
        <w:t>новорегистрирани поднадзорни лица и правил</w:t>
      </w:r>
      <w:r>
        <w:t xml:space="preserve">а, в които са одобрени промени, 112 бр., които включват обстоятелства както за </w:t>
      </w:r>
      <w:r w:rsidRPr="00F2736B">
        <w:t>новорегистрирани</w:t>
      </w:r>
      <w:r>
        <w:t xml:space="preserve"> поднадзорни лица, така и за обновяване на информацията на интернет страницата на КФН относно одобрени проспекти към проспекти, актуализиране на списъци и нотификации, прессъобщения и др., 536 бр. обстоятелства </w:t>
      </w:r>
      <w:r w:rsidRPr="00F2736B">
        <w:t>в резултат на осъществяваната надзорна дейност</w:t>
      </w:r>
      <w:r w:rsidRPr="005953B8">
        <w:t xml:space="preserve"> </w:t>
      </w:r>
      <w:r>
        <w:t xml:space="preserve">и допълнителни 2740 бр., </w:t>
      </w:r>
      <w:r w:rsidRPr="00F2736B">
        <w:t>представляващи основно проспекти, ОИД и финансови отчети</w:t>
      </w:r>
      <w:r>
        <w:t xml:space="preserve"> </w:t>
      </w:r>
      <w:r w:rsidRPr="00F2736B">
        <w:t>на чуждестранни КИС с произход от друга държава-членка на ЕС, чиито дялове се предлагат на територията на Република България при условията на свободно предоставяне на услуги</w:t>
      </w:r>
      <w:r>
        <w:t>.</w:t>
      </w:r>
    </w:p>
    <w:p w14:paraId="776E9AE7" w14:textId="608C11F2" w:rsidR="00AF28E5" w:rsidRPr="00F2736B" w:rsidRDefault="00AF28E5" w:rsidP="00AF28E5">
      <w:pPr>
        <w:spacing w:line="276" w:lineRule="auto"/>
        <w:ind w:firstLine="720"/>
        <w:jc w:val="both"/>
      </w:pPr>
      <w:r w:rsidRPr="00F2736B">
        <w:t xml:space="preserve">През първите 6 месеца на 2025 г. с разпорежданията от управление „Застрахователен надзор“ са извършени общо 235 вписвания на обстоятелства във водените от КФН регистри, като по отношение на нововъзникнали факти и обстоятелства по наложени административни санкции, са вписани 225 </w:t>
      </w:r>
      <w:r w:rsidR="00F63726" w:rsidRPr="00F2736B">
        <w:t xml:space="preserve">обстоятелства, </w:t>
      </w:r>
      <w:r w:rsidRPr="00F2736B">
        <w:t>по отношение на установени факти и обстоятелства, в резултат на осъществяваната надзорна дейност, са вписани 10 обстоятелства.</w:t>
      </w:r>
    </w:p>
    <w:p w14:paraId="04803EAF" w14:textId="05C526D0" w:rsidR="000771E1" w:rsidRPr="00F2736B" w:rsidRDefault="000771E1" w:rsidP="00AF28E5">
      <w:pPr>
        <w:spacing w:line="276" w:lineRule="auto"/>
        <w:ind w:firstLine="720"/>
        <w:jc w:val="both"/>
        <w:rPr>
          <w:rFonts w:cstheme="minorHAnsi"/>
        </w:rPr>
      </w:pPr>
      <w:r w:rsidRPr="00F2736B">
        <w:t xml:space="preserve">През отчетния период от управление „Осигурителен надзор“ са извършени общо </w:t>
      </w:r>
      <w:r w:rsidR="00062B50" w:rsidRPr="00F2736B">
        <w:t>4608</w:t>
      </w:r>
      <w:r w:rsidRPr="00F2736B">
        <w:t xml:space="preserve"> вписвания на обстоятелства във водените от КФН публични регистри на  пенсионноосигурителните дружества и управляваните от тях пенсионни фондове и на професионалните схеми, фондовете за извършване на плащания, както и на осигурителните посредници на дружествата за допълнително социално осигуряване.</w:t>
      </w:r>
    </w:p>
    <w:p w14:paraId="46F18170" w14:textId="77777777" w:rsidR="00245031" w:rsidRPr="00F2736B" w:rsidRDefault="00245031" w:rsidP="00F25901">
      <w:pPr>
        <w:spacing w:line="276" w:lineRule="auto"/>
        <w:ind w:firstLine="709"/>
        <w:jc w:val="both"/>
        <w:rPr>
          <w:rFonts w:cstheme="minorHAnsi"/>
        </w:rPr>
      </w:pPr>
    </w:p>
    <w:p w14:paraId="39FF7291" w14:textId="77777777" w:rsidR="00490197" w:rsidRPr="00F2736B" w:rsidRDefault="00815A09" w:rsidP="00F25901">
      <w:pPr>
        <w:spacing w:line="276" w:lineRule="auto"/>
        <w:jc w:val="both"/>
      </w:pPr>
      <w:bookmarkStart w:id="54" w:name="_Toc78466461"/>
      <w:r w:rsidRPr="00F2736B">
        <w:rPr>
          <w:b/>
        </w:rPr>
        <w:t>8</w:t>
      </w:r>
      <w:r w:rsidR="00490197" w:rsidRPr="00F2736B">
        <w:rPr>
          <w:b/>
        </w:rPr>
        <w:t xml:space="preserve">. </w:t>
      </w:r>
      <w:r w:rsidRPr="00F2736B">
        <w:rPr>
          <w:b/>
        </w:rPr>
        <w:t>Извършване на дистанционни проверки за законосъобразно упражняване на дейността на поднадзорните на КФН лица</w:t>
      </w:r>
      <w:bookmarkEnd w:id="54"/>
    </w:p>
    <w:p w14:paraId="597BC75A" w14:textId="0B41000D" w:rsidR="00394D6B" w:rsidRPr="00F2736B" w:rsidRDefault="00394D6B" w:rsidP="00394D6B">
      <w:pPr>
        <w:spacing w:line="276" w:lineRule="auto"/>
        <w:ind w:firstLine="709"/>
        <w:jc w:val="both"/>
      </w:pPr>
      <w:r w:rsidRPr="00F2736B">
        <w:t xml:space="preserve">Дистанционните проверки, свързани с текущия надзор, обхващат проверка на постъпващата периодична информация в КФН – индивидуални и консолидирани междинни </w:t>
      </w:r>
      <w:r w:rsidRPr="00F2736B">
        <w:lastRenderedPageBreak/>
        <w:t xml:space="preserve">финансови отчети/уведомления; провеждането на ОСА, уведомления относно вътрешната и важната информация за поднадзорните лица. На следващо място се извършва проверка на информацията, постъпваща в КФН, по отношение на оповестяваната информация на интернет страниците на управляващите дружествата, предназначена за уведомяване на обществеността. По отношение на извършването на дистанционни проверки за законосъобразно упражняване на дейността на поднадзорните на КФН лица наред с периодичните дистанционни проверки се извършват и ежедневни проверки на някои от поднадзорните лица. Отделно от посоченото при възникване на определени обстоятелства с цел превантивен контрол или за изясняване на ситуацията се извършват проверки по конкретната тематика. </w:t>
      </w:r>
    </w:p>
    <w:p w14:paraId="7C9BADD2" w14:textId="34A68979" w:rsidR="00394D6B" w:rsidRPr="00F2736B" w:rsidRDefault="00394D6B" w:rsidP="00394D6B">
      <w:pPr>
        <w:spacing w:line="276" w:lineRule="auto"/>
        <w:ind w:firstLine="709"/>
        <w:jc w:val="both"/>
      </w:pPr>
      <w:r w:rsidRPr="00F2736B">
        <w:t xml:space="preserve">През отчетния период, първо полугодие на 2025 г., от дирекция НИД са извършени общо 19 746 бр. дистанционни проверки, като се наблюдава обща тенденция на нарастване броя на дистанционните проверки, свързани с текущия надзор на дейността на поднадзорните лица. Разгледани по сектори през отчетния период, дистанционните проверки свързани с текущия надзор в дирекция НИД са, както следва:  отдел „Надзор на предприятия за колективно инвестиране“ – 5 142 бр. проверки; отдел </w:t>
      </w:r>
      <w:r w:rsidR="003F78BD">
        <w:t>„</w:t>
      </w:r>
      <w:r w:rsidR="003F78BD" w:rsidRPr="003F78BD">
        <w:t>Надзор на доставчици на инвестиционни услуги и места на търговия</w:t>
      </w:r>
      <w:r w:rsidR="003F78BD">
        <w:t>“</w:t>
      </w:r>
      <w:r w:rsidRPr="00F2736B">
        <w:t xml:space="preserve"> 8 344 бр. проверки; отдел </w:t>
      </w:r>
      <w:r w:rsidR="003F78BD">
        <w:t>„</w:t>
      </w:r>
      <w:r w:rsidR="003F78BD" w:rsidRPr="003F78BD">
        <w:t>Надзор на публични дружества, емитенти на ценни книжа и ДСИЦ</w:t>
      </w:r>
      <w:r w:rsidR="003F78BD">
        <w:t>“</w:t>
      </w:r>
      <w:r w:rsidRPr="00F2736B">
        <w:t xml:space="preserve"> 6 260 бр. проверки.</w:t>
      </w:r>
    </w:p>
    <w:p w14:paraId="7DB4B04E" w14:textId="4618F41C" w:rsidR="00ED39E7" w:rsidRPr="00F2736B" w:rsidRDefault="00ED39E7" w:rsidP="00ED39E7">
      <w:pPr>
        <w:spacing w:line="276" w:lineRule="auto"/>
        <w:ind w:firstLine="709"/>
        <w:jc w:val="both"/>
        <w:rPr>
          <w:rFonts w:cstheme="minorHAnsi"/>
        </w:rPr>
      </w:pPr>
      <w:r w:rsidRPr="00F2736B">
        <w:rPr>
          <w:rFonts w:cstheme="minorHAnsi"/>
        </w:rPr>
        <w:t xml:space="preserve">На база на получените периодични справки и отчети от застрахователните и презастрахователни предприятия по чл. 126, ал. 1 от КЗ, през първото полугодие на 2025 г. са извършени 216 дистанционни проверки. </w:t>
      </w:r>
    </w:p>
    <w:p w14:paraId="17DC8F15" w14:textId="5DD20335" w:rsidR="00ED39E7" w:rsidRPr="00F2736B" w:rsidRDefault="00ED39E7" w:rsidP="00ED39E7">
      <w:pPr>
        <w:spacing w:line="276" w:lineRule="auto"/>
        <w:ind w:firstLine="709"/>
        <w:jc w:val="both"/>
        <w:rPr>
          <w:rFonts w:cstheme="minorHAnsi"/>
        </w:rPr>
      </w:pPr>
      <w:r w:rsidRPr="00F2736B">
        <w:rPr>
          <w:rFonts w:cstheme="minorHAnsi"/>
        </w:rPr>
        <w:t>Съгласно чл. 311, ал. 3, т. 1 от КЗ, застрахователните брокери представят в КФН годишни справки и отчети – в срок до 31 януари на годината, следваща годината, за която се отнасят, по об</w:t>
      </w:r>
      <w:r w:rsidR="00E505C3" w:rsidRPr="00F2736B">
        <w:rPr>
          <w:rFonts w:cstheme="minorHAnsi"/>
        </w:rPr>
        <w:t xml:space="preserve">разец, утвърден със Заповед № </w:t>
      </w:r>
      <w:r w:rsidRPr="00F2736B">
        <w:rPr>
          <w:rFonts w:cstheme="minorHAnsi"/>
        </w:rPr>
        <w:t>З-169 от 08.06.2022 г. на заместник-председателя, ръководещ управление „Застрахователен надзор“, през  първото полугодие на 2025 г. са извършени проверки на 343 застрахователни брокера, които са извършвали дейност през отчетната 2024 г. В резултат на дистанционните проверки, са актуализирани подадените данни от 343 застрахователни брок</w:t>
      </w:r>
      <w:r w:rsidR="00790202" w:rsidRPr="00F2736B">
        <w:rPr>
          <w:rFonts w:cstheme="minorHAnsi"/>
        </w:rPr>
        <w:t>ера, на 1 e съставен АУАН за не</w:t>
      </w:r>
      <w:r w:rsidRPr="00F2736B">
        <w:rPr>
          <w:rFonts w:cstheme="minorHAnsi"/>
        </w:rPr>
        <w:t>представянето на годишните справки и отчети в законоустановения срок.</w:t>
      </w:r>
    </w:p>
    <w:p w14:paraId="0369DE17" w14:textId="7066DDCE" w:rsidR="00ED39E7" w:rsidRPr="00F2736B" w:rsidRDefault="00ED39E7" w:rsidP="00ED39E7">
      <w:pPr>
        <w:spacing w:line="276" w:lineRule="auto"/>
        <w:ind w:firstLine="709"/>
        <w:jc w:val="both"/>
        <w:rPr>
          <w:rFonts w:cstheme="minorHAnsi"/>
        </w:rPr>
      </w:pPr>
      <w:r w:rsidRPr="00F2736B">
        <w:rPr>
          <w:rFonts w:cstheme="minorHAnsi"/>
        </w:rPr>
        <w:t>Предвид горното, през полугодието са извършени общо 559 дистанционни проверки, с което се наблюдава изпълнение на времевия план на заложените 1060 бр. в годишната бюджетна прогноза за 2025 г.</w:t>
      </w:r>
    </w:p>
    <w:p w14:paraId="27E93214" w14:textId="2A47172A" w:rsidR="002B2755" w:rsidRPr="00F2736B" w:rsidRDefault="002B2755" w:rsidP="00F25901">
      <w:pPr>
        <w:spacing w:line="276" w:lineRule="auto"/>
        <w:ind w:firstLine="709"/>
        <w:jc w:val="both"/>
        <w:rPr>
          <w:rFonts w:cstheme="minorHAnsi"/>
        </w:rPr>
      </w:pPr>
      <w:r w:rsidRPr="00F2736B">
        <w:rPr>
          <w:rFonts w:cstheme="minorHAnsi"/>
        </w:rPr>
        <w:t xml:space="preserve">Наред с дейността по предварителен надзор, Управление „Осигурителен надзор“ продължава да </w:t>
      </w:r>
      <w:r w:rsidR="00E96874" w:rsidRPr="00F2736B">
        <w:rPr>
          <w:rFonts w:cstheme="minorHAnsi"/>
        </w:rPr>
        <w:t>осъществява</w:t>
      </w:r>
      <w:r w:rsidRPr="00F2736B">
        <w:rPr>
          <w:rFonts w:cstheme="minorHAnsi"/>
        </w:rPr>
        <w:t xml:space="preserve"> и текущ надзор за законос</w:t>
      </w:r>
      <w:r w:rsidR="00D278B2" w:rsidRPr="00F2736B">
        <w:rPr>
          <w:rFonts w:cstheme="minorHAnsi"/>
        </w:rPr>
        <w:t xml:space="preserve">ъобразност върху дейността на </w:t>
      </w:r>
      <w:r w:rsidRPr="00F2736B">
        <w:rPr>
          <w:rFonts w:cstheme="minorHAnsi"/>
        </w:rPr>
        <w:t>ПОД, ФДПО</w:t>
      </w:r>
      <w:r w:rsidR="00D278B2" w:rsidRPr="00F2736B">
        <w:rPr>
          <w:rFonts w:cstheme="minorHAnsi"/>
          <w:lang w:val="en-US"/>
        </w:rPr>
        <w:t>,</w:t>
      </w:r>
      <w:r w:rsidRPr="00F2736B">
        <w:rPr>
          <w:rFonts w:cstheme="minorHAnsi"/>
        </w:rPr>
        <w:t xml:space="preserve"> </w:t>
      </w:r>
      <w:r w:rsidR="00D278B2" w:rsidRPr="00F2736B">
        <w:rPr>
          <w:rFonts w:cstheme="minorHAnsi"/>
        </w:rPr>
        <w:t>ФИП</w:t>
      </w:r>
      <w:r w:rsidRPr="00F2736B">
        <w:rPr>
          <w:rFonts w:cstheme="minorHAnsi"/>
        </w:rPr>
        <w:t xml:space="preserve"> и върху дейността на банките – попечители (БП) по КСО. Текущ надзор при поднадзорните лица се осъществява, както дистанционно така и чрез проверки на място. Дистанционно се извършват и документални проверки на постъпили жалби на осигурени лица и сигнали от ПОД.</w:t>
      </w:r>
    </w:p>
    <w:p w14:paraId="3832F22C" w14:textId="76FF6414" w:rsidR="002B2755" w:rsidRPr="00F2736B" w:rsidRDefault="002B2755" w:rsidP="00F25901">
      <w:pPr>
        <w:spacing w:line="276" w:lineRule="auto"/>
        <w:ind w:firstLine="709"/>
        <w:jc w:val="both"/>
        <w:rPr>
          <w:rFonts w:cstheme="minorHAnsi"/>
        </w:rPr>
      </w:pPr>
      <w:r w:rsidRPr="00F2736B">
        <w:rPr>
          <w:rFonts w:cstheme="minorHAnsi"/>
        </w:rPr>
        <w:t xml:space="preserve">Управление „Осигурителен надзор“ осъществява дистанционен надзор на база на финансови отчети и справки за дейността на пенсионноосигурителните дружества, управляваните от тях </w:t>
      </w:r>
      <w:r w:rsidR="00E96874" w:rsidRPr="00F2736B">
        <w:rPr>
          <w:rFonts w:cstheme="minorHAnsi"/>
        </w:rPr>
        <w:t>фондове и на БП</w:t>
      </w:r>
      <w:r w:rsidRPr="00F2736B">
        <w:rPr>
          <w:rFonts w:cstheme="minorHAnsi"/>
        </w:rPr>
        <w:t xml:space="preserve"> със следната периодичност на представяне:</w:t>
      </w:r>
    </w:p>
    <w:p w14:paraId="158151B6" w14:textId="77777777" w:rsidR="002B2755" w:rsidRPr="00F2736B" w:rsidRDefault="002B2755" w:rsidP="00F25901">
      <w:pPr>
        <w:spacing w:line="276" w:lineRule="auto"/>
        <w:ind w:firstLine="709"/>
        <w:jc w:val="both"/>
        <w:rPr>
          <w:rFonts w:cstheme="minorHAnsi"/>
        </w:rPr>
      </w:pPr>
      <w:r w:rsidRPr="00F2736B">
        <w:rPr>
          <w:rFonts w:cstheme="minorHAnsi"/>
        </w:rPr>
        <w:lastRenderedPageBreak/>
        <w:t>•</w:t>
      </w:r>
      <w:r w:rsidRPr="00F2736B">
        <w:rPr>
          <w:rFonts w:cstheme="minorHAnsi"/>
        </w:rPr>
        <w:tab/>
        <w:t>ежедневно - за дейността на ФДПО, ФИП и банките - попечители;</w:t>
      </w:r>
    </w:p>
    <w:p w14:paraId="1D2870C9" w14:textId="77777777" w:rsidR="002B2755" w:rsidRPr="00F2736B" w:rsidRDefault="002B2755" w:rsidP="00F25901">
      <w:pPr>
        <w:spacing w:line="276" w:lineRule="auto"/>
        <w:ind w:firstLine="709"/>
        <w:jc w:val="both"/>
        <w:rPr>
          <w:rFonts w:cstheme="minorHAnsi"/>
        </w:rPr>
      </w:pPr>
      <w:r w:rsidRPr="00F2736B">
        <w:rPr>
          <w:rFonts w:cstheme="minorHAnsi"/>
        </w:rPr>
        <w:t>•</w:t>
      </w:r>
      <w:r w:rsidRPr="00F2736B">
        <w:rPr>
          <w:rFonts w:cstheme="minorHAnsi"/>
        </w:rPr>
        <w:tab/>
        <w:t>периодично - месечно, тримесечно и годишно - за дейността на ПОД, ФДПО и ФИП.</w:t>
      </w:r>
    </w:p>
    <w:p w14:paraId="337B954E" w14:textId="77777777" w:rsidR="002B2755" w:rsidRPr="00F2736B" w:rsidRDefault="002B2755" w:rsidP="00F25901">
      <w:pPr>
        <w:spacing w:line="276" w:lineRule="auto"/>
        <w:ind w:firstLine="709"/>
        <w:jc w:val="both"/>
        <w:rPr>
          <w:rFonts w:cstheme="minorHAnsi"/>
        </w:rPr>
      </w:pPr>
      <w:r w:rsidRPr="00F2736B">
        <w:rPr>
          <w:b/>
        </w:rPr>
        <w:t>Ежедневен надзор</w:t>
      </w:r>
    </w:p>
    <w:p w14:paraId="271B935A" w14:textId="138869B0" w:rsidR="002B2755" w:rsidRPr="00F2736B" w:rsidRDefault="002B2755" w:rsidP="00F25901">
      <w:pPr>
        <w:spacing w:line="276" w:lineRule="auto"/>
        <w:ind w:firstLine="709"/>
        <w:jc w:val="both"/>
        <w:rPr>
          <w:rFonts w:cstheme="minorHAnsi"/>
        </w:rPr>
      </w:pPr>
      <w:r w:rsidRPr="00F2736B">
        <w:t xml:space="preserve">На базата на ежедневно получаваните от ПОД и от банките-попечители справки за дейността на фондовете, </w:t>
      </w:r>
      <w:r w:rsidR="00C83D33" w:rsidRPr="00F2736B">
        <w:t>през първите шест месеца на 2025</w:t>
      </w:r>
      <w:r w:rsidRPr="00F2736B">
        <w:t xml:space="preserve"> г. са извършени </w:t>
      </w:r>
      <w:r w:rsidR="00C83D33" w:rsidRPr="00F2736B">
        <w:rPr>
          <w:color w:val="000000" w:themeColor="text1"/>
        </w:rPr>
        <w:t>6222</w:t>
      </w:r>
      <w:r w:rsidRPr="00F2736B">
        <w:rPr>
          <w:color w:val="000000" w:themeColor="text1"/>
        </w:rPr>
        <w:t xml:space="preserve"> </w:t>
      </w:r>
      <w:r w:rsidRPr="00F2736B">
        <w:t xml:space="preserve">ежедневни проверки на получената информация за дейността на ФДПО, ФИП и на </w:t>
      </w:r>
      <w:r w:rsidR="00C83D33" w:rsidRPr="00F2736B">
        <w:t>БП</w:t>
      </w:r>
      <w:r w:rsidRPr="00F2736B">
        <w:t xml:space="preserve">. </w:t>
      </w:r>
      <w:r w:rsidRPr="00F2736B">
        <w:rPr>
          <w:rFonts w:cstheme="minorHAnsi"/>
        </w:rPr>
        <w:t>При извършените проверки се следи за законосъобразността на сключените сделки с активите на фондове</w:t>
      </w:r>
      <w:r w:rsidR="00E1265C">
        <w:rPr>
          <w:rFonts w:cstheme="minorHAnsi"/>
        </w:rPr>
        <w:t>те</w:t>
      </w:r>
      <w:r w:rsidRPr="00F2736B">
        <w:rPr>
          <w:rFonts w:cstheme="minorHAnsi"/>
        </w:rPr>
        <w:t xml:space="preserve">, в т.ч. спазването на законовите ограничения, на забраните при инвестиране на активите на фондовете, на притежаваните инвестиции в един емитент, на начина на извършване на оценката на активите и правилното им отразяване от ПОД и по регистрите на банките - попечители. При осъществявания ежедневен надзор се следи </w:t>
      </w:r>
      <w:r w:rsidR="00C83D33" w:rsidRPr="00F2736B">
        <w:rPr>
          <w:rFonts w:cstheme="minorHAnsi"/>
        </w:rPr>
        <w:t xml:space="preserve">също </w:t>
      </w:r>
      <w:r w:rsidRPr="00F2736B">
        <w:rPr>
          <w:rFonts w:cstheme="minorHAnsi"/>
        </w:rPr>
        <w:t xml:space="preserve">и за правилното отчисляване на инвестиционната такса и удръжката от всяка осигурителна вноска във фондовете за допълнително задължително пенсионно осигуряване, изменението на стойността на нетните активи, правилното определяне на броя дялове, съответстващ на постъпилите и изтеглени суми, както и правилното изчисляване на стойността на един дял. </w:t>
      </w:r>
      <w:r w:rsidRPr="00F2736B">
        <w:t xml:space="preserve">По отношение на фондовете за извършване на плащания се следи и за правилното отчисляване на таксата по чл. 201, ал. 1, т. 3 от КСО. </w:t>
      </w:r>
      <w:r w:rsidRPr="00F2736B">
        <w:rPr>
          <w:rFonts w:cstheme="minorHAnsi"/>
        </w:rPr>
        <w:t>Резултатите от ежедневия надзор са отразени</w:t>
      </w:r>
      <w:r w:rsidR="00E1265C">
        <w:rPr>
          <w:rFonts w:cstheme="minorHAnsi"/>
        </w:rPr>
        <w:t>,</w:t>
      </w:r>
      <w:r w:rsidRPr="00F2736B">
        <w:rPr>
          <w:rFonts w:cstheme="minorHAnsi"/>
        </w:rPr>
        <w:t xml:space="preserve"> </w:t>
      </w:r>
      <w:r w:rsidR="00C83D33" w:rsidRPr="00F2736B">
        <w:rPr>
          <w:rFonts w:cstheme="minorHAnsi"/>
        </w:rPr>
        <w:t xml:space="preserve">както в ежедневните отчети, така и </w:t>
      </w:r>
      <w:r w:rsidRPr="00F2736B">
        <w:rPr>
          <w:rFonts w:cstheme="minorHAnsi"/>
        </w:rPr>
        <w:t>в аналитични</w:t>
      </w:r>
      <w:r w:rsidR="00C83D33" w:rsidRPr="00F2736B">
        <w:rPr>
          <w:rFonts w:cstheme="minorHAnsi"/>
        </w:rPr>
        <w:t>те</w:t>
      </w:r>
      <w:r w:rsidRPr="00F2736B">
        <w:rPr>
          <w:rFonts w:cstheme="minorHAnsi"/>
        </w:rPr>
        <w:t xml:space="preserve"> месечни доклади за дейността на всяко ПОД и управляваните от него </w:t>
      </w:r>
      <w:r w:rsidR="00C83D33" w:rsidRPr="00F2736B">
        <w:rPr>
          <w:rFonts w:cstheme="minorHAnsi"/>
        </w:rPr>
        <w:t>фондове</w:t>
      </w:r>
      <w:r w:rsidRPr="00F2736B">
        <w:rPr>
          <w:rFonts w:cstheme="minorHAnsi"/>
        </w:rPr>
        <w:t>, както и ad-hoc в доклади и докладни записки.</w:t>
      </w:r>
      <w:r w:rsidRPr="00F2736B">
        <w:rPr>
          <w:rFonts w:cstheme="minorHAnsi"/>
          <w:lang w:val="en-US"/>
        </w:rPr>
        <w:t xml:space="preserve"> </w:t>
      </w:r>
      <w:r w:rsidRPr="00F2736B">
        <w:rPr>
          <w:rFonts w:cstheme="minorHAnsi"/>
        </w:rPr>
        <w:t xml:space="preserve">  </w:t>
      </w:r>
    </w:p>
    <w:p w14:paraId="67F09825" w14:textId="77777777" w:rsidR="002B2755" w:rsidRPr="00F2736B" w:rsidRDefault="002B2755" w:rsidP="00F25901">
      <w:pPr>
        <w:spacing w:line="276" w:lineRule="auto"/>
        <w:ind w:firstLine="709"/>
        <w:jc w:val="both"/>
        <w:rPr>
          <w:rFonts w:cstheme="minorHAnsi"/>
        </w:rPr>
      </w:pPr>
      <w:r w:rsidRPr="00F2736B">
        <w:rPr>
          <w:b/>
        </w:rPr>
        <w:t>Периодичен надзор</w:t>
      </w:r>
    </w:p>
    <w:p w14:paraId="1409A2FA" w14:textId="4A0CDBF3" w:rsidR="002B2755" w:rsidRPr="00F2736B" w:rsidRDefault="00EA22D4" w:rsidP="00F25901">
      <w:pPr>
        <w:spacing w:before="60" w:after="60" w:line="276" w:lineRule="auto"/>
        <w:ind w:firstLine="709"/>
        <w:jc w:val="both"/>
      </w:pPr>
      <w:r w:rsidRPr="00F2736B">
        <w:t>През първо шестмесечие на 2025</w:t>
      </w:r>
      <w:r w:rsidR="002B2755" w:rsidRPr="00F2736B">
        <w:t xml:space="preserve"> г. са извършени </w:t>
      </w:r>
      <w:r w:rsidRPr="00F2736B">
        <w:t xml:space="preserve">общо </w:t>
      </w:r>
      <w:r w:rsidR="002B2755" w:rsidRPr="00F2736B">
        <w:t>70 проверки на представените месечни и годишни финансови отчети и справки за дейността на всяко от лицензираните ПО</w:t>
      </w:r>
      <w:r w:rsidRPr="00F2736B">
        <w:t>Д и общо 357</w:t>
      </w:r>
      <w:r w:rsidR="002B2755" w:rsidRPr="00F2736B">
        <w:t xml:space="preserve"> проверки на представените месечни и годишни финансови отчети и справки за дейността на управляваните от пенсионноосигурителните дружества фондове. На база информацията от финансовите отчети и справки са изчислени и съблюдавани нормативните показатели за дейността на ПОД и управляваните фондове, чрез които ежемесечно се следи за законосъобразното осъществяване на дейността на ПОД. Нормативно определените показатели са съотношение на собствените средства и границата на платежоспособност на ПОД, ликвидност на ПОД и на фондовете, резерв за гарантиране на минималната доходност за фондовете за допълнително задължително пенсионно осигуряване и резерв за гарантиране на брутните вноски (за универсалните пенсионни фондове). </w:t>
      </w:r>
      <w:r w:rsidRPr="00F2736B">
        <w:t>На месечна база също</w:t>
      </w:r>
      <w:r w:rsidR="002B2755" w:rsidRPr="00F2736B">
        <w:t xml:space="preserve"> са анализирани ръстът на активите </w:t>
      </w:r>
      <w:r w:rsidR="002B2755" w:rsidRPr="00F2736B">
        <w:rPr>
          <w:lang w:val="ru-RU"/>
        </w:rPr>
        <w:t>(</w:t>
      </w:r>
      <w:r w:rsidR="002B2755" w:rsidRPr="00F2736B">
        <w:t>балансови и нетни</w:t>
      </w:r>
      <w:r w:rsidR="002B2755" w:rsidRPr="00F2736B">
        <w:rPr>
          <w:lang w:val="ru-RU"/>
        </w:rPr>
        <w:t>)</w:t>
      </w:r>
      <w:r w:rsidR="002B2755" w:rsidRPr="00F2736B">
        <w:t xml:space="preserve"> и на осигурените лица във фондовете за допълнително пенсионно осигуряване, инвестициите и доходността на пенсионните фондове, отчислената инвестиционна такса за ПОД от ДПФ и ДПФПС, такса управление от осигурителните вноски на ДПФ и на ДПФПС, както и ръстът на активите и инвестициите във фондовете за извършване на плащания. На база информацията от годишните отчети и справки</w:t>
      </w:r>
      <w:r w:rsidR="009F2D68" w:rsidRPr="00F2736B">
        <w:t>, подадени</w:t>
      </w:r>
      <w:r w:rsidR="002B2755" w:rsidRPr="00F2736B">
        <w:t xml:space="preserve"> през периода</w:t>
      </w:r>
      <w:r w:rsidR="009F2D68" w:rsidRPr="00F2736B">
        <w:t>,</w:t>
      </w:r>
      <w:r w:rsidR="002B2755" w:rsidRPr="00F2736B">
        <w:t xml:space="preserve"> са изчислени и анализирани и общите финансови показатели. Тези показатели са свързани, както с </w:t>
      </w:r>
      <w:r w:rsidR="002B2755" w:rsidRPr="00F2736B">
        <w:lastRenderedPageBreak/>
        <w:t xml:space="preserve">дейността на ПОД - собствен капитал, активи, приходи и разходи на ПОД, така и с дейността на фондовете - активи, участници, инвестиции и доход на фондовете. </w:t>
      </w:r>
    </w:p>
    <w:p w14:paraId="281EA219" w14:textId="6F75E479" w:rsidR="002B2755" w:rsidRPr="00F2736B" w:rsidRDefault="002B2755" w:rsidP="00F25901">
      <w:pPr>
        <w:pStyle w:val="ListParagraph"/>
        <w:tabs>
          <w:tab w:val="left" w:pos="993"/>
        </w:tabs>
        <w:spacing w:line="276" w:lineRule="auto"/>
        <w:ind w:left="0" w:firstLine="709"/>
        <w:contextualSpacing w:val="0"/>
        <w:jc w:val="both"/>
      </w:pPr>
      <w:r w:rsidRPr="00F2736B">
        <w:t xml:space="preserve">През </w:t>
      </w:r>
      <w:r w:rsidR="009F2D68" w:rsidRPr="00F2736B">
        <w:t>първо и второ тримесечие на 2025</w:t>
      </w:r>
      <w:r w:rsidRPr="00F2736B">
        <w:t xml:space="preserve"> г. са</w:t>
      </w:r>
      <w:r w:rsidRPr="00F2736B">
        <w:rPr>
          <w:color w:val="FF0000"/>
        </w:rPr>
        <w:t xml:space="preserve"> </w:t>
      </w:r>
      <w:r w:rsidRPr="00F2736B">
        <w:t>извършвани междинни изчисления на постигнатата от ФДПО доходност към произволни дати с цел определяне на риска от непостигане на минималната доходност и рисковете по отношение на нейното покриване съгласно нормативните изисквания.</w:t>
      </w:r>
    </w:p>
    <w:p w14:paraId="4667A757" w14:textId="77777777" w:rsidR="002B2755" w:rsidRPr="00F2736B" w:rsidRDefault="002B2755" w:rsidP="002B2755">
      <w:pPr>
        <w:spacing w:line="276" w:lineRule="auto"/>
        <w:ind w:firstLine="709"/>
        <w:jc w:val="both"/>
      </w:pPr>
    </w:p>
    <w:p w14:paraId="118B950B" w14:textId="77777777" w:rsidR="002B2755" w:rsidRPr="00F2736B" w:rsidRDefault="002B2755" w:rsidP="002B2755">
      <w:pPr>
        <w:spacing w:line="276" w:lineRule="auto"/>
        <w:ind w:firstLine="709"/>
        <w:jc w:val="both"/>
        <w:rPr>
          <w:b/>
        </w:rPr>
      </w:pPr>
      <w:r w:rsidRPr="00F2736B">
        <w:rPr>
          <w:b/>
        </w:rPr>
        <w:t>Мониторинг на интернет страниците на ПОД</w:t>
      </w:r>
    </w:p>
    <w:p w14:paraId="32E171B5" w14:textId="4B3EB070" w:rsidR="002B2755" w:rsidRPr="00F2736B" w:rsidRDefault="002B2755" w:rsidP="002B2755">
      <w:pPr>
        <w:spacing w:before="60" w:after="60" w:line="276" w:lineRule="auto"/>
        <w:ind w:firstLine="709"/>
        <w:jc w:val="both"/>
      </w:pPr>
      <w:r w:rsidRPr="00F2736B">
        <w:t>Във връзка със спазването на разпоредбите на КСО и Наредба № 61 от 27.09.2018 г. на КФН за изискванията към рекламните и писмените информационни материали и страниците в интернет на пенсионноосигурителните дружества през периода бяха извършени ежемесечни проверки на електронните страници на ПОД, включително за спазване на изискването за публикуване на информация за обема и структурата на инвестициите по видове активи и емитенти на финансови активи съгласно чл. 180, ал. 1 от КСО. През период</w:t>
      </w:r>
      <w:r w:rsidR="00BE4852" w:rsidRPr="00F2736B">
        <w:t>а също</w:t>
      </w:r>
      <w:r w:rsidRPr="00F2736B">
        <w:t xml:space="preserve"> е извършена</w:t>
      </w:r>
      <w:r w:rsidR="00BE4852" w:rsidRPr="00F2736B">
        <w:t xml:space="preserve"> и</w:t>
      </w:r>
      <w:r w:rsidRPr="00F2736B">
        <w:t xml:space="preserve"> проверка на интернет страниците на всички ПОД относно публикуването на одитираните годишни финансови отчети и останалата изискуема информация, съгласно чл. 190, ал. 2 от КСО. При проверките не са констатирани несъответствия или пропуски, които да налагат предприемане на </w:t>
      </w:r>
      <w:r w:rsidR="00BE4852" w:rsidRPr="00F2736B">
        <w:t xml:space="preserve">допълнителни </w:t>
      </w:r>
      <w:r w:rsidRPr="00F2736B">
        <w:t>надзорни мерки.</w:t>
      </w:r>
    </w:p>
    <w:p w14:paraId="0DD3F4C3" w14:textId="77777777" w:rsidR="000363B4" w:rsidRPr="00F2736B" w:rsidRDefault="000363B4" w:rsidP="0052359F">
      <w:pPr>
        <w:spacing w:line="276" w:lineRule="auto"/>
        <w:ind w:firstLine="709"/>
        <w:jc w:val="both"/>
        <w:rPr>
          <w:rFonts w:cstheme="minorHAnsi"/>
          <w:b/>
          <w:i/>
        </w:rPr>
      </w:pPr>
    </w:p>
    <w:p w14:paraId="1761A5AC" w14:textId="77777777" w:rsidR="00490197" w:rsidRPr="00F2736B" w:rsidRDefault="00815A09" w:rsidP="0052359F">
      <w:pPr>
        <w:spacing w:line="276" w:lineRule="auto"/>
        <w:jc w:val="both"/>
      </w:pPr>
      <w:bookmarkStart w:id="55" w:name="_Toc78466462"/>
      <w:r w:rsidRPr="00F2736B">
        <w:rPr>
          <w:b/>
        </w:rPr>
        <w:t>9</w:t>
      </w:r>
      <w:r w:rsidR="00490197" w:rsidRPr="00F2736B">
        <w:rPr>
          <w:b/>
        </w:rPr>
        <w:t xml:space="preserve">. </w:t>
      </w:r>
      <w:r w:rsidRPr="00F2736B">
        <w:rPr>
          <w:b/>
        </w:rPr>
        <w:t>Извършване на анализ и оценка на данни, факти и обстоятелства с цел установяване законосъобразността на дейността на поднадзорните на КФН лица</w:t>
      </w:r>
      <w:bookmarkEnd w:id="55"/>
    </w:p>
    <w:p w14:paraId="3816E19D" w14:textId="77777777" w:rsidR="00DE4B14" w:rsidRPr="00F2736B" w:rsidRDefault="00DE4B14" w:rsidP="00DE4B14">
      <w:pPr>
        <w:spacing w:line="276" w:lineRule="auto"/>
        <w:ind w:firstLine="720"/>
        <w:jc w:val="both"/>
      </w:pPr>
      <w:r w:rsidRPr="00F2736B">
        <w:t xml:space="preserve">С цел установяване законосъобразността на дейността на поднадзорните на управление „Надзор на инвестиционната дейност“  лица, съдържанието на представените в КФН финансови отчети, както и на друга регулирана информация се анализира и обективира в доклади, които се изготвят от експертите, съобразно вътрешно разпределение в съответните ресори. При възникване на обстоятелства или след провеждан мониторинг се изготвят извънредни доклади, свързани с конкретна тематика. През отчетния период, първо полугодие на 2025 г., са изготвени общо 9 доклада, като в 8 от тях са отразени резултатите от осъществявания дистанционен надзор на регулярно постъпващата и допълнително изискана информация, както и на регулярно публикуваната на интернет страниците на поднадзорните лица, а 1 доклад е във връзка с извършена дистанционна проверка на годишни доклади на ръководителите на звената за нормативно съответствие в УД. </w:t>
      </w:r>
    </w:p>
    <w:p w14:paraId="735C154B" w14:textId="366D7D07" w:rsidR="00A23649" w:rsidRPr="00F2736B" w:rsidRDefault="00D766BC" w:rsidP="00A23649">
      <w:pPr>
        <w:spacing w:line="276" w:lineRule="auto"/>
        <w:jc w:val="both"/>
      </w:pPr>
      <w:r w:rsidRPr="00F2736B">
        <w:tab/>
      </w:r>
      <w:r w:rsidR="00A23649" w:rsidRPr="00F2736B">
        <w:t xml:space="preserve">През първите шест месеца на 2025 г. от управление „Застрахователен надзор“ са изготвени 43 аналитични доклада на база получени в КФН тримесечни справки и отчети от застрахователите, презастрахователите и Гаранционния фонд. </w:t>
      </w:r>
    </w:p>
    <w:p w14:paraId="2EA9CDD1" w14:textId="00B5B7F0" w:rsidR="00A23649" w:rsidRPr="00F2736B" w:rsidRDefault="00A23649" w:rsidP="00A23649">
      <w:pPr>
        <w:spacing w:line="276" w:lineRule="auto"/>
        <w:ind w:firstLine="720"/>
        <w:jc w:val="both"/>
      </w:pPr>
      <w:r w:rsidRPr="00F2736B">
        <w:t>След извършване на анализ с цел установяване законосъобразността на застрахователното покритие на обезпечени със застраховка емисии облигации са изготвени 8 броя становища.</w:t>
      </w:r>
    </w:p>
    <w:p w14:paraId="3ECD8C50" w14:textId="4349903C" w:rsidR="00D766BC" w:rsidRPr="00F2736B" w:rsidRDefault="00A23649" w:rsidP="00A23649">
      <w:pPr>
        <w:spacing w:line="276" w:lineRule="auto"/>
        <w:ind w:firstLine="709"/>
        <w:jc w:val="both"/>
      </w:pPr>
      <w:r w:rsidRPr="00F2736B">
        <w:lastRenderedPageBreak/>
        <w:t>Започнала е подготовката на още аналитични доклади, които към края на юни 2025 г. не са финализирани. Освен това, от управление „Застрахователен надзор“ е изготвен и един доклад съгласно обобщените индивидуални данни от справките и отчетите на застрахователните брокери, които са извършвали пре/застрахователно посредническа дейност през отчетния период, към 31.12.2024 г., като общия брой изготвени аналитични доклади от управлението за първите шест месеца на 2025 г. е 52.</w:t>
      </w:r>
    </w:p>
    <w:p w14:paraId="6E8C9EF8" w14:textId="2FDC2487" w:rsidR="002B2755" w:rsidRPr="00F2736B" w:rsidRDefault="002B2755" w:rsidP="00E4272E">
      <w:pPr>
        <w:spacing w:before="60" w:after="60" w:line="276" w:lineRule="auto"/>
        <w:ind w:firstLine="709"/>
        <w:jc w:val="both"/>
      </w:pPr>
      <w:r w:rsidRPr="00F2736B">
        <w:rPr>
          <w:rFonts w:cstheme="minorHAnsi"/>
        </w:rPr>
        <w:t>Резултатите от извършените</w:t>
      </w:r>
      <w:r w:rsidR="0023185C" w:rsidRPr="00F2736B">
        <w:rPr>
          <w:rFonts w:cstheme="minorHAnsi"/>
        </w:rPr>
        <w:t xml:space="preserve"> анализи и</w:t>
      </w:r>
      <w:r w:rsidRPr="00F2736B">
        <w:rPr>
          <w:rFonts w:cstheme="minorHAnsi"/>
        </w:rPr>
        <w:t xml:space="preserve"> </w:t>
      </w:r>
      <w:r w:rsidRPr="00F2736B">
        <w:t xml:space="preserve">проверки на представените месечни и годишни финансови отчети и справки за дейността на всяко от лицензираните ПОД, </w:t>
      </w:r>
      <w:r w:rsidR="00D278B2" w:rsidRPr="00F2736B">
        <w:t xml:space="preserve">както </w:t>
      </w:r>
      <w:r w:rsidRPr="00F2736B">
        <w:t>и проверки</w:t>
      </w:r>
      <w:r w:rsidR="00E1265C">
        <w:t>те</w:t>
      </w:r>
      <w:r w:rsidRPr="00F2736B">
        <w:t xml:space="preserve"> на представените месечни и годишни финансови отчети и справки за дейността на управляваните от пенсионноосигурителните дружества фондове</w:t>
      </w:r>
      <w:r w:rsidR="00D278B2" w:rsidRPr="00F2736B">
        <w:t>,</w:t>
      </w:r>
      <w:r w:rsidRPr="00F2736B">
        <w:t xml:space="preserve"> са изложени в доклади. </w:t>
      </w:r>
      <w:r w:rsidR="0023185C" w:rsidRPr="00F2736B">
        <w:t>В тази връзка п</w:t>
      </w:r>
      <w:r w:rsidRPr="00F2736B">
        <w:t>рез разглеждания период от управление „Осигурителен надзор“ са изготвени общо 60 месечни и 10</w:t>
      </w:r>
      <w:r w:rsidR="0023185C" w:rsidRPr="00F2736B">
        <w:t xml:space="preserve"> </w:t>
      </w:r>
      <w:r w:rsidRPr="00F2736B">
        <w:t>годишни аналитични доклада за дейността на всяко ПОД и управляваните от него фондове, както и 6</w:t>
      </w:r>
      <w:r w:rsidR="0023185C" w:rsidRPr="00F2736B">
        <w:t xml:space="preserve"> </w:t>
      </w:r>
      <w:r w:rsidRPr="00F2736B">
        <w:t>месечни обобщени аналитични доклада.</w:t>
      </w:r>
    </w:p>
    <w:p w14:paraId="0442917F" w14:textId="68EA426D" w:rsidR="0023185C" w:rsidRPr="00F2736B" w:rsidRDefault="0023185C" w:rsidP="0023185C">
      <w:pPr>
        <w:spacing w:before="60" w:after="60" w:line="276" w:lineRule="auto"/>
        <w:ind w:firstLine="708"/>
        <w:jc w:val="both"/>
      </w:pPr>
      <w:r w:rsidRPr="00F2736B">
        <w:t>През отчетния период от УОН е изготвен също и доклад, обобщаващ изразените мнения на съвместните одитори на финансовите отчети на ПОД и на управляваните фондове за годината, завършваща на 31.12.202</w:t>
      </w:r>
      <w:r w:rsidRPr="00F2736B">
        <w:rPr>
          <w:lang w:val="ru-RU"/>
        </w:rPr>
        <w:t>4</w:t>
      </w:r>
      <w:r w:rsidRPr="00F2736B">
        <w:t xml:space="preserve"> г. и техните констатации, съгласно издадените от тях доклади за договорени процедури във връзка с проверката по реда на чл. 187, ал. 3, т. 2 от КСО.</w:t>
      </w:r>
      <w:r w:rsidRPr="00F2736B">
        <w:rPr>
          <w:lang w:val="ru-RU"/>
        </w:rPr>
        <w:t xml:space="preserve"> </w:t>
      </w:r>
      <w:r w:rsidRPr="00F2736B">
        <w:t xml:space="preserve"> Изготвен е и доклад, обобщаващ изразените мнения на съвместните одитори на финансовите отчети на ПОД и на управляваните фондове за годината, завършваща на 31.12.202</w:t>
      </w:r>
      <w:r w:rsidRPr="00F2736B">
        <w:rPr>
          <w:lang w:val="ru-RU"/>
        </w:rPr>
        <w:t>4</w:t>
      </w:r>
      <w:r w:rsidRPr="00F2736B">
        <w:t xml:space="preserve"> г. и техните констатации, съгласно издадените от тях доклади за договорени процедури във връзка с изискванията на чл. 187, ал. 3, т. 3 от КСО за проверка на съответствието на системата за управление с изискванията на КСО и актовете по прилагането му. На база констатациите на одиторите не се наложи предприемането на допълнителни надзорни действия.</w:t>
      </w:r>
    </w:p>
    <w:p w14:paraId="08D465B2" w14:textId="43E9AA6C" w:rsidR="0023185C" w:rsidRPr="00F2736B" w:rsidRDefault="0023185C" w:rsidP="0023185C">
      <w:pPr>
        <w:spacing w:line="276" w:lineRule="auto"/>
        <w:jc w:val="both"/>
      </w:pPr>
      <w:r w:rsidRPr="00F2736B">
        <w:tab/>
        <w:t xml:space="preserve">Във връзка с осъществявания надзор от УОН и при следване правилата за сътрудничество и координация с компетентните административни звена в управление „Надзор на инвестиционната дейност“ през периода е осъществяван обмен на информация. Изготвени са общо 10 доклада относно инвестирани средства на ФДПО в обезпечени корпоративни облигации, в които са отразени констатациите от извършените проверки за законосъобразност по отношение приложимите разпоредби на чл. 176, 177а и 178 от КСО, както и информация относно очакванията и прогнозите за развитието на емитентите. При извършените проверки не са установени нарушения от страна на дружествата, но придобитите емисии </w:t>
      </w:r>
      <w:r w:rsidR="00956659" w:rsidRPr="00F2736B">
        <w:t>обезпечени корпоративни облигации</w:t>
      </w:r>
      <w:r w:rsidR="00956659" w:rsidRPr="00F2736B" w:rsidDel="00956659">
        <w:t xml:space="preserve"> </w:t>
      </w:r>
      <w:r w:rsidRPr="00F2736B">
        <w:t>са подложени на мониторинг.</w:t>
      </w:r>
    </w:p>
    <w:p w14:paraId="574E05C0" w14:textId="61FCDF96" w:rsidR="0023185C" w:rsidRPr="00F2736B" w:rsidRDefault="00C2204E" w:rsidP="00C2204E">
      <w:pPr>
        <w:tabs>
          <w:tab w:val="left" w:pos="567"/>
        </w:tabs>
        <w:spacing w:line="276" w:lineRule="auto"/>
        <w:jc w:val="both"/>
      </w:pPr>
      <w:r w:rsidRPr="00F2736B">
        <w:tab/>
        <w:t xml:space="preserve">  </w:t>
      </w:r>
      <w:r w:rsidR="0023185C" w:rsidRPr="00F2736B">
        <w:t xml:space="preserve">Извършени са още и проверки за спазване на изискванията на Наредба № 9 от 19.11.2003 г. на КФН на представените от ПОД пазарни оценки за част от притежаваните от ФДПО инвестиционни имоти към края на четвърто тримесечие на 2024 г. и към края на първо тримесечие на 2025 г. (на извадков принцип), като резултатите от които са отразени в общо 14 доклади. </w:t>
      </w:r>
    </w:p>
    <w:p w14:paraId="673F7768" w14:textId="77777777" w:rsidR="0023185C" w:rsidRPr="00F2736B" w:rsidRDefault="0023185C" w:rsidP="0023185C">
      <w:pPr>
        <w:widowControl w:val="0"/>
        <w:spacing w:line="276" w:lineRule="auto"/>
        <w:ind w:firstLine="720"/>
        <w:jc w:val="both"/>
        <w:rPr>
          <w:color w:val="000000" w:themeColor="text1"/>
        </w:rPr>
      </w:pPr>
      <w:r w:rsidRPr="00F2736B">
        <w:rPr>
          <w:color w:val="000000" w:themeColor="text1"/>
        </w:rPr>
        <w:t xml:space="preserve">В изпълнение на изискванията на чл. 180в и чл. 249, ал. 1от КСО и на основание чл. 23а от Наредба № 9 от 19.11.2003 г. на КФН през отчетния период от ПОД постъпи </w:t>
      </w:r>
      <w:r w:rsidRPr="00F2736B">
        <w:rPr>
          <w:color w:val="000000" w:themeColor="text1"/>
        </w:rPr>
        <w:lastRenderedPageBreak/>
        <w:t xml:space="preserve">информация за постигната доходност от управлението на инвестиционните имоти в портфейлите на ФДПО. Представената информация е анализирана и резултатите са обективирани в доклади, видно, от които има един инвестиционен имот, за който да възниква задължение за прилагане на чл. 180в, ал. 2 от КСО. Инвестиционните имоти, за които следва да се прилагат правилата на чл. 180в, ал. 2 от КСО са поставени под мониторинг. </w:t>
      </w:r>
    </w:p>
    <w:p w14:paraId="23BB7BFE" w14:textId="77777777" w:rsidR="00490197" w:rsidRPr="00F2736B" w:rsidRDefault="00490197" w:rsidP="0052359F">
      <w:pPr>
        <w:pStyle w:val="Subtitle"/>
        <w:spacing w:after="0" w:line="276" w:lineRule="auto"/>
        <w:ind w:right="-28"/>
        <w:jc w:val="both"/>
        <w:rPr>
          <w:b/>
          <w:color w:val="000000"/>
          <w:sz w:val="24"/>
        </w:rPr>
      </w:pPr>
    </w:p>
    <w:p w14:paraId="6A908854" w14:textId="77777777" w:rsidR="00490197" w:rsidRPr="00F2736B" w:rsidRDefault="00815A09" w:rsidP="0052359F">
      <w:pPr>
        <w:spacing w:line="276" w:lineRule="auto"/>
      </w:pPr>
      <w:bookmarkStart w:id="56" w:name="_Toc78466463"/>
      <w:r w:rsidRPr="00F2736B">
        <w:rPr>
          <w:b/>
        </w:rPr>
        <w:t>10</w:t>
      </w:r>
      <w:r w:rsidR="00490197" w:rsidRPr="00F2736B">
        <w:rPr>
          <w:b/>
        </w:rPr>
        <w:t xml:space="preserve">. </w:t>
      </w:r>
      <w:r w:rsidRPr="00F2736B">
        <w:rPr>
          <w:b/>
        </w:rPr>
        <w:t>Съставени актове за установяване на административно нарушение (АУАН)</w:t>
      </w:r>
      <w:bookmarkEnd w:id="56"/>
    </w:p>
    <w:p w14:paraId="6B5F87B7" w14:textId="45C52BCE" w:rsidR="0074158C" w:rsidRPr="00F2736B" w:rsidRDefault="00C540EA" w:rsidP="009E0446">
      <w:pPr>
        <w:spacing w:line="276" w:lineRule="auto"/>
        <w:ind w:firstLine="720"/>
        <w:jc w:val="both"/>
      </w:pPr>
      <w:r w:rsidRPr="00F2736B">
        <w:t>В резултат на осъществявания текущ надзор и установени административни нарушения, през настоящия отчетен период за 202</w:t>
      </w:r>
      <w:r w:rsidR="009E0446" w:rsidRPr="00F2736B">
        <w:t>5</w:t>
      </w:r>
      <w:r w:rsidRPr="00F2736B">
        <w:t xml:space="preserve"> г., от управление „Надзор на инвестиционната дейност“ са съставени </w:t>
      </w:r>
      <w:r w:rsidR="00A23D13" w:rsidRPr="00F2736B">
        <w:t xml:space="preserve">и връчени </w:t>
      </w:r>
      <w:r w:rsidRPr="00F2736B">
        <w:t xml:space="preserve">общо АУАН, касаещи </w:t>
      </w:r>
      <w:r w:rsidR="00794CE7" w:rsidRPr="00F2736B">
        <w:t>51 нарушения.</w:t>
      </w:r>
    </w:p>
    <w:p w14:paraId="77008124" w14:textId="2EF6B377" w:rsidR="00595455" w:rsidRPr="00F2736B" w:rsidRDefault="00D766BC" w:rsidP="00595455">
      <w:pPr>
        <w:spacing w:line="276" w:lineRule="auto"/>
        <w:jc w:val="both"/>
      </w:pPr>
      <w:r w:rsidRPr="00F2736B">
        <w:tab/>
      </w:r>
      <w:r w:rsidR="00595455" w:rsidRPr="00F2736B">
        <w:t xml:space="preserve">През първото полугодие на 2025 г. са съставени 107 акта за установяване на административни нарушения относно неспазени нормативни разпоредби от поднадзорните лица в управление „Застрахователен надзор“, с които са констатирани 123 административни нарушения. Очаква се да бъде изпълнена заложената прогноза от 250 бр. установени административни нарушения за цялата 2025 г. </w:t>
      </w:r>
    </w:p>
    <w:p w14:paraId="3CDB20C0" w14:textId="640F071E" w:rsidR="002B2755" w:rsidRPr="00F2736B" w:rsidRDefault="002B2755" w:rsidP="00595455">
      <w:pPr>
        <w:spacing w:line="276" w:lineRule="auto"/>
        <w:ind w:firstLine="720"/>
        <w:jc w:val="both"/>
      </w:pPr>
      <w:r w:rsidRPr="00F2736B">
        <w:t>В резултат на установени нарушения на разпоредбите на КСО, през отчетния период от управление „Осигурителен надзор“ е съставен 1 АУАН, с който е установено 1</w:t>
      </w:r>
      <w:r w:rsidRPr="00F2736B">
        <w:rPr>
          <w:lang w:val="ru-RU"/>
        </w:rPr>
        <w:t xml:space="preserve">  </w:t>
      </w:r>
      <w:r w:rsidRPr="00F2736B">
        <w:t xml:space="preserve">нарушение на разпоредбите на КСО. </w:t>
      </w:r>
    </w:p>
    <w:p w14:paraId="3D8448BB" w14:textId="77777777" w:rsidR="00B94554" w:rsidRPr="00F2736B" w:rsidRDefault="00B94554" w:rsidP="0052359F">
      <w:pPr>
        <w:spacing w:before="60" w:after="60" w:line="276" w:lineRule="auto"/>
        <w:ind w:firstLine="709"/>
        <w:jc w:val="both"/>
      </w:pPr>
    </w:p>
    <w:p w14:paraId="16E705C1" w14:textId="77777777" w:rsidR="00490197" w:rsidRPr="00F2736B" w:rsidRDefault="00490197" w:rsidP="00DD3320">
      <w:pPr>
        <w:spacing w:line="276" w:lineRule="auto"/>
      </w:pPr>
      <w:bookmarkStart w:id="57" w:name="_Toc78466464"/>
      <w:r w:rsidRPr="00F2736B">
        <w:rPr>
          <w:b/>
        </w:rPr>
        <w:t>11. Предприети мерки  във връзка със събиране на вземанията на КФН</w:t>
      </w:r>
      <w:bookmarkEnd w:id="57"/>
    </w:p>
    <w:p w14:paraId="075B97A1" w14:textId="77777777" w:rsidR="003B3439" w:rsidRPr="00F2736B" w:rsidRDefault="009E3555" w:rsidP="003B3439">
      <w:pPr>
        <w:spacing w:line="276" w:lineRule="auto"/>
        <w:jc w:val="both"/>
      </w:pPr>
      <w:r w:rsidRPr="00F2736B">
        <w:tab/>
      </w:r>
      <w:bookmarkStart w:id="58" w:name="_Toc78466465"/>
      <w:r w:rsidR="003B3439" w:rsidRPr="00F2736B">
        <w:t>В съответствие с действащите вътрешни правила за администриране на приходите на КФН, звено „Събиране на приходи“ осъществява текущ контрол  и предприема действия за събиране вземанията на КФН.</w:t>
      </w:r>
    </w:p>
    <w:p w14:paraId="5FD4AF69" w14:textId="60F384A5" w:rsidR="003B3439" w:rsidRPr="00F2736B" w:rsidRDefault="003B3439" w:rsidP="003B3439">
      <w:pPr>
        <w:spacing w:line="276" w:lineRule="auto"/>
        <w:ind w:firstLine="720"/>
        <w:jc w:val="both"/>
      </w:pPr>
      <w:r w:rsidRPr="00F2736B">
        <w:t>През първото полугодие на 2025 г., от звено „Събиране на приходи“ са предприети действия за събиране на неплатените санкции по влезли в сила наказателни постановления, по актовете и постановленията за изпълнение на задължения, породени на основание чл. 268 от АПК и чл. 404 от ГПК, на законните лихви за забава и на присъдените в полза на КФН съдебни разноски, като до задължените лица са изпратени 61</w:t>
      </w:r>
      <w:r w:rsidR="00F97A98">
        <w:t xml:space="preserve"> </w:t>
      </w:r>
      <w:r w:rsidRPr="00F2736B">
        <w:t xml:space="preserve">покани за доброволно изпълнение на задълженията. </w:t>
      </w:r>
    </w:p>
    <w:p w14:paraId="7D5A4A9F" w14:textId="77777777" w:rsidR="003B3439" w:rsidRPr="00F2736B" w:rsidRDefault="003B3439" w:rsidP="003B3439">
      <w:pPr>
        <w:spacing w:line="276" w:lineRule="auto"/>
        <w:ind w:firstLine="720"/>
        <w:jc w:val="both"/>
      </w:pPr>
      <w:r w:rsidRPr="00F2736B">
        <w:t>Във връзка със събиране на вземанията за дължими годишни такси за осъществяване на общ финансов надзор и лихви за забава върху тях, до поднадзорните на КФН лица са изпратени напомнителни писма и електронни съобщения за неплатени задължения. Също така, своевременно са изготвени и заповеди за прихващане на насрещни вземания.</w:t>
      </w:r>
    </w:p>
    <w:p w14:paraId="0BEDC328" w14:textId="2A19D01F" w:rsidR="003B3439" w:rsidRPr="00F2736B" w:rsidRDefault="003B3439" w:rsidP="003B3439">
      <w:pPr>
        <w:spacing w:line="276" w:lineRule="auto"/>
        <w:ind w:firstLine="720"/>
        <w:jc w:val="both"/>
      </w:pPr>
      <w:r w:rsidRPr="00F2736B">
        <w:t>През отчетния период са образувани 58 административни производства за установяване на публични вземания за неплатени годишни такси за осъществяване на общ финансов надзор, като част от актовете, с които са приключили производствата са предявени към Национална агенция за приходите, за принудително събиране на вземанията.</w:t>
      </w:r>
    </w:p>
    <w:p w14:paraId="63A7D04D" w14:textId="1FD1CCCF" w:rsidR="005F671D" w:rsidRPr="00F2736B" w:rsidRDefault="003B3439" w:rsidP="003B3439">
      <w:pPr>
        <w:spacing w:line="276" w:lineRule="auto"/>
        <w:ind w:firstLine="720"/>
        <w:jc w:val="both"/>
        <w:rPr>
          <w:b/>
        </w:rPr>
      </w:pPr>
      <w:r w:rsidRPr="00F2736B">
        <w:t xml:space="preserve">Предвид отчетените по-горе резултати през </w:t>
      </w:r>
      <w:r w:rsidR="00F97A98">
        <w:t>първите шест месеца на годината</w:t>
      </w:r>
      <w:r w:rsidRPr="00F2736B">
        <w:t xml:space="preserve">, по отношение на предприети мерки във връзка със събиране на вземанията на КФН, се </w:t>
      </w:r>
      <w:r w:rsidRPr="00F2736B">
        <w:lastRenderedPageBreak/>
        <w:t>наблюдава изпълнение на времевия план на заложените прогнозни данни в годишната бюджетна прогноза за 2025 г.</w:t>
      </w:r>
    </w:p>
    <w:p w14:paraId="37EEFDEE" w14:textId="77777777" w:rsidR="00490197" w:rsidRPr="00F2736B" w:rsidRDefault="00490197" w:rsidP="0052359F">
      <w:pPr>
        <w:spacing w:line="276" w:lineRule="auto"/>
      </w:pPr>
      <w:r w:rsidRPr="00F2736B">
        <w:rPr>
          <w:b/>
        </w:rPr>
        <w:t xml:space="preserve">12. Издадени наказателни постановления </w:t>
      </w:r>
      <w:bookmarkEnd w:id="58"/>
    </w:p>
    <w:p w14:paraId="1326D038" w14:textId="3011D1A5" w:rsidR="005D3CAA" w:rsidRPr="00F2736B" w:rsidRDefault="005D3CAA" w:rsidP="005D3CAA">
      <w:pPr>
        <w:spacing w:line="276" w:lineRule="auto"/>
        <w:ind w:firstLine="720"/>
        <w:jc w:val="both"/>
        <w:rPr>
          <w:rFonts w:cstheme="minorHAnsi"/>
        </w:rPr>
      </w:pPr>
      <w:r w:rsidRPr="00F2736B">
        <w:rPr>
          <w:rFonts w:cstheme="minorHAnsi"/>
        </w:rPr>
        <w:t>При наложени с НП 144 броя наказания през първата половина на 2022 г., 45 броя за същия период на 2023 г. и 57 броя за първата половина на 2024 г., издадените</w:t>
      </w:r>
      <w:r w:rsidR="00E50C29">
        <w:rPr>
          <w:rFonts w:cstheme="minorHAnsi"/>
        </w:rPr>
        <w:t xml:space="preserve"> от управление „Надзор на инвестиционната дейност“</w:t>
      </w:r>
      <w:r w:rsidRPr="00F2736B">
        <w:rPr>
          <w:rFonts w:cstheme="minorHAnsi"/>
        </w:rPr>
        <w:t xml:space="preserve"> НП за периода 01.01.2025-30.06.2025 г. са 39 и броя наложени наказания чрез НП ще бъде съответно актуализиран за следващия програмен период. </w:t>
      </w:r>
    </w:p>
    <w:p w14:paraId="2F6A066A" w14:textId="0964FDFE" w:rsidR="003F5D66" w:rsidRPr="00F2736B" w:rsidRDefault="003F5D66" w:rsidP="003F5D66">
      <w:pPr>
        <w:spacing w:before="60" w:after="60" w:line="276" w:lineRule="auto"/>
        <w:ind w:firstLine="709"/>
        <w:jc w:val="both"/>
      </w:pPr>
      <w:r w:rsidRPr="00F2736B">
        <w:t>През първото полугодие на 2025 г. са издадени 77  наказателни постановления от заместник–председателя, ръководещ управление „Застрахователен надзор“, с които са наложени административни наказания за 85 броя установени нарушения. В изготвената прогноза за цялата 2025 г. са заложени 200 бр. административни наказания, наложени с НП. В тази връзка, може да се очаква прогнозата да бъде изпълнена към края на текущата година.</w:t>
      </w:r>
    </w:p>
    <w:p w14:paraId="3EAD6AB8" w14:textId="77777777" w:rsidR="00DD3320" w:rsidRPr="00F2736B" w:rsidRDefault="00DD3320" w:rsidP="002D4CB4">
      <w:pPr>
        <w:spacing w:before="60" w:after="60" w:line="276" w:lineRule="auto"/>
        <w:ind w:firstLine="709"/>
        <w:jc w:val="both"/>
      </w:pPr>
    </w:p>
    <w:p w14:paraId="1DE3F62E" w14:textId="1C5DD135" w:rsidR="00BF0710" w:rsidRDefault="00BF0710" w:rsidP="00784302">
      <w:pPr>
        <w:spacing w:line="276" w:lineRule="auto"/>
        <w:ind w:left="360" w:hanging="360"/>
        <w:jc w:val="both"/>
        <w:rPr>
          <w:b/>
        </w:rPr>
      </w:pPr>
      <w:r w:rsidRPr="00F2736B">
        <w:rPr>
          <w:b/>
        </w:rPr>
        <w:t>13. Наложени административни наказания със споразумения</w:t>
      </w:r>
    </w:p>
    <w:p w14:paraId="562FAF8D" w14:textId="4750835C" w:rsidR="00CD60EF" w:rsidRPr="00CD60EF" w:rsidRDefault="00CD60EF" w:rsidP="00CD60EF">
      <w:pPr>
        <w:spacing w:line="276" w:lineRule="auto"/>
        <w:jc w:val="both"/>
        <w:rPr>
          <w:b/>
        </w:rPr>
      </w:pPr>
      <w:r>
        <w:rPr>
          <w:b/>
        </w:rPr>
        <w:tab/>
      </w:r>
      <w:r w:rsidRPr="00F2736B">
        <w:t xml:space="preserve">През отчетния период </w:t>
      </w:r>
      <w:r w:rsidRPr="00F2736B">
        <w:rPr>
          <w:rFonts w:cstheme="minorHAnsi"/>
        </w:rPr>
        <w:t>от заместник–председателя, ръководещ управление „</w:t>
      </w:r>
      <w:r>
        <w:rPr>
          <w:rFonts w:cstheme="minorHAnsi"/>
        </w:rPr>
        <w:t>Надзор на инвестиционната дейност</w:t>
      </w:r>
      <w:r w:rsidRPr="00F2736B">
        <w:rPr>
          <w:rFonts w:cstheme="minorHAnsi"/>
        </w:rPr>
        <w:t>“,</w:t>
      </w:r>
      <w:r w:rsidRPr="00F2736B">
        <w:t xml:space="preserve"> </w:t>
      </w:r>
      <w:r w:rsidRPr="00F2736B">
        <w:rPr>
          <w:rFonts w:cstheme="minorHAnsi"/>
        </w:rPr>
        <w:t xml:space="preserve">са </w:t>
      </w:r>
      <w:r>
        <w:rPr>
          <w:rFonts w:cstheme="minorHAnsi"/>
        </w:rPr>
        <w:t xml:space="preserve">наложени 29 административни наказания със споразумения. </w:t>
      </w:r>
      <w:r w:rsidRPr="00CD60EF">
        <w:rPr>
          <w:rFonts w:cstheme="minorHAnsi"/>
        </w:rPr>
        <w:t xml:space="preserve">Сключените през първото полугодие споразумения са съответни на прогнозирания брой такива и този начин за приключване на образуваните административнонаказателни производства остава предпочитана възможност от нарушителите, тъй като чрез него се постига процесуална икономия, а и размера на определеното административно наказание е законово фиксирано и не може да надвишава 70 % от минималния размер на предвиденото от законодателя за конкретния вид нарушение.  </w:t>
      </w:r>
    </w:p>
    <w:p w14:paraId="07084FD7" w14:textId="68054AD5" w:rsidR="00EA0559" w:rsidRPr="00F2736B" w:rsidRDefault="002D4CB4" w:rsidP="00EA0559">
      <w:pPr>
        <w:autoSpaceDE w:val="0"/>
        <w:autoSpaceDN w:val="0"/>
        <w:adjustRightInd w:val="0"/>
        <w:spacing w:line="276" w:lineRule="auto"/>
        <w:jc w:val="both"/>
        <w:rPr>
          <w:color w:val="000000"/>
        </w:rPr>
      </w:pPr>
      <w:r w:rsidRPr="00F2736B">
        <w:rPr>
          <w:color w:val="000000"/>
        </w:rPr>
        <w:tab/>
      </w:r>
      <w:r w:rsidR="004B7D0E" w:rsidRPr="00F2736B">
        <w:t xml:space="preserve">През отчетния период на 2025 г. </w:t>
      </w:r>
      <w:r w:rsidR="004B7D0E" w:rsidRPr="00F2736B">
        <w:rPr>
          <w:rFonts w:cstheme="minorHAnsi"/>
        </w:rPr>
        <w:t>от заместник–председателя, ръководещ управление „</w:t>
      </w:r>
      <w:r w:rsidR="004B7D0E">
        <w:rPr>
          <w:rFonts w:cstheme="minorHAnsi"/>
        </w:rPr>
        <w:t>Застрахователен</w:t>
      </w:r>
      <w:r w:rsidR="004B7D0E" w:rsidRPr="00F2736B">
        <w:rPr>
          <w:rFonts w:cstheme="minorHAnsi"/>
        </w:rPr>
        <w:t xml:space="preserve"> надзор“,</w:t>
      </w:r>
      <w:r w:rsidR="004B7D0E" w:rsidRPr="00F2736B">
        <w:t xml:space="preserve"> </w:t>
      </w:r>
      <w:r w:rsidR="004B7D0E">
        <w:rPr>
          <w:color w:val="000000"/>
        </w:rPr>
        <w:t xml:space="preserve"> са с</w:t>
      </w:r>
      <w:r w:rsidR="00EA0559" w:rsidRPr="00F2736B">
        <w:rPr>
          <w:color w:val="000000"/>
        </w:rPr>
        <w:t>к</w:t>
      </w:r>
      <w:r w:rsidR="004B7D0E">
        <w:rPr>
          <w:color w:val="000000"/>
        </w:rPr>
        <w:t xml:space="preserve">лючени </w:t>
      </w:r>
      <w:r w:rsidR="004B7D0E" w:rsidRPr="00F2736B">
        <w:rPr>
          <w:color w:val="000000"/>
        </w:rPr>
        <w:t xml:space="preserve">2 </w:t>
      </w:r>
      <w:r w:rsidR="00EA0559" w:rsidRPr="00F2736B">
        <w:rPr>
          <w:color w:val="000000"/>
        </w:rPr>
        <w:t xml:space="preserve">споразумения по чл. 58г от ЗАНН, с които са </w:t>
      </w:r>
      <w:r w:rsidR="00EA0559" w:rsidRPr="00565C44">
        <w:rPr>
          <w:color w:val="000000"/>
        </w:rPr>
        <w:t>наложени 5 административни наказания</w:t>
      </w:r>
      <w:r w:rsidR="00EA0559" w:rsidRPr="00F2736B">
        <w:rPr>
          <w:color w:val="000000"/>
        </w:rPr>
        <w:t xml:space="preserve">. Заложената годишна прогноза е за 35 бр. административни наказания, наложени със споразумение. В тази връзка следва да се има предвид, че към настоящия момент има постъпили предложения за сключване на споразумения относно 23 бр. констатирани административни нарушения, като относимите административнонаказателните преписки предстои да бъдат прегледани и приключени със съответен акт по ЗАНН. Това дава основание да се предположи, че заложената годишна прогноза би могла да бъде изпълнена с несъществено отклонение.  </w:t>
      </w:r>
    </w:p>
    <w:p w14:paraId="2A750452" w14:textId="77777777" w:rsidR="00956659" w:rsidRPr="00F2736B" w:rsidRDefault="00956659" w:rsidP="00956659">
      <w:pPr>
        <w:spacing w:before="60" w:after="60" w:line="276" w:lineRule="auto"/>
        <w:ind w:firstLine="709"/>
        <w:jc w:val="both"/>
      </w:pPr>
      <w:r w:rsidRPr="00F2736B">
        <w:t xml:space="preserve">През отчетния период на 2025 г. </w:t>
      </w:r>
      <w:r w:rsidRPr="00F2736B">
        <w:rPr>
          <w:rFonts w:cstheme="minorHAnsi"/>
        </w:rPr>
        <w:t>от заместник–председателя, ръководещ управление „Осигурителен надзор“,</w:t>
      </w:r>
      <w:r w:rsidRPr="00F2736B">
        <w:t xml:space="preserve"> </w:t>
      </w:r>
      <w:r w:rsidRPr="00F2736B">
        <w:rPr>
          <w:rFonts w:cstheme="minorHAnsi"/>
        </w:rPr>
        <w:t>са сключени 2 споразумения по чл. 58г от ЗАНН (относно 2 нарушения), през същия период не са издавани</w:t>
      </w:r>
      <w:r w:rsidRPr="00F2736B">
        <w:t xml:space="preserve"> наказателни постановления и резолюции за прекратяване на административно наказателни производства.  </w:t>
      </w:r>
    </w:p>
    <w:p w14:paraId="5F0A30A2" w14:textId="77777777" w:rsidR="00EA0559" w:rsidRPr="00F2736B" w:rsidRDefault="00EA0559" w:rsidP="00EA0559">
      <w:pPr>
        <w:autoSpaceDE w:val="0"/>
        <w:autoSpaceDN w:val="0"/>
        <w:adjustRightInd w:val="0"/>
        <w:spacing w:line="276" w:lineRule="auto"/>
        <w:jc w:val="both"/>
        <w:rPr>
          <w:color w:val="000000"/>
        </w:rPr>
      </w:pPr>
    </w:p>
    <w:p w14:paraId="28148458" w14:textId="2A5D797B" w:rsidR="002D4CB4" w:rsidRPr="00F2736B" w:rsidRDefault="00BF0710" w:rsidP="00813AC9">
      <w:pPr>
        <w:autoSpaceDE w:val="0"/>
        <w:autoSpaceDN w:val="0"/>
        <w:adjustRightInd w:val="0"/>
        <w:spacing w:line="276" w:lineRule="auto"/>
        <w:ind w:firstLine="709"/>
        <w:jc w:val="both"/>
        <w:rPr>
          <w:b/>
        </w:rPr>
      </w:pPr>
      <w:r w:rsidRPr="00F2736B">
        <w:rPr>
          <w:b/>
        </w:rPr>
        <w:t>13.1</w:t>
      </w:r>
      <w:r w:rsidR="00D278B2" w:rsidRPr="00F2736B">
        <w:rPr>
          <w:b/>
        </w:rPr>
        <w:t>.</w:t>
      </w:r>
      <w:r w:rsidRPr="00F2736B">
        <w:rPr>
          <w:b/>
        </w:rPr>
        <w:t xml:space="preserve"> Мотивирани постановл</w:t>
      </w:r>
      <w:r w:rsidR="002D4CB4" w:rsidRPr="00F2736B">
        <w:rPr>
          <w:b/>
        </w:rPr>
        <w:t>ения по чл. 58г, ал. 13 от ЗАНН</w:t>
      </w:r>
    </w:p>
    <w:p w14:paraId="1134E785" w14:textId="77777777" w:rsidR="00FA5CC3" w:rsidRDefault="00FA5CC3" w:rsidP="00FA5CC3">
      <w:pPr>
        <w:spacing w:line="276" w:lineRule="auto"/>
        <w:ind w:firstLine="709"/>
        <w:jc w:val="both"/>
      </w:pPr>
      <w:r w:rsidRPr="007F2952">
        <w:rPr>
          <w:rFonts w:cstheme="minorHAnsi"/>
        </w:rPr>
        <w:t>През отчетния период от</w:t>
      </w:r>
      <w:r>
        <w:rPr>
          <w:rFonts w:cstheme="minorHAnsi"/>
        </w:rPr>
        <w:t xml:space="preserve"> нито едно от трите </w:t>
      </w:r>
      <w:r w:rsidRPr="007F2952">
        <w:t>управлени</w:t>
      </w:r>
      <w:r>
        <w:t xml:space="preserve">я на Комисията </w:t>
      </w:r>
      <w:r w:rsidRPr="007F2952">
        <w:t xml:space="preserve"> </w:t>
      </w:r>
      <w:r>
        <w:t>не са издавани м</w:t>
      </w:r>
      <w:r w:rsidRPr="002B173A">
        <w:t>отивирани постановления по чл. 58г, ал. 13 от ЗАНН</w:t>
      </w:r>
      <w:r>
        <w:t xml:space="preserve">, тъй като административните </w:t>
      </w:r>
      <w:r>
        <w:lastRenderedPageBreak/>
        <w:t>наказания по всички сключени споразумения са били заплатени в установения от закона срок.</w:t>
      </w:r>
    </w:p>
    <w:p w14:paraId="68A6B577" w14:textId="77777777" w:rsidR="005E4872" w:rsidRPr="00F2736B" w:rsidRDefault="005E4872" w:rsidP="002B173A">
      <w:pPr>
        <w:spacing w:line="276" w:lineRule="auto"/>
        <w:ind w:firstLine="709"/>
        <w:jc w:val="both"/>
        <w:rPr>
          <w:b/>
        </w:rPr>
      </w:pPr>
    </w:p>
    <w:p w14:paraId="5E8C93A9" w14:textId="6E9133A5" w:rsidR="00BF0710" w:rsidRDefault="00BF0710" w:rsidP="002D4CB4">
      <w:pPr>
        <w:spacing w:line="276" w:lineRule="auto"/>
        <w:ind w:left="710"/>
        <w:jc w:val="both"/>
        <w:rPr>
          <w:b/>
        </w:rPr>
      </w:pPr>
      <w:r w:rsidRPr="00F2736B">
        <w:rPr>
          <w:b/>
        </w:rPr>
        <w:t>13.2</w:t>
      </w:r>
      <w:r w:rsidR="00D278B2" w:rsidRPr="00F2736B">
        <w:rPr>
          <w:b/>
        </w:rPr>
        <w:t>.</w:t>
      </w:r>
      <w:r w:rsidRPr="00F2736B">
        <w:t xml:space="preserve"> </w:t>
      </w:r>
      <w:r w:rsidRPr="00F2736B">
        <w:rPr>
          <w:b/>
        </w:rPr>
        <w:t>Предупреждения по чл. 28 от ЗАНН</w:t>
      </w:r>
    </w:p>
    <w:p w14:paraId="53773DEC" w14:textId="61F789AF" w:rsidR="007A224F" w:rsidRPr="007A224F" w:rsidRDefault="007A224F" w:rsidP="007A224F">
      <w:pPr>
        <w:spacing w:line="276" w:lineRule="auto"/>
        <w:ind w:firstLine="710"/>
        <w:jc w:val="both"/>
      </w:pPr>
      <w:r w:rsidRPr="007A224F">
        <w:t>От управление „Надзор на инвестиционната дейност“ издадените предупреждения по чл. 28 от ЗАНН през пъ</w:t>
      </w:r>
      <w:r w:rsidR="00F97A98">
        <w:t>рвото полугодие на 2025 г. са 8</w:t>
      </w:r>
      <w:r w:rsidRPr="007A224F">
        <w:t>.</w:t>
      </w:r>
    </w:p>
    <w:p w14:paraId="0E614220" w14:textId="5D251C2D" w:rsidR="00813AC9" w:rsidRPr="00F2736B" w:rsidRDefault="001807F8" w:rsidP="001A473E">
      <w:pPr>
        <w:spacing w:line="276" w:lineRule="auto"/>
        <w:ind w:firstLine="709"/>
        <w:jc w:val="both"/>
      </w:pPr>
      <w:r>
        <w:t>От управление „</w:t>
      </w:r>
      <w:r w:rsidR="007A224F">
        <w:t>Застрахователен</w:t>
      </w:r>
      <w:r>
        <w:t xml:space="preserve"> надзор“ и</w:t>
      </w:r>
      <w:r w:rsidR="00813AC9" w:rsidRPr="00F2736B">
        <w:t>здадените предупреждения по чл. 28 от ЗАНН през пъ</w:t>
      </w:r>
      <w:r w:rsidR="00F97A98">
        <w:t>рвото полугодие на 2025 г. са 3</w:t>
      </w:r>
      <w:r w:rsidR="00813AC9" w:rsidRPr="00F2736B">
        <w:t>. Очаква се да бъде изпълнена заложената прогноза от 10 бр. предупреждения по чл. 28 от ЗАНН за цялата 2025 г., предвид наличието на голям брой образувани административнонаказателни преписки, които са все още висящи пред административнонаказателния орган.</w:t>
      </w:r>
    </w:p>
    <w:p w14:paraId="54EA4F12" w14:textId="5ECD8B2E" w:rsidR="00DD3320" w:rsidRPr="00F2736B" w:rsidRDefault="00DD3320" w:rsidP="002D4CB4">
      <w:pPr>
        <w:autoSpaceDE w:val="0"/>
        <w:autoSpaceDN w:val="0"/>
        <w:adjustRightInd w:val="0"/>
        <w:spacing w:line="276" w:lineRule="auto"/>
        <w:jc w:val="both"/>
      </w:pPr>
    </w:p>
    <w:p w14:paraId="3BE84C44" w14:textId="4B206B28" w:rsidR="00BF0710" w:rsidRDefault="002D4CB4" w:rsidP="002D4CB4">
      <w:pPr>
        <w:autoSpaceDE w:val="0"/>
        <w:autoSpaceDN w:val="0"/>
        <w:adjustRightInd w:val="0"/>
        <w:spacing w:line="276" w:lineRule="auto"/>
        <w:jc w:val="both"/>
        <w:rPr>
          <w:b/>
        </w:rPr>
      </w:pPr>
      <w:r w:rsidRPr="00F2736B">
        <w:tab/>
      </w:r>
      <w:r w:rsidR="00BF0710" w:rsidRPr="00F2736B">
        <w:rPr>
          <w:b/>
        </w:rPr>
        <w:t>13.3</w:t>
      </w:r>
      <w:r w:rsidR="00D278B2" w:rsidRPr="00F2736B">
        <w:rPr>
          <w:b/>
        </w:rPr>
        <w:t>.</w:t>
      </w:r>
      <w:r w:rsidR="00DD3320" w:rsidRPr="00F2736B">
        <w:rPr>
          <w:b/>
        </w:rPr>
        <w:t xml:space="preserve"> </w:t>
      </w:r>
      <w:r w:rsidR="00BF0710" w:rsidRPr="00F2736B">
        <w:rPr>
          <w:b/>
        </w:rPr>
        <w:t>Резолюции за прекратяване по чл. 54 от ЗАНН (РП)</w:t>
      </w:r>
    </w:p>
    <w:p w14:paraId="35BBC7DB" w14:textId="20200C09" w:rsidR="00C9749B" w:rsidRPr="00C9749B" w:rsidRDefault="00C9749B" w:rsidP="002D4CB4">
      <w:pPr>
        <w:autoSpaceDE w:val="0"/>
        <w:autoSpaceDN w:val="0"/>
        <w:adjustRightInd w:val="0"/>
        <w:spacing w:line="276" w:lineRule="auto"/>
        <w:jc w:val="both"/>
      </w:pPr>
      <w:r>
        <w:rPr>
          <w:b/>
        </w:rPr>
        <w:tab/>
      </w:r>
      <w:r w:rsidRPr="00C9749B">
        <w:t>През отчетния период от управление „Надзор на инвестиционната дейност“ са издадени 4 резолюции за прекратяване на административнонаказателни производства.</w:t>
      </w:r>
    </w:p>
    <w:p w14:paraId="434137FC" w14:textId="4F8FF8F6" w:rsidR="001A473E" w:rsidRPr="00F2736B" w:rsidRDefault="002D4CB4" w:rsidP="001A473E">
      <w:pPr>
        <w:spacing w:line="276" w:lineRule="auto"/>
        <w:ind w:firstLine="709"/>
        <w:jc w:val="both"/>
      </w:pPr>
      <w:r w:rsidRPr="00F2736B">
        <w:tab/>
      </w:r>
      <w:r w:rsidR="001A473E" w:rsidRPr="00F2736B">
        <w:t xml:space="preserve">През първото полугодие на 2025 г. </w:t>
      </w:r>
      <w:r w:rsidR="00C9749B">
        <w:t xml:space="preserve">от управление „Застрахователен надзор“ </w:t>
      </w:r>
      <w:r w:rsidR="001A473E" w:rsidRPr="00F2736B">
        <w:t>няма издадени резолюции за прекратяване на административнонаказателни производства. Очаква се да не бъде изпълнена заложената прогноза от 10 бр. резолюции за прекратяване по чл. 54 от ЗАНН за цялата 2025 г., предвид високото качество на съставяните в управление „Застрахователен надзор“ актове за установяване на административно нарушение.</w:t>
      </w:r>
    </w:p>
    <w:p w14:paraId="1BA7123B" w14:textId="074D8057" w:rsidR="00DD3320" w:rsidRPr="00F2736B" w:rsidRDefault="00DD3320" w:rsidP="002D4CB4">
      <w:pPr>
        <w:autoSpaceDE w:val="0"/>
        <w:autoSpaceDN w:val="0"/>
        <w:adjustRightInd w:val="0"/>
        <w:spacing w:line="276" w:lineRule="auto"/>
        <w:jc w:val="both"/>
      </w:pPr>
    </w:p>
    <w:p w14:paraId="7373235E" w14:textId="77777777" w:rsidR="00BF0710" w:rsidRPr="00F2736B" w:rsidRDefault="00DD3320" w:rsidP="002D4CB4">
      <w:pPr>
        <w:spacing w:line="276" w:lineRule="auto"/>
        <w:ind w:left="710"/>
        <w:jc w:val="both"/>
        <w:rPr>
          <w:b/>
        </w:rPr>
      </w:pPr>
      <w:r w:rsidRPr="00F2736B">
        <w:rPr>
          <w:b/>
        </w:rPr>
        <w:t>13.4</w:t>
      </w:r>
      <w:r w:rsidR="00D278B2" w:rsidRPr="00F2736B">
        <w:rPr>
          <w:b/>
        </w:rPr>
        <w:t>.</w:t>
      </w:r>
      <w:r w:rsidR="00BF0710" w:rsidRPr="00F2736B">
        <w:rPr>
          <w:b/>
        </w:rPr>
        <w:t xml:space="preserve"> Изготвени становища по постъпили жалби срещу НП, РП и предупреждения</w:t>
      </w:r>
    </w:p>
    <w:p w14:paraId="17B2C0C4" w14:textId="1C735C98" w:rsidR="008D3AAE" w:rsidRPr="00F2736B" w:rsidRDefault="008D3AAE" w:rsidP="008D3AAE">
      <w:pPr>
        <w:spacing w:line="276" w:lineRule="auto"/>
        <w:ind w:firstLine="709"/>
        <w:jc w:val="both"/>
      </w:pPr>
      <w:r w:rsidRPr="00F2736B">
        <w:t xml:space="preserve">При постъпване в КФН на жалба срещу издадено НП се изготвя становище по жалбата, в което се обсъждат изложените в жалбата аргументи и се окомплектова преписката, с оглед изпращането ѝ до компетентния съд. Практиката </w:t>
      </w:r>
      <w:r w:rsidR="00274C0C" w:rsidRPr="00F2736B">
        <w:t xml:space="preserve">в управление „Надзор на инвестиционната дейност“ </w:t>
      </w:r>
      <w:r w:rsidRPr="00F2736B">
        <w:t>показва, че по-малко от 50 % от издадените НП се обжалват от поднадзорните лица. През първото полугодие на 2025 г. са обжалвани по-малко от 20 % от издадените наказателни постановления</w:t>
      </w:r>
      <w:r w:rsidR="002D56A5">
        <w:t>, а именно – 7 броя</w:t>
      </w:r>
      <w:r w:rsidRPr="00F2736B">
        <w:t xml:space="preserve">, тъй като нарушителите са се възползвали от законовата възможност да заплатят размера на наложеното административно наказание в намален размер от 80 %, след което същото влиза в сила и не подлежи на обжалване. </w:t>
      </w:r>
    </w:p>
    <w:p w14:paraId="3F9B8FE0" w14:textId="424C7C1F" w:rsidR="00274C0C" w:rsidRPr="00F2736B" w:rsidRDefault="00274C0C" w:rsidP="00274C0C">
      <w:pPr>
        <w:spacing w:line="276" w:lineRule="auto"/>
        <w:ind w:firstLine="709"/>
        <w:jc w:val="both"/>
      </w:pPr>
      <w:r w:rsidRPr="00F2736B">
        <w:t>През отчетния период в управление „Застрахователен надзор“ са изготвени 20 становища по жалби срещу наказателни постановления, поради което може да се очаква, че до края на 2025 г. заложената прогноза за 50 бр. становища по жалби срещу НП може да не бъде изпълнена. Намаляващият брой жалби срещу издадените наказателни постановления се дължи на факта, че голяма част от застрахователните дружества предпочитат да не обжалват издадените НП, като за сметка на това, на основание по чл. 79б, ал. 1 от ЗАНН, заплатят в законоустановения 14-дневен срок от връчване на НП 80 % от размера на наложената санкция.</w:t>
      </w:r>
    </w:p>
    <w:p w14:paraId="24590328" w14:textId="7B51A0C2" w:rsidR="002B2755" w:rsidRPr="00F2736B" w:rsidRDefault="002B2755" w:rsidP="002D4CB4">
      <w:pPr>
        <w:spacing w:line="276" w:lineRule="auto"/>
        <w:ind w:firstLine="709"/>
        <w:jc w:val="both"/>
        <w:rPr>
          <w:rFonts w:cstheme="minorHAnsi"/>
        </w:rPr>
      </w:pPr>
      <w:r w:rsidRPr="00F2736B">
        <w:rPr>
          <w:lang w:val="en-US"/>
        </w:rPr>
        <w:lastRenderedPageBreak/>
        <w:tab/>
      </w:r>
      <w:r w:rsidRPr="00F2736B">
        <w:rPr>
          <w:rFonts w:cstheme="minorHAnsi"/>
        </w:rPr>
        <w:t xml:space="preserve">През отчетния период от управление „Осигурителен надзор“ </w:t>
      </w:r>
      <w:r w:rsidR="00653ABD" w:rsidRPr="00F2736B">
        <w:t>не са изготвяни становища</w:t>
      </w:r>
      <w:r w:rsidRPr="00F2736B">
        <w:t xml:space="preserve"> по</w:t>
      </w:r>
      <w:r w:rsidR="00653ABD" w:rsidRPr="00F2736B">
        <w:t xml:space="preserve"> постъпили жалби срещу наказателни постановления</w:t>
      </w:r>
      <w:r w:rsidRPr="00F2736B">
        <w:t>.</w:t>
      </w:r>
    </w:p>
    <w:p w14:paraId="05DAE808" w14:textId="77777777" w:rsidR="00F93275" w:rsidRPr="00F2736B" w:rsidRDefault="00F93275" w:rsidP="0052359F">
      <w:pPr>
        <w:spacing w:line="276" w:lineRule="auto"/>
      </w:pPr>
    </w:p>
    <w:p w14:paraId="3A042DDC" w14:textId="7622A4EC" w:rsidR="00490197" w:rsidRDefault="00490197" w:rsidP="0052359F">
      <w:pPr>
        <w:spacing w:line="276" w:lineRule="auto"/>
        <w:rPr>
          <w:b/>
        </w:rPr>
      </w:pPr>
      <w:r w:rsidRPr="00F2736B">
        <w:rPr>
          <w:b/>
        </w:rPr>
        <w:t>1</w:t>
      </w:r>
      <w:r w:rsidR="00953EC4" w:rsidRPr="00F2736B">
        <w:rPr>
          <w:b/>
        </w:rPr>
        <w:t>4</w:t>
      </w:r>
      <w:r w:rsidRPr="00F2736B">
        <w:rPr>
          <w:b/>
        </w:rPr>
        <w:t xml:space="preserve">. </w:t>
      </w:r>
      <w:bookmarkStart w:id="59" w:name="_Toc78466467"/>
      <w:r w:rsidR="00815A09" w:rsidRPr="00F2736B">
        <w:rPr>
          <w:b/>
        </w:rPr>
        <w:t xml:space="preserve">Изготвени решения за прилагане на </w:t>
      </w:r>
      <w:r w:rsidR="00187906" w:rsidRPr="00F2736B">
        <w:rPr>
          <w:b/>
        </w:rPr>
        <w:t xml:space="preserve">принудителна административна мярка </w:t>
      </w:r>
      <w:bookmarkEnd w:id="59"/>
    </w:p>
    <w:p w14:paraId="2A1DE859" w14:textId="39CBC9EA" w:rsidR="00C326AA" w:rsidRPr="00F2736B" w:rsidRDefault="00C326AA" w:rsidP="00C326AA">
      <w:pPr>
        <w:spacing w:line="276" w:lineRule="auto"/>
        <w:jc w:val="both"/>
      </w:pPr>
      <w:r>
        <w:tab/>
        <w:t>През първото полугодие на 2025 г. от управление „Надзор на инвестиционната дейност“ не са изготвяни решения за прилагане на принудителни административни мерки.</w:t>
      </w:r>
    </w:p>
    <w:p w14:paraId="20B6CF33" w14:textId="4091BB7A" w:rsidR="008D515E" w:rsidRPr="00F2736B" w:rsidRDefault="002D4CB4" w:rsidP="008D515E">
      <w:pPr>
        <w:spacing w:line="276" w:lineRule="auto"/>
        <w:jc w:val="both"/>
      </w:pPr>
      <w:r w:rsidRPr="00F2736B">
        <w:tab/>
      </w:r>
      <w:r w:rsidR="008D515E" w:rsidRPr="00F2736B">
        <w:t>През първото полугодие на 2025 г. от управление „Застрахователен надзор“ са издадени 14 решения за прилагане на принудителни административни мерки при общо заложени 15 бр. решения за прилагане на ПАМ.</w:t>
      </w:r>
    </w:p>
    <w:p w14:paraId="56699691" w14:textId="77777777" w:rsidR="008D515E" w:rsidRPr="00F2736B" w:rsidRDefault="008D515E" w:rsidP="008D515E">
      <w:pPr>
        <w:spacing w:line="276" w:lineRule="auto"/>
        <w:jc w:val="both"/>
      </w:pPr>
      <w:r w:rsidRPr="00F2736B">
        <w:tab/>
        <w:t>Следва да бъде посочено, че отчетеният по-голям брой на решенията за прилагане на ПАМ през първото полугодие основно се дължи на обстоятелството, че част от поднадзорните лица не са представили в КФН годишните отчети, справки и доклади за финансовата 2024 г. в изискуемите срокове. В този смисъл, заложената за 2025 г. прогноза вероятно ще бъде изпълнена с несъществено отклонение.</w:t>
      </w:r>
    </w:p>
    <w:p w14:paraId="09E665DC" w14:textId="23A6F09E" w:rsidR="00A77029" w:rsidRPr="00F2736B" w:rsidRDefault="00A77029" w:rsidP="008D515E">
      <w:pPr>
        <w:spacing w:line="276" w:lineRule="auto"/>
        <w:ind w:firstLine="720"/>
        <w:jc w:val="both"/>
      </w:pPr>
      <w:r w:rsidRPr="00F2736B">
        <w:t xml:space="preserve">През отчетния период на 2025 г. от </w:t>
      </w:r>
      <w:r w:rsidRPr="00F2736B">
        <w:rPr>
          <w:rFonts w:cstheme="minorHAnsi"/>
        </w:rPr>
        <w:t>управление „Осигурителен надзор“</w:t>
      </w:r>
      <w:r w:rsidRPr="00F2736B">
        <w:t xml:space="preserve"> не са прилагани ПАМ спрямо ПОД.</w:t>
      </w:r>
    </w:p>
    <w:p w14:paraId="2B41B733" w14:textId="77777777" w:rsidR="00EC5E6A" w:rsidRPr="00F2736B" w:rsidRDefault="00EC5E6A" w:rsidP="0052359F">
      <w:pPr>
        <w:spacing w:line="276" w:lineRule="auto"/>
        <w:ind w:firstLine="709"/>
        <w:jc w:val="both"/>
        <w:rPr>
          <w:bCs/>
          <w:color w:val="000000"/>
        </w:rPr>
      </w:pPr>
    </w:p>
    <w:p w14:paraId="131DE956" w14:textId="77777777" w:rsidR="00490197" w:rsidRPr="00F2736B" w:rsidRDefault="00490197" w:rsidP="0052359F">
      <w:pPr>
        <w:spacing w:line="276" w:lineRule="auto"/>
        <w:jc w:val="both"/>
      </w:pPr>
      <w:bookmarkStart w:id="60" w:name="_Toc78466468"/>
      <w:r w:rsidRPr="00F2736B">
        <w:rPr>
          <w:b/>
        </w:rPr>
        <w:t>1</w:t>
      </w:r>
      <w:r w:rsidR="00953EC4" w:rsidRPr="00F2736B">
        <w:rPr>
          <w:b/>
        </w:rPr>
        <w:t>5</w:t>
      </w:r>
      <w:r w:rsidRPr="00F2736B">
        <w:rPr>
          <w:b/>
        </w:rPr>
        <w:t xml:space="preserve">. </w:t>
      </w:r>
      <w:r w:rsidR="00815A09" w:rsidRPr="00F2736B">
        <w:rPr>
          <w:b/>
        </w:rPr>
        <w:t>Извършване на комплексна оценка и определяне на рисковия профил на поднадзорните лица на база оценка на количествени и качествени показатели</w:t>
      </w:r>
      <w:bookmarkEnd w:id="60"/>
    </w:p>
    <w:p w14:paraId="54966FDB" w14:textId="61EB2BFC" w:rsidR="008E3E8F" w:rsidRPr="008D3AAE" w:rsidRDefault="008E3E8F" w:rsidP="008E3E8F">
      <w:pPr>
        <w:tabs>
          <w:tab w:val="left" w:pos="0"/>
          <w:tab w:val="num" w:pos="720"/>
        </w:tabs>
        <w:spacing w:line="276" w:lineRule="auto"/>
        <w:jc w:val="both"/>
        <w:rPr>
          <w:lang w:bidi="bg-BG"/>
        </w:rPr>
      </w:pPr>
      <w:r>
        <w:rPr>
          <w:lang w:bidi="bg-BG"/>
        </w:rPr>
        <w:tab/>
      </w:r>
      <w:r w:rsidRPr="0032635C">
        <w:rPr>
          <w:lang w:bidi="bg-BG"/>
        </w:rPr>
        <w:t>За целите на годишното планиране на надзорните действия във връзка с осъществяване на специализирания надзор върху превенцията срещу изпиране на пари и финансиране на тероризма на поднадзорните лица на управление „Надзор на инвестиционната дейност“, които попадат в обхвата на лицата по чл. 4 от ЗМИП през отчетния период стартира обработката на въпросниците за самооценка и формите за събиране на статистическа информация за 2024 г. на 80 дружества. Въз основа на събраната информация през следващия отчетен период ще бъде финализирано рисковото профилиране на тези дружества, основано на Общ наръчник за рисково базиран надзор за превенция на изпирането на пари и финансирането на тероризма, основан на „Единна методология на специализирана административна дирекция „Финансово разузнаване“, Държавна агенция „Национална сигурност“ и Комисията за финансов надзор за оценка на риска от изпиране на пари и финансиране на тероризъм на сектори „Инвестиционна дейност“, „Животозастраховане“ и „Допълнително пенсионно осигуряване“, която е утвърдена със Рег. № 09-2-7/15.11.2022 г. от председателя на Комисията за финансов надзор и Рег. № РД-103-2/21.11.2022 г. на председателя на Държавна агенция „Национална сигурност“ (Общ наръчник за рисково базиран надзор за превенция на изпирането на пари и финансирането на тероризма).</w:t>
      </w:r>
    </w:p>
    <w:p w14:paraId="72E886F2" w14:textId="78468108" w:rsidR="008D515E" w:rsidRPr="00F2736B" w:rsidRDefault="008D515E" w:rsidP="008D515E">
      <w:pPr>
        <w:spacing w:line="276" w:lineRule="auto"/>
        <w:ind w:firstLine="720"/>
        <w:jc w:val="both"/>
        <w:rPr>
          <w:bCs/>
        </w:rPr>
      </w:pPr>
      <w:r w:rsidRPr="00F2736B">
        <w:rPr>
          <w:bCs/>
        </w:rPr>
        <w:t>За целите на надзорната дейност на управление „Застрахователен надзор“ през първото полугодие на 2025 г. са изготвени 3 доклада за определяне на рисковия профил на поднадзорните лица за включването им в годината план програма за проверки на място през 2025 г., както следва:</w:t>
      </w:r>
    </w:p>
    <w:p w14:paraId="5D8DD412" w14:textId="77777777" w:rsidR="008D515E" w:rsidRPr="00F2736B" w:rsidRDefault="008D515E" w:rsidP="008D515E">
      <w:pPr>
        <w:pStyle w:val="ListParagraph"/>
        <w:numPr>
          <w:ilvl w:val="0"/>
          <w:numId w:val="45"/>
        </w:numPr>
        <w:spacing w:line="276" w:lineRule="auto"/>
        <w:ind w:left="0" w:firstLine="1080"/>
        <w:jc w:val="both"/>
        <w:rPr>
          <w:bCs/>
        </w:rPr>
      </w:pPr>
      <w:r w:rsidRPr="00F2736B">
        <w:rPr>
          <w:bCs/>
        </w:rPr>
        <w:lastRenderedPageBreak/>
        <w:t>на база на прилагането на Вътрешните правила относно системата от критерии за определяне на застрахователни дружества и застрахователни групи, с изготвен доклад са предложени за одобрение 3 пълни и 2 тематични проверки;</w:t>
      </w:r>
    </w:p>
    <w:p w14:paraId="250D8E95" w14:textId="77777777" w:rsidR="008D515E" w:rsidRPr="00F2736B" w:rsidRDefault="008D515E" w:rsidP="008D515E">
      <w:pPr>
        <w:pStyle w:val="ListParagraph"/>
        <w:numPr>
          <w:ilvl w:val="0"/>
          <w:numId w:val="45"/>
        </w:numPr>
        <w:spacing w:line="276" w:lineRule="auto"/>
        <w:ind w:left="0" w:firstLine="1080"/>
        <w:jc w:val="both"/>
        <w:rPr>
          <w:bCs/>
        </w:rPr>
      </w:pPr>
      <w:r w:rsidRPr="00F2736B">
        <w:rPr>
          <w:bCs/>
        </w:rPr>
        <w:t>на база на резултатите от прилагането на Процедурата по система от рискови критерии за проверка на място на застрахователни посредници, с доклад са предложени за одобрение 30 застрахователни брокери и 5 застрахователни агенти, за включване в Годишния план за проверки на място през 2025 г.</w:t>
      </w:r>
    </w:p>
    <w:p w14:paraId="1423AE04" w14:textId="77777777" w:rsidR="008D515E" w:rsidRPr="00F2736B" w:rsidRDefault="008D515E" w:rsidP="008D515E">
      <w:pPr>
        <w:pStyle w:val="ListParagraph"/>
        <w:numPr>
          <w:ilvl w:val="0"/>
          <w:numId w:val="45"/>
        </w:numPr>
        <w:spacing w:line="276" w:lineRule="auto"/>
        <w:ind w:left="0" w:firstLine="1080"/>
        <w:jc w:val="both"/>
        <w:rPr>
          <w:bCs/>
        </w:rPr>
      </w:pPr>
      <w:r w:rsidRPr="00F2736B">
        <w:rPr>
          <w:bCs/>
        </w:rPr>
        <w:t>на база на резултатите от прилагането на Наръчник за риск базиран надзор за превенция срещу изпирането на пари и финансирането на тероризма в сектор: застрахователния пазар са одобрени и включени в годишния план за проверки на място: 1 застраховател и 5 застрахователни брокери извършващи дейност по животозастраховане.</w:t>
      </w:r>
    </w:p>
    <w:p w14:paraId="650850A0" w14:textId="34654B03" w:rsidR="008D515E" w:rsidRPr="00F2736B" w:rsidRDefault="008D515E" w:rsidP="008D515E">
      <w:pPr>
        <w:spacing w:line="276" w:lineRule="auto"/>
        <w:ind w:firstLine="720"/>
        <w:jc w:val="both"/>
        <w:rPr>
          <w:bCs/>
        </w:rPr>
      </w:pPr>
      <w:r w:rsidRPr="00F2736B">
        <w:rPr>
          <w:bCs/>
        </w:rPr>
        <w:t>През първото полугодие на 2025 г. са финализирани 13 надзорни доклада на база на данни от финансовата 2023 г. Също така е стартирана оценката и определянето на рисковия профил на застрахователите и презастрахователите на база данни за финансовата 2024 г. В тази връзка изготвянето на заложените в бюджетната прогноза 37 надзорни доклада на всеки застраховател и презастраховател по данни за 2024 г., се предвижда да бъде финализирано през втората половина на 2025 г.</w:t>
      </w:r>
    </w:p>
    <w:p w14:paraId="4DEAD58D" w14:textId="0ACFC21F" w:rsidR="008E3E8F" w:rsidRPr="00F2736B" w:rsidRDefault="006C52C6" w:rsidP="00F67C60">
      <w:pPr>
        <w:spacing w:before="60" w:line="276" w:lineRule="auto"/>
        <w:ind w:firstLine="720"/>
        <w:jc w:val="both"/>
      </w:pPr>
      <w:r w:rsidRPr="00F2736B">
        <w:t>В съответствие с Наръчника за прилагане на надзор, основан на риска спрямо ПОД и управляваните от тях ФДПО, всяко тримесечие дирекция „Осигурителен надзор“ извършва комплексна оценка, базирана на количествените и качествените показатели на всяко ПОД и управляваните от него фондове, въз основа на която се определя рисковия профил на дружествата.</w:t>
      </w:r>
      <w:r w:rsidR="007B4973" w:rsidRPr="00F2736B">
        <w:t xml:space="preserve"> През първото тримесечие на 2025</w:t>
      </w:r>
      <w:r w:rsidRPr="00F2736B">
        <w:t xml:space="preserve"> г. е извършена нова комплексна оценка на рисковия профил на всяко дружество, в която е включена системната значимост и „времевият период след последната обща проверка“ към края </w:t>
      </w:r>
      <w:r w:rsidR="007B4973" w:rsidRPr="00F2736B">
        <w:t>на четвъртото тримесечие на 2024</w:t>
      </w:r>
      <w:r w:rsidRPr="00F2736B">
        <w:t xml:space="preserve"> г., на база на която е изготвена и утвърдена Годишната програма за осъществяване на проверки на място в пенсионноосигурителните дружества от дирекция</w:t>
      </w:r>
      <w:r w:rsidR="007B4973" w:rsidRPr="00F2736B">
        <w:t xml:space="preserve"> „Осигурителен надзор“ през 2025</w:t>
      </w:r>
      <w:r w:rsidRPr="00F2736B">
        <w:t xml:space="preserve"> г. Съгласно извършената </w:t>
      </w:r>
      <w:r w:rsidR="007B4973" w:rsidRPr="00F2736B">
        <w:t>комплексна оценка към 31.12.2024</w:t>
      </w:r>
      <w:r w:rsidRPr="00F2736B">
        <w:t xml:space="preserve"> г. шест дружества попадат в диапазона за нискорисков профил </w:t>
      </w:r>
      <w:r w:rsidRPr="00F2736B">
        <w:rPr>
          <w:lang w:val="ru-RU"/>
        </w:rPr>
        <w:t>(</w:t>
      </w:r>
      <w:r w:rsidRPr="00F2736B">
        <w:t>с получени оц</w:t>
      </w:r>
      <w:r w:rsidR="007B4973" w:rsidRPr="00F2736B">
        <w:t>енка от 2,08</w:t>
      </w:r>
      <w:r w:rsidRPr="00F2736B">
        <w:t xml:space="preserve"> до 2,49</w:t>
      </w:r>
      <w:r w:rsidRPr="00F2736B">
        <w:rPr>
          <w:lang w:val="ru-RU"/>
        </w:rPr>
        <w:t>)</w:t>
      </w:r>
      <w:r w:rsidRPr="00F2736B">
        <w:t>, а останалите четири попадат в диапазоните за среднорисков профил с включена рискова премия за системна знач</w:t>
      </w:r>
      <w:r w:rsidR="007B4973" w:rsidRPr="00F2736B">
        <w:t>имост (с получени оценки от 2,56</w:t>
      </w:r>
      <w:r w:rsidRPr="00F2736B">
        <w:t xml:space="preserve"> до 2,</w:t>
      </w:r>
      <w:r w:rsidR="007B4973" w:rsidRPr="00F2736B">
        <w:t>86</w:t>
      </w:r>
      <w:r w:rsidRPr="00F2736B">
        <w:t>).</w:t>
      </w:r>
      <w:r w:rsidR="00681E2E" w:rsidRPr="00F2736B">
        <w:t xml:space="preserve"> </w:t>
      </w:r>
      <w:r w:rsidR="00F67C60" w:rsidRPr="00F2736B">
        <w:t>През второто тримесечие на 2025 г. също е извършена комплексна оценка на рисковия профил на всяко дружество, съгласно която половината дружества попадат в диапазона за нискорисков профил (с получени оценки от 2,09 до 2,45 вкл.), а останалата половина попадат в диапазоните за среднорисков профил с включена рискова премия за системна значимост (с получени оценки от 2,51 до 2,78).</w:t>
      </w:r>
    </w:p>
    <w:p w14:paraId="0C55B7D8" w14:textId="77777777" w:rsidR="00F67C60" w:rsidRPr="00F2736B" w:rsidRDefault="00F67C60" w:rsidP="00F67C60">
      <w:pPr>
        <w:spacing w:before="60" w:line="276" w:lineRule="auto"/>
        <w:ind w:firstLine="720"/>
        <w:jc w:val="both"/>
      </w:pPr>
    </w:p>
    <w:p w14:paraId="7636E95E" w14:textId="77777777" w:rsidR="00490197" w:rsidRPr="00F2736B" w:rsidRDefault="00490197" w:rsidP="0052359F">
      <w:pPr>
        <w:spacing w:line="276" w:lineRule="auto"/>
        <w:rPr>
          <w:b/>
        </w:rPr>
      </w:pPr>
      <w:bookmarkStart w:id="61" w:name="_Toc78466469"/>
      <w:r w:rsidRPr="00F2736B">
        <w:rPr>
          <w:b/>
        </w:rPr>
        <w:t>1</w:t>
      </w:r>
      <w:r w:rsidR="00953EC4" w:rsidRPr="00F2736B">
        <w:rPr>
          <w:b/>
        </w:rPr>
        <w:t>6</w:t>
      </w:r>
      <w:r w:rsidRPr="00F2736B">
        <w:rPr>
          <w:b/>
        </w:rPr>
        <w:t xml:space="preserve">. </w:t>
      </w:r>
      <w:r w:rsidR="00815A09" w:rsidRPr="00F2736B">
        <w:rPr>
          <w:b/>
        </w:rPr>
        <w:t>Извършване на проверки на място</w:t>
      </w:r>
      <w:bookmarkEnd w:id="61"/>
    </w:p>
    <w:p w14:paraId="459FEA4A" w14:textId="168FECB5" w:rsidR="00192B2F" w:rsidRPr="00F2736B" w:rsidRDefault="00192B2F" w:rsidP="006B6069">
      <w:pPr>
        <w:spacing w:line="276" w:lineRule="auto"/>
        <w:ind w:firstLine="709"/>
        <w:jc w:val="both"/>
      </w:pPr>
      <w:r w:rsidRPr="00F2736B">
        <w:t>Пр</w:t>
      </w:r>
      <w:r w:rsidR="006B6069">
        <w:t xml:space="preserve">ез първото полугодие на 2025 г. </w:t>
      </w:r>
      <w:r w:rsidR="00687D35" w:rsidRPr="00F2736B">
        <w:t>отдел НПКИ</w:t>
      </w:r>
      <w:r w:rsidR="006B6069">
        <w:t xml:space="preserve">, управление „Надзор на инвестиционната дейност“, </w:t>
      </w:r>
      <w:r w:rsidRPr="00F2736B">
        <w:t xml:space="preserve">продължи работата по 1 обща (комплексна) планова проверка на едно УД, като в резултат на констатираното при извършването ѝ на УД са съставени и </w:t>
      </w:r>
      <w:r w:rsidRPr="00F2736B">
        <w:lastRenderedPageBreak/>
        <w:t>връчени 3 броя акта за установяване на административни нарушения. Изготвен е проект на докладна записка за изпълнение</w:t>
      </w:r>
      <w:r w:rsidR="00687D35" w:rsidRPr="00F2736B">
        <w:t xml:space="preserve"> на плана за проверки на отдел НПКИ</w:t>
      </w:r>
      <w:r w:rsidRPr="00F2736B">
        <w:t xml:space="preserve"> за 2024 г. и предложение за план за извършване на пълни и тематични проверки за 2025 г. на поднадзорните на отдела лица. </w:t>
      </w:r>
    </w:p>
    <w:p w14:paraId="707C8DFA" w14:textId="6AFE7FFF" w:rsidR="006B6069" w:rsidRDefault="00687D35" w:rsidP="006B6069">
      <w:pPr>
        <w:spacing w:line="276" w:lineRule="auto"/>
        <w:ind w:firstLine="709"/>
        <w:jc w:val="both"/>
      </w:pPr>
      <w:r w:rsidRPr="00F2736B">
        <w:t xml:space="preserve">През текущия период в отдел </w:t>
      </w:r>
      <w:r w:rsidR="003F78BD">
        <w:t>„</w:t>
      </w:r>
      <w:r w:rsidR="003F78BD" w:rsidRPr="003F78BD">
        <w:t>Надзор на публични дружества, емитенти на ценни книжа и ДСИЦ</w:t>
      </w:r>
      <w:r w:rsidR="003F78BD">
        <w:t>“</w:t>
      </w:r>
      <w:r w:rsidR="00192B2F" w:rsidRPr="00F2736B">
        <w:t xml:space="preserve"> не са приключени проверки на място на поднадзорните лица с нарочни заповеди на заместник-председателя на КФН, ръководещ управление НИД.</w:t>
      </w:r>
      <w:r w:rsidR="006B6069" w:rsidRPr="006B6069">
        <w:t xml:space="preserve"> </w:t>
      </w:r>
    </w:p>
    <w:p w14:paraId="4545A021" w14:textId="02EE5F1F" w:rsidR="006B6069" w:rsidRPr="00F2736B" w:rsidRDefault="006B6069" w:rsidP="006B6069">
      <w:pPr>
        <w:spacing w:line="276" w:lineRule="auto"/>
        <w:ind w:firstLine="709"/>
        <w:jc w:val="both"/>
      </w:pPr>
      <w:r>
        <w:t>П</w:t>
      </w:r>
      <w:r w:rsidRPr="00F2736B">
        <w:t xml:space="preserve">рез отчетния период от отдел НПКИ не се отчитат извършени проверки на място. </w:t>
      </w:r>
    </w:p>
    <w:p w14:paraId="7FF38B0A" w14:textId="77777777" w:rsidR="00DA3DA4" w:rsidRPr="00F2736B" w:rsidRDefault="00DA3DA4" w:rsidP="00DA3DA4">
      <w:pPr>
        <w:spacing w:before="60" w:after="60" w:line="276" w:lineRule="auto"/>
        <w:ind w:firstLine="709"/>
        <w:jc w:val="both"/>
      </w:pPr>
      <w:bookmarkStart w:id="62" w:name="_Toc78466471"/>
      <w:r w:rsidRPr="00F2736B">
        <w:t>През първото полугодие на 2025 г. от управление „Застрахователен надзор“ са извършени общо 22 от планираните  общи планови проверки на застрахователни посредници, както следва:</w:t>
      </w:r>
    </w:p>
    <w:p w14:paraId="3D2A07C1" w14:textId="77777777" w:rsidR="00DA3DA4" w:rsidRPr="00F2736B" w:rsidRDefault="00DA3DA4" w:rsidP="00DA3DA4">
      <w:pPr>
        <w:pStyle w:val="ListParagraph"/>
        <w:numPr>
          <w:ilvl w:val="0"/>
          <w:numId w:val="46"/>
        </w:numPr>
        <w:spacing w:before="60" w:after="60" w:line="276" w:lineRule="auto"/>
        <w:ind w:hanging="578"/>
        <w:jc w:val="both"/>
      </w:pPr>
      <w:r w:rsidRPr="00F2736B">
        <w:t>17 проверки на място за спазването на изискванията на КЗ и подзаконовите нормативни актове;</w:t>
      </w:r>
    </w:p>
    <w:p w14:paraId="10783A2D" w14:textId="49FD4743" w:rsidR="00DA3DA4" w:rsidRDefault="00DA3DA4" w:rsidP="00DA3DA4">
      <w:pPr>
        <w:pStyle w:val="ListParagraph"/>
        <w:numPr>
          <w:ilvl w:val="0"/>
          <w:numId w:val="46"/>
        </w:numPr>
        <w:spacing w:before="60" w:after="60" w:line="276" w:lineRule="auto"/>
        <w:ind w:hanging="578"/>
        <w:jc w:val="both"/>
      </w:pPr>
      <w:r w:rsidRPr="00F2736B">
        <w:t>5 проверки на място по спазването на мерките срещу изпирането на пари и финансирането на тероризма.</w:t>
      </w:r>
    </w:p>
    <w:p w14:paraId="14A3B314" w14:textId="180BAC39" w:rsidR="006B6069" w:rsidRPr="00F2736B" w:rsidRDefault="006B6069" w:rsidP="006B6069">
      <w:pPr>
        <w:spacing w:before="60" w:after="60" w:line="276" w:lineRule="auto"/>
        <w:ind w:firstLine="709"/>
        <w:jc w:val="both"/>
      </w:pPr>
      <w:r w:rsidRPr="006B6069">
        <w:t>През първото полугодие на 2025 г. от управление „Застрахователен надзор“ е извършена 1 тематична проверка на застраховател по спазването на изискванията на КЗ и подзаконовите нормативни актове.</w:t>
      </w:r>
    </w:p>
    <w:p w14:paraId="74094EB8" w14:textId="69ACED96" w:rsidR="005B6DBB" w:rsidRPr="00F2736B" w:rsidRDefault="005B6DBB" w:rsidP="005B6DBB">
      <w:pPr>
        <w:spacing w:before="60" w:after="60" w:line="276" w:lineRule="auto"/>
        <w:ind w:firstLine="709"/>
        <w:jc w:val="both"/>
      </w:pPr>
      <w:r w:rsidRPr="00F2736B">
        <w:t xml:space="preserve">Съгласно утвърдената Годишна програма за проверки на място в пенсионноосигурителни дружества и банки попечители за 2025 г., през отчетния период дирекция ОН стартира и приключи съвместна с БНБ проверка на място в БП, при която не са установени нарушения, но на банката са отправени 2 препоръки за подобряване на дейността ѝ. Също така към края на второ тримесечие на 2025 г. стартира обща проверка на място в ПОД, за спазване изискванията на нормативните актове по допълнително пенсионно осигуряване. </w:t>
      </w:r>
    </w:p>
    <w:bookmarkEnd w:id="62"/>
    <w:p w14:paraId="330EDEFE" w14:textId="7449FECC" w:rsidR="00B06E0F" w:rsidRPr="00F2736B" w:rsidRDefault="006C52C6" w:rsidP="00B06E0F">
      <w:pPr>
        <w:spacing w:line="276" w:lineRule="auto"/>
        <w:ind w:firstLine="720"/>
        <w:jc w:val="both"/>
      </w:pPr>
      <w:r w:rsidRPr="00F2736B">
        <w:t>В кр</w:t>
      </w:r>
      <w:r w:rsidR="00B06E0F" w:rsidRPr="00F2736B">
        <w:t>ая на второто тримесечие на 2025</w:t>
      </w:r>
      <w:r w:rsidRPr="00F2736B">
        <w:t xml:space="preserve"> г. управление „Осигурителен надзор“ стартира </w:t>
      </w:r>
      <w:r w:rsidR="00E1265C">
        <w:t xml:space="preserve">извънредна </w:t>
      </w:r>
      <w:r w:rsidR="00B06E0F" w:rsidRPr="00F2736B">
        <w:t>тематична проверка за спазване разпоредбите на Кодекса за социално осигуряване и подзаконовите нормативни актове по прилагането му по отношение на: приходи и разходи на дружеството, собствени средства, граница на платежоспособност и минимални ликвидни средства на дружеството, поддържане на специализираните резерви на дружеството, както и по отношение на постъпили в дружеството жалби, сигнали и оплаквания във връзка с дейността на дружеството и осъществяване на осигурително-посредническа дейност. Проверката все още не е приключила.</w:t>
      </w:r>
    </w:p>
    <w:p w14:paraId="43F8C56F" w14:textId="2DB27A69" w:rsidR="001B779F" w:rsidRPr="00F2736B" w:rsidRDefault="001B779F" w:rsidP="0052359F">
      <w:pPr>
        <w:spacing w:line="276" w:lineRule="auto"/>
        <w:ind w:firstLine="709"/>
        <w:jc w:val="both"/>
        <w:rPr>
          <w:rFonts w:cstheme="minorHAnsi"/>
        </w:rPr>
      </w:pPr>
    </w:p>
    <w:p w14:paraId="39BB084B" w14:textId="77777777" w:rsidR="00490197" w:rsidRPr="00F2736B" w:rsidRDefault="00815A09" w:rsidP="0052359F">
      <w:pPr>
        <w:spacing w:line="276" w:lineRule="auto"/>
        <w:jc w:val="both"/>
        <w:rPr>
          <w:b/>
        </w:rPr>
      </w:pPr>
      <w:bookmarkStart w:id="63" w:name="_Toc78466472"/>
      <w:r w:rsidRPr="00F2736B">
        <w:rPr>
          <w:b/>
        </w:rPr>
        <w:t>1</w:t>
      </w:r>
      <w:r w:rsidR="00953EC4" w:rsidRPr="00F2736B">
        <w:rPr>
          <w:b/>
        </w:rPr>
        <w:t>7</w:t>
      </w:r>
      <w:r w:rsidR="00490197" w:rsidRPr="00F2736B">
        <w:rPr>
          <w:b/>
        </w:rPr>
        <w:t xml:space="preserve">. </w:t>
      </w:r>
      <w:r w:rsidRPr="00F2736B">
        <w:rPr>
          <w:b/>
        </w:rPr>
        <w:t>Изготвяне на анализи на финансовите пазари и преглед на рисковете на небанковия финансов сектор и прогнози относно дейността на поднадзорните лица</w:t>
      </w:r>
      <w:bookmarkEnd w:id="63"/>
    </w:p>
    <w:p w14:paraId="7856BE5D" w14:textId="7E7D2DAE" w:rsidR="001F3727" w:rsidRPr="00F2736B" w:rsidRDefault="002D4CB4" w:rsidP="001F3727">
      <w:pPr>
        <w:spacing w:line="276" w:lineRule="auto"/>
        <w:ind w:firstLine="710"/>
        <w:jc w:val="both"/>
      </w:pPr>
      <w:bookmarkStart w:id="64" w:name="_Toc78466473"/>
      <w:r w:rsidRPr="00F2736B">
        <w:tab/>
      </w:r>
      <w:r w:rsidR="001F3727" w:rsidRPr="00F2736B">
        <w:t>През първото полугодие на 2025 г. управление „Застрахователен надзор“ е изготвило 2 тримесечни анализа за състоянието на застрахователния пазар в Република България във връзка с изискването на чл. 10 от Правилника за устройството и дейността на Комисията за финансов надзор и на нейната администрация.</w:t>
      </w:r>
    </w:p>
    <w:p w14:paraId="32D1FA1C" w14:textId="2D95F6CE" w:rsidR="001F3727" w:rsidRPr="00F2736B" w:rsidRDefault="001F3727" w:rsidP="001F3727">
      <w:pPr>
        <w:spacing w:line="276" w:lineRule="auto"/>
        <w:ind w:firstLine="710"/>
        <w:jc w:val="both"/>
      </w:pPr>
      <w:r w:rsidRPr="00F2736B">
        <w:lastRenderedPageBreak/>
        <w:t xml:space="preserve">За целите на Годишния отчет за дейността на КФН за 2024 г. е изготвен и 1 анализ на участниците на застрахователния сектор през 2024 г. </w:t>
      </w:r>
    </w:p>
    <w:p w14:paraId="3C74D59F" w14:textId="24D848BA" w:rsidR="001F3727" w:rsidRPr="00F2736B" w:rsidRDefault="001F3727" w:rsidP="000B62A1">
      <w:pPr>
        <w:spacing w:line="276" w:lineRule="auto"/>
        <w:ind w:firstLine="710"/>
        <w:jc w:val="both"/>
      </w:pPr>
      <w:r w:rsidRPr="00F2736B">
        <w:t xml:space="preserve">Изготвен е 1 преглед на системните рискове на застрахователния пазар в България, който е изграден на база централизирано конструирани от </w:t>
      </w:r>
      <w:r w:rsidR="00F87759">
        <w:rPr>
          <w:bCs/>
          <w:iCs/>
          <w:szCs w:val="20"/>
        </w:rPr>
        <w:t>ЕОЗППО</w:t>
      </w:r>
      <w:r w:rsidRPr="00F2736B">
        <w:t xml:space="preserve"> показатели с източник годишните количествени справки за надзорна отчетност на дружествата по Платежоспособност II за 2023 г. Прегледът е разработен съгласно рамката на </w:t>
      </w:r>
      <w:r w:rsidR="00F87759">
        <w:rPr>
          <w:bCs/>
          <w:iCs/>
          <w:szCs w:val="20"/>
        </w:rPr>
        <w:t>ЕОЗППО</w:t>
      </w:r>
      <w:r w:rsidRPr="00F2736B">
        <w:t xml:space="preserve">) за оценка на системните рискове на европейския застрахователен пазар (European Systemic Risk Assessment Framework - SRAF) (EIOPA-BoS-24-156). Рамката адаптира Холистичната рамка за оценка на системните рискове в застраховането на глобално ниво (Holistic Framework for Systemic Risk in the Insurance Sector) на IAIS и надгражда върху Таблото с рискови индикатори (Risk Dashboard) на </w:t>
      </w:r>
      <w:r w:rsidR="00F87759">
        <w:rPr>
          <w:bCs/>
          <w:iCs/>
          <w:szCs w:val="20"/>
        </w:rPr>
        <w:t>ЕОЗППО</w:t>
      </w:r>
      <w:r w:rsidRPr="00F2736B">
        <w:t>.</w:t>
      </w:r>
    </w:p>
    <w:p w14:paraId="6933F93E" w14:textId="77777777" w:rsidR="001F3727" w:rsidRPr="00F2736B" w:rsidRDefault="001F3727" w:rsidP="000B62A1">
      <w:pPr>
        <w:spacing w:line="276" w:lineRule="auto"/>
        <w:ind w:firstLine="710"/>
        <w:jc w:val="both"/>
      </w:pPr>
      <w:r w:rsidRPr="00F2736B">
        <w:t xml:space="preserve">Така, през първото полугодие са извършени общо 4 (четири) анализа за застрахователния пазар в България. </w:t>
      </w:r>
    </w:p>
    <w:p w14:paraId="09EDC07B" w14:textId="00B294CC" w:rsidR="001F3727" w:rsidRPr="00F2736B" w:rsidRDefault="001F3727" w:rsidP="000B62A1">
      <w:pPr>
        <w:spacing w:line="276" w:lineRule="auto"/>
        <w:ind w:firstLine="360"/>
        <w:jc w:val="both"/>
      </w:pPr>
    </w:p>
    <w:p w14:paraId="67C6FFF7" w14:textId="3885994C" w:rsidR="00875824" w:rsidRPr="00F2736B" w:rsidRDefault="00875824" w:rsidP="000B62A1">
      <w:pPr>
        <w:spacing w:line="276" w:lineRule="auto"/>
        <w:jc w:val="both"/>
        <w:rPr>
          <w:b/>
        </w:rPr>
      </w:pPr>
    </w:p>
    <w:p w14:paraId="5856A762" w14:textId="77777777" w:rsidR="002C2C54" w:rsidRPr="00F2736B" w:rsidRDefault="00953EC4" w:rsidP="000B62A1">
      <w:pPr>
        <w:spacing w:line="276" w:lineRule="auto"/>
      </w:pPr>
      <w:r w:rsidRPr="00F2736B">
        <w:rPr>
          <w:b/>
        </w:rPr>
        <w:t>18</w:t>
      </w:r>
      <w:r w:rsidR="002C2C54" w:rsidRPr="00F2736B">
        <w:rPr>
          <w:b/>
        </w:rPr>
        <w:t>.Разглеждане на сигнали, жалби, запитвания или медийни публикации.</w:t>
      </w:r>
      <w:bookmarkEnd w:id="64"/>
      <w:r w:rsidR="002C2C54" w:rsidRPr="00F2736B">
        <w:rPr>
          <w:b/>
        </w:rPr>
        <w:t xml:space="preserve"> </w:t>
      </w:r>
    </w:p>
    <w:p w14:paraId="0F602FB9" w14:textId="77777777" w:rsidR="002C2C54" w:rsidRPr="00F2736B" w:rsidRDefault="00953EC4" w:rsidP="000B62A1">
      <w:pPr>
        <w:spacing w:line="276" w:lineRule="auto"/>
        <w:rPr>
          <w:b/>
          <w:iCs/>
        </w:rPr>
      </w:pPr>
      <w:bookmarkStart w:id="65" w:name="_Toc78466474"/>
      <w:r w:rsidRPr="00F2736B">
        <w:rPr>
          <w:b/>
          <w:iCs/>
        </w:rPr>
        <w:t>18</w:t>
      </w:r>
      <w:r w:rsidR="002C2C54" w:rsidRPr="00F2736B">
        <w:rPr>
          <w:b/>
          <w:iCs/>
        </w:rPr>
        <w:t>.1</w:t>
      </w:r>
      <w:r w:rsidR="00206CDD" w:rsidRPr="00F2736B">
        <w:rPr>
          <w:b/>
          <w:iCs/>
        </w:rPr>
        <w:t>.</w:t>
      </w:r>
      <w:r w:rsidR="002C2C54" w:rsidRPr="00F2736B">
        <w:rPr>
          <w:b/>
          <w:iCs/>
        </w:rPr>
        <w:t xml:space="preserve"> изготвяне на становища и/или отговори по жалби</w:t>
      </w:r>
      <w:bookmarkEnd w:id="65"/>
    </w:p>
    <w:p w14:paraId="7E338C92" w14:textId="77777777" w:rsidR="00F41978" w:rsidRPr="002D4CB4" w:rsidRDefault="00F41978" w:rsidP="00F41978">
      <w:pPr>
        <w:spacing w:line="276" w:lineRule="auto"/>
        <w:ind w:firstLine="709"/>
        <w:jc w:val="both"/>
        <w:rPr>
          <w:bCs/>
          <w:iCs/>
        </w:rPr>
      </w:pPr>
      <w:r w:rsidRPr="002D4CB4">
        <w:t>Съгласно чл. 17а, ал.</w:t>
      </w:r>
      <w:r>
        <w:t xml:space="preserve"> </w:t>
      </w:r>
      <w:r w:rsidRPr="002D4CB4">
        <w:t xml:space="preserve">2 от ЗКФН, членът на КФН разглежда жалби и сигнали, свързани с поднадзорни на КФН лица. </w:t>
      </w:r>
      <w:r w:rsidRPr="002D4CB4">
        <w:rPr>
          <w:bCs/>
          <w:iCs/>
        </w:rPr>
        <w:t>За 2024 г. е пр</w:t>
      </w:r>
      <w:r>
        <w:rPr>
          <w:bCs/>
          <w:iCs/>
        </w:rPr>
        <w:t>огнозирано</w:t>
      </w:r>
      <w:r w:rsidRPr="002D4CB4">
        <w:rPr>
          <w:bCs/>
          <w:iCs/>
        </w:rPr>
        <w:t xml:space="preserve"> да постъпят 1200 жалби на потребители на небанкови финансови услуги и продукти.</w:t>
      </w:r>
    </w:p>
    <w:p w14:paraId="50813736" w14:textId="4B8A330F" w:rsidR="00C46C5C" w:rsidRPr="00F2736B" w:rsidRDefault="00484997" w:rsidP="000B62A1">
      <w:pPr>
        <w:spacing w:line="276" w:lineRule="auto"/>
        <w:ind w:firstLine="710"/>
        <w:jc w:val="both"/>
      </w:pPr>
      <w:r w:rsidRPr="00F2736B">
        <w:t>Към 30.06.2025 г. в Комисията са постъпили</w:t>
      </w:r>
      <w:r w:rsidR="00C46C5C" w:rsidRPr="00F2736B">
        <w:t xml:space="preserve"> </w:t>
      </w:r>
      <w:r w:rsidRPr="00F2736B">
        <w:t>734 жалби</w:t>
      </w:r>
      <w:r w:rsidR="00C46C5C" w:rsidRPr="00F2736B">
        <w:t xml:space="preserve">. Наблюдава се лек ръст в броя на постъпилите жалби за първото шестмесечие, което се дължи на по-висока активност на потребителите основно преди летните месеци. </w:t>
      </w:r>
    </w:p>
    <w:p w14:paraId="0161CD30" w14:textId="77777777" w:rsidR="0098749A" w:rsidRPr="00F2736B" w:rsidRDefault="0098749A" w:rsidP="000B62A1">
      <w:pPr>
        <w:spacing w:line="276" w:lineRule="auto"/>
        <w:jc w:val="both"/>
        <w:rPr>
          <w:bCs/>
          <w:iCs/>
        </w:rPr>
      </w:pPr>
    </w:p>
    <w:p w14:paraId="20095573" w14:textId="77777777" w:rsidR="002C2C54" w:rsidRPr="00F2736B" w:rsidRDefault="00953EC4" w:rsidP="000B62A1">
      <w:pPr>
        <w:spacing w:line="276" w:lineRule="auto"/>
        <w:rPr>
          <w:rFonts w:eastAsiaTheme="majorEastAsia"/>
          <w:b/>
          <w:color w:val="FF0000"/>
        </w:rPr>
      </w:pPr>
      <w:r w:rsidRPr="00F2736B">
        <w:rPr>
          <w:rFonts w:eastAsiaTheme="majorEastAsia"/>
          <w:b/>
        </w:rPr>
        <w:t>18</w:t>
      </w:r>
      <w:r w:rsidR="002C2C54" w:rsidRPr="00F2736B">
        <w:rPr>
          <w:rFonts w:eastAsiaTheme="majorEastAsia"/>
          <w:b/>
        </w:rPr>
        <w:t>.2</w:t>
      </w:r>
      <w:r w:rsidR="00206CDD" w:rsidRPr="00F2736B">
        <w:rPr>
          <w:rFonts w:eastAsiaTheme="majorEastAsia"/>
          <w:b/>
        </w:rPr>
        <w:t>.</w:t>
      </w:r>
      <w:r w:rsidR="002C2C54" w:rsidRPr="00F2736B">
        <w:rPr>
          <w:rFonts w:eastAsiaTheme="majorEastAsia"/>
          <w:b/>
        </w:rPr>
        <w:t xml:space="preserve"> изготвяне на отговори по запитвания и сигнали</w:t>
      </w:r>
      <w:r w:rsidR="002C2C54" w:rsidRPr="00F2736B">
        <w:rPr>
          <w:rFonts w:eastAsiaTheme="majorEastAsia"/>
          <w:b/>
          <w:color w:val="FF0000"/>
        </w:rPr>
        <w:t xml:space="preserve"> </w:t>
      </w:r>
    </w:p>
    <w:p w14:paraId="31ECA0C4" w14:textId="77DDD402" w:rsidR="008524E4" w:rsidRPr="00F2736B" w:rsidRDefault="008524E4" w:rsidP="000B62A1">
      <w:pPr>
        <w:spacing w:line="276" w:lineRule="auto"/>
        <w:ind w:firstLine="710"/>
        <w:jc w:val="both"/>
      </w:pPr>
      <w:r w:rsidRPr="00F2736B">
        <w:t>През отчетния период в дирекция НИД са постъпили общо 167 броя жалби и сигнали, запитвания от физически, юридически лица и държавни органи, по които са изготвени отговори или се предоставя релевантна информация. Част от запитванията са свързани с превалутиране на дялове на ДФ преди датата на въвеждане на еврото в Република България и валутата във финансовата отчетност преди и след тази дата. Друга част от жалбите и сигналите се отнасян предимно за случаи на измама, при които предоставянето на инвестиционни услуги е само претекст, използван за убеждаване на жертвите за извършване на плащания към организаторите на измамата. В тези случаи връзката с жертвите се осъществява изключително дистанционно – чрез социалните мрежи или мобилни комуникационни приложения, като в случаите, в които са налице данни (напр. телефонни номера), същите сочат за местопребиваване на организаторите на измамата извън Европейския съюз. В тези случаи, доколкото няма категорични данни да е налице предоставянето на инвестиционни услуги, се предприемат действия по уведомяването на разследващите органи.</w:t>
      </w:r>
    </w:p>
    <w:p w14:paraId="5DE05F42" w14:textId="4B063783" w:rsidR="008524E4" w:rsidRPr="00F2736B" w:rsidRDefault="008524E4" w:rsidP="000B62A1">
      <w:pPr>
        <w:spacing w:line="276" w:lineRule="auto"/>
        <w:ind w:firstLine="710"/>
        <w:jc w:val="both"/>
      </w:pPr>
      <w:r w:rsidRPr="00F2736B">
        <w:t xml:space="preserve">В хода на осъществявания дистанционен надзор по отношение на предприятията за колективно инвестиране през отчетния период са постъпили 2 броя запитвания, като по </w:t>
      </w:r>
      <w:r w:rsidRPr="00F2736B">
        <w:lastRenderedPageBreak/>
        <w:t xml:space="preserve">едното запитване е изготвен отговор до лицето, а по другото запитване работата продължава и през следващия отчетен период. Отделно от посоченото по други 4 броя запитвания, съвместно с дирекция РРИД са изготвени отговори на 3 от тях, а за другото е изготвен отговор съвместно с отдел </w:t>
      </w:r>
      <w:r w:rsidR="003F78BD">
        <w:t>„</w:t>
      </w:r>
      <w:r w:rsidR="003F78BD" w:rsidRPr="003F78BD">
        <w:t>Надзор на доставчици на инвестиционни услуги и места на търговия</w:t>
      </w:r>
      <w:r w:rsidR="003F78BD">
        <w:t>“</w:t>
      </w:r>
      <w:r w:rsidRPr="00F2736B">
        <w:t>.</w:t>
      </w:r>
    </w:p>
    <w:p w14:paraId="03B361F0" w14:textId="00DDA292" w:rsidR="008524E4" w:rsidRPr="00F2736B" w:rsidRDefault="008524E4" w:rsidP="000B62A1">
      <w:pPr>
        <w:spacing w:line="276" w:lineRule="auto"/>
        <w:ind w:firstLine="710"/>
        <w:jc w:val="both"/>
      </w:pPr>
      <w:r w:rsidRPr="00F2736B">
        <w:t xml:space="preserve">През отчетния период в отдел </w:t>
      </w:r>
      <w:r w:rsidR="003F78BD">
        <w:t>„</w:t>
      </w:r>
      <w:r w:rsidR="003F78BD" w:rsidRPr="003F78BD">
        <w:t>Надзор на публични дружества, емитенти на ценни книжа и ДСИЦ</w:t>
      </w:r>
      <w:r w:rsidR="003F78BD">
        <w:t>“</w:t>
      </w:r>
      <w:r w:rsidRPr="00F2736B">
        <w:t xml:space="preserve"> са постъпили сигнали, искания или запитвания от граждани, юридически лица, както и от различни институции и организации. В преобладаващата си част, постъпилите жалби, сигнали и запитвания, са свързани с въпроси от участници в масовата приватизация; такива, свързани с приложното поле на ЗППЦК и актовете по прилагането му, както и такива, които касаят сигнали за нарушения на действащото законодателство; запитвания за притежавани акции от физически или юридически лица, както и запитвания, свързани с публичния статут на вписани в регистъра на КФН дружества и други. По 33 жалби, сигнали, искания, запитвания отдел </w:t>
      </w:r>
      <w:r w:rsidR="003F78BD">
        <w:t>„</w:t>
      </w:r>
      <w:r w:rsidR="003F78BD" w:rsidRPr="003F78BD">
        <w:t>Надзор на публични дружества, емитенти на ценни книжа и ДСИЦ</w:t>
      </w:r>
      <w:r w:rsidR="003F78BD">
        <w:t>“</w:t>
      </w:r>
      <w:r w:rsidRPr="00F2736B">
        <w:t xml:space="preserve"> е отговорил самостоятелно и директно на подателя.</w:t>
      </w:r>
    </w:p>
    <w:p w14:paraId="173CE888" w14:textId="06A41801" w:rsidR="00765905" w:rsidRPr="00F2736B" w:rsidRDefault="008524E4" w:rsidP="000B62A1">
      <w:pPr>
        <w:spacing w:line="276" w:lineRule="auto"/>
        <w:ind w:firstLine="709"/>
        <w:jc w:val="both"/>
      </w:pPr>
      <w:r w:rsidRPr="00F2736B">
        <w:t xml:space="preserve">От дирекция РРИД са изготвени </w:t>
      </w:r>
      <w:r w:rsidR="00765905" w:rsidRPr="00F2736B">
        <w:t>94 отговори на различни запитвания</w:t>
      </w:r>
      <w:r w:rsidRPr="00F2736B">
        <w:t>.</w:t>
      </w:r>
      <w:r w:rsidR="00765905" w:rsidRPr="00F2736B">
        <w:t xml:space="preserve"> </w:t>
      </w:r>
    </w:p>
    <w:p w14:paraId="3811F239" w14:textId="77777777" w:rsidR="00264B24" w:rsidRPr="00F2736B" w:rsidRDefault="00264B24" w:rsidP="000B62A1">
      <w:pPr>
        <w:spacing w:line="276" w:lineRule="auto"/>
        <w:ind w:firstLine="709"/>
        <w:jc w:val="both"/>
      </w:pPr>
      <w:r w:rsidRPr="00F2736B">
        <w:t>В резултат на постъпили запитвания от граждани, юридически лица, различни институции асоциации, външни организации, поднадзорни и др. лица от управление „Застрахователен надзор“ са изготвени 55 броя отговори. Запитванията са основно във връзка с прилагането и тълкуване на разпоредби на КЗ и относно защита правата и интересите на заинтересованите лица в Република България. Всяко едно запитване е анализирано и са предприети действия с оглед систематизиране на информацията, необходима за изготвяне на отговор до лицата.</w:t>
      </w:r>
    </w:p>
    <w:p w14:paraId="0808DABC" w14:textId="1EA31CF3" w:rsidR="006C52C6" w:rsidRPr="00F2736B" w:rsidRDefault="006C52C6" w:rsidP="000B62A1">
      <w:pPr>
        <w:spacing w:line="276" w:lineRule="auto"/>
        <w:ind w:firstLine="709"/>
        <w:jc w:val="both"/>
      </w:pPr>
      <w:r w:rsidRPr="00F2736B">
        <w:t xml:space="preserve">В </w:t>
      </w:r>
      <w:r w:rsidR="00DD66CB" w:rsidRPr="00F2736B">
        <w:t>управление</w:t>
      </w:r>
      <w:r w:rsidRPr="00F2736B">
        <w:t xml:space="preserve"> „Осигурителен надз</w:t>
      </w:r>
      <w:r w:rsidR="005B1534" w:rsidRPr="00F2736B">
        <w:t>ор” през първо полугодие на 2025</w:t>
      </w:r>
      <w:r w:rsidRPr="00F2736B">
        <w:t xml:space="preserve"> г. са постъпили </w:t>
      </w:r>
      <w:r w:rsidR="005B1534" w:rsidRPr="00F2736B">
        <w:t>5</w:t>
      </w:r>
      <w:r w:rsidRPr="00F2736B">
        <w:t xml:space="preserve">2 запитвания от физически лица. Във връзка с постъпилите запитвания е оказвано съдействие и е предоставяна необходимата информация на съответните лица, в рамките на компетентността на дирекцията. Постъпилите през периода запитвания са свързани основно с искане на информация от наследници на починали лица във връзка с допълнителното пенсионно осигуряване на техните наследодатели, като в срок са изготвени отговори до лицата. </w:t>
      </w:r>
      <w:r w:rsidR="005B1534" w:rsidRPr="00F2736B">
        <w:t>Своевременно са извършени проверки по документи и са предприети необходими действия по получен през периода един сигнал от пенсионноосигурително дружество, във връзка със средства по индивидуалните партиди на осигурени лица, променили участието си.</w:t>
      </w:r>
    </w:p>
    <w:p w14:paraId="56BC09AE" w14:textId="77777777" w:rsidR="006C52C6" w:rsidRPr="00F2736B" w:rsidRDefault="006C52C6" w:rsidP="000B62A1">
      <w:pPr>
        <w:tabs>
          <w:tab w:val="left" w:pos="720"/>
        </w:tabs>
        <w:spacing w:before="60" w:after="60" w:line="276" w:lineRule="auto"/>
        <w:ind w:firstLine="709"/>
        <w:jc w:val="both"/>
      </w:pPr>
    </w:p>
    <w:p w14:paraId="06CC3893" w14:textId="77777777" w:rsidR="00E44A2A" w:rsidRPr="00F2736B" w:rsidRDefault="00953EC4" w:rsidP="000B62A1">
      <w:pPr>
        <w:spacing w:line="276" w:lineRule="auto"/>
        <w:rPr>
          <w:rFonts w:eastAsiaTheme="majorEastAsia"/>
          <w:b/>
        </w:rPr>
      </w:pPr>
      <w:r w:rsidRPr="00F2736B">
        <w:rPr>
          <w:rFonts w:eastAsiaTheme="majorEastAsia"/>
          <w:b/>
        </w:rPr>
        <w:t>18</w:t>
      </w:r>
      <w:r w:rsidR="002C2C54" w:rsidRPr="00F2736B">
        <w:rPr>
          <w:rFonts w:eastAsiaTheme="majorEastAsia"/>
          <w:b/>
        </w:rPr>
        <w:t>.3</w:t>
      </w:r>
      <w:r w:rsidR="00206CDD" w:rsidRPr="00F2736B">
        <w:rPr>
          <w:rFonts w:eastAsiaTheme="majorEastAsia"/>
          <w:b/>
        </w:rPr>
        <w:t>.</w:t>
      </w:r>
      <w:r w:rsidR="002C2C54" w:rsidRPr="00F2736B">
        <w:rPr>
          <w:rFonts w:eastAsiaTheme="majorEastAsia"/>
          <w:b/>
        </w:rPr>
        <w:t xml:space="preserve"> изготвени материали/становища във връзка с п</w:t>
      </w:r>
      <w:r w:rsidR="00DD66CB" w:rsidRPr="00F2736B">
        <w:rPr>
          <w:rFonts w:eastAsiaTheme="majorEastAsia"/>
          <w:b/>
        </w:rPr>
        <w:t>убликации относно дейността на К</w:t>
      </w:r>
      <w:r w:rsidR="002C2C54" w:rsidRPr="00F2736B">
        <w:rPr>
          <w:rFonts w:eastAsiaTheme="majorEastAsia"/>
          <w:b/>
        </w:rPr>
        <w:t>омисията и нейните органи</w:t>
      </w:r>
    </w:p>
    <w:p w14:paraId="63A30324" w14:textId="030D2B80" w:rsidR="00E44A2A" w:rsidRPr="00F2736B" w:rsidRDefault="00E44A2A" w:rsidP="000B62A1">
      <w:pPr>
        <w:spacing w:line="276" w:lineRule="auto"/>
        <w:ind w:firstLine="709"/>
        <w:jc w:val="both"/>
        <w:rPr>
          <w:b/>
          <w:bCs/>
          <w:color w:val="000000"/>
        </w:rPr>
      </w:pPr>
      <w:r w:rsidRPr="00F2736B">
        <w:rPr>
          <w:rFonts w:cstheme="minorHAnsi"/>
        </w:rPr>
        <w:t xml:space="preserve">През отчетния период </w:t>
      </w:r>
      <w:r w:rsidR="00AC44AA" w:rsidRPr="00F2736B">
        <w:rPr>
          <w:rFonts w:cstheme="minorHAnsi"/>
        </w:rPr>
        <w:t>е изготвена 1</w:t>
      </w:r>
      <w:r w:rsidRPr="00F2736B">
        <w:rPr>
          <w:rFonts w:cstheme="minorHAnsi"/>
        </w:rPr>
        <w:t xml:space="preserve"> </w:t>
      </w:r>
      <w:r w:rsidR="00AC44AA" w:rsidRPr="00F2736B">
        <w:rPr>
          <w:bCs/>
          <w:iCs/>
        </w:rPr>
        <w:t>позиция</w:t>
      </w:r>
      <w:r w:rsidRPr="00F2736B">
        <w:rPr>
          <w:bCs/>
          <w:iCs/>
        </w:rPr>
        <w:t xml:space="preserve"> във връзка с публикации относно </w:t>
      </w:r>
      <w:r w:rsidR="00AC44AA" w:rsidRPr="00F2736B">
        <w:rPr>
          <w:bCs/>
          <w:iCs/>
        </w:rPr>
        <w:t>застрахователната дейност на Комисията</w:t>
      </w:r>
      <w:r w:rsidRPr="00F2736B">
        <w:rPr>
          <w:bCs/>
          <w:iCs/>
        </w:rPr>
        <w:t>.</w:t>
      </w:r>
    </w:p>
    <w:p w14:paraId="7FBC6E91" w14:textId="6CB65DA4" w:rsidR="00E44A2A" w:rsidRDefault="00E44A2A" w:rsidP="000B62A1">
      <w:pPr>
        <w:spacing w:line="276" w:lineRule="auto"/>
        <w:ind w:firstLine="709"/>
        <w:jc w:val="both"/>
        <w:rPr>
          <w:bCs/>
          <w:iCs/>
        </w:rPr>
      </w:pPr>
    </w:p>
    <w:p w14:paraId="2B335584" w14:textId="77777777" w:rsidR="00E04697" w:rsidRPr="00F2736B" w:rsidRDefault="00E04697" w:rsidP="000B62A1">
      <w:pPr>
        <w:spacing w:line="276" w:lineRule="auto"/>
        <w:ind w:firstLine="709"/>
        <w:jc w:val="both"/>
        <w:rPr>
          <w:bCs/>
          <w:iCs/>
        </w:rPr>
      </w:pPr>
    </w:p>
    <w:p w14:paraId="7AEA9F7E" w14:textId="77777777" w:rsidR="002C2C54" w:rsidRDefault="00953EC4" w:rsidP="000B62A1">
      <w:pPr>
        <w:spacing w:line="276" w:lineRule="auto"/>
        <w:rPr>
          <w:rFonts w:eastAsiaTheme="majorEastAsia"/>
          <w:b/>
        </w:rPr>
      </w:pPr>
      <w:r w:rsidRPr="00F2736B">
        <w:rPr>
          <w:rFonts w:eastAsiaTheme="majorEastAsia"/>
          <w:b/>
        </w:rPr>
        <w:lastRenderedPageBreak/>
        <w:t>18</w:t>
      </w:r>
      <w:r w:rsidR="002C2C54" w:rsidRPr="00F2736B">
        <w:rPr>
          <w:rFonts w:eastAsiaTheme="majorEastAsia"/>
          <w:b/>
        </w:rPr>
        <w:t>.4</w:t>
      </w:r>
      <w:r w:rsidR="00206CDD" w:rsidRPr="00F2736B">
        <w:rPr>
          <w:rFonts w:eastAsiaTheme="majorEastAsia"/>
          <w:b/>
        </w:rPr>
        <w:t>.</w:t>
      </w:r>
      <w:r w:rsidR="002C2C54" w:rsidRPr="00F2736B">
        <w:rPr>
          <w:rFonts w:eastAsiaTheme="majorEastAsia"/>
          <w:b/>
        </w:rPr>
        <w:t xml:space="preserve"> жалби по административен ред</w:t>
      </w:r>
    </w:p>
    <w:p w14:paraId="15F5977E" w14:textId="77777777" w:rsidR="00E44A2A" w:rsidRPr="00B35135" w:rsidRDefault="00E44A2A" w:rsidP="000B62A1">
      <w:pPr>
        <w:pStyle w:val="Subtitle"/>
        <w:spacing w:after="0" w:line="276" w:lineRule="auto"/>
        <w:ind w:right="-28" w:firstLine="720"/>
        <w:jc w:val="both"/>
        <w:rPr>
          <w:bCs/>
          <w:iCs/>
          <w:color w:val="auto"/>
        </w:rPr>
      </w:pPr>
      <w:r w:rsidRPr="00F2736B">
        <w:rPr>
          <w:rFonts w:cstheme="minorHAnsi"/>
          <w:color w:val="auto"/>
          <w:sz w:val="24"/>
        </w:rPr>
        <w:t xml:space="preserve">През отчетния период </w:t>
      </w:r>
      <w:r w:rsidR="0052359F" w:rsidRPr="00F2736B">
        <w:rPr>
          <w:rFonts w:cstheme="minorHAnsi"/>
          <w:color w:val="auto"/>
          <w:sz w:val="24"/>
        </w:rPr>
        <w:t>не са</w:t>
      </w:r>
      <w:r w:rsidR="00141743" w:rsidRPr="00F2736B">
        <w:rPr>
          <w:rFonts w:cstheme="minorHAnsi"/>
          <w:color w:val="auto"/>
          <w:sz w:val="24"/>
        </w:rPr>
        <w:t xml:space="preserve"> постъпили, съответно не са</w:t>
      </w:r>
      <w:r w:rsidRPr="00F2736B">
        <w:rPr>
          <w:rFonts w:cstheme="minorHAnsi"/>
          <w:color w:val="auto"/>
          <w:sz w:val="24"/>
        </w:rPr>
        <w:t xml:space="preserve"> изготвен</w:t>
      </w:r>
      <w:r w:rsidR="0052359F" w:rsidRPr="00F2736B">
        <w:rPr>
          <w:rFonts w:cstheme="minorHAnsi"/>
          <w:color w:val="auto"/>
          <w:sz w:val="24"/>
        </w:rPr>
        <w:t>и</w:t>
      </w:r>
      <w:r w:rsidR="006F4CC9" w:rsidRPr="00F2736B">
        <w:rPr>
          <w:rFonts w:cstheme="minorHAnsi"/>
          <w:color w:val="auto"/>
          <w:sz w:val="24"/>
        </w:rPr>
        <w:t>,</w:t>
      </w:r>
      <w:r w:rsidRPr="00F2736B">
        <w:rPr>
          <w:rFonts w:cstheme="minorHAnsi"/>
          <w:color w:val="auto"/>
          <w:sz w:val="24"/>
        </w:rPr>
        <w:t xml:space="preserve"> отговор</w:t>
      </w:r>
      <w:r w:rsidR="0052359F" w:rsidRPr="00F2736B">
        <w:rPr>
          <w:rFonts w:cstheme="minorHAnsi"/>
          <w:color w:val="auto"/>
          <w:sz w:val="24"/>
        </w:rPr>
        <w:t>и</w:t>
      </w:r>
      <w:r w:rsidRPr="00F2736B">
        <w:rPr>
          <w:rFonts w:cstheme="minorHAnsi"/>
          <w:color w:val="auto"/>
          <w:sz w:val="24"/>
        </w:rPr>
        <w:t xml:space="preserve"> на жалби по административен ред.</w:t>
      </w:r>
    </w:p>
    <w:p w14:paraId="09C173D9" w14:textId="77777777" w:rsidR="002C2C54" w:rsidRPr="00B35135" w:rsidRDefault="002C2C54" w:rsidP="000B62A1">
      <w:pPr>
        <w:spacing w:line="276" w:lineRule="auto"/>
        <w:ind w:firstLine="709"/>
        <w:jc w:val="both"/>
        <w:rPr>
          <w:b/>
          <w:bCs/>
          <w:iCs/>
        </w:rPr>
      </w:pPr>
      <w:r w:rsidRPr="00B35135">
        <w:rPr>
          <w:b/>
          <w:bCs/>
          <w:iCs/>
        </w:rPr>
        <w:t xml:space="preserve"> </w:t>
      </w:r>
    </w:p>
    <w:p w14:paraId="5D8612B6" w14:textId="77777777" w:rsidR="00F90D85" w:rsidRPr="00B35135" w:rsidRDefault="00953EC4" w:rsidP="000B62A1">
      <w:pPr>
        <w:spacing w:line="276" w:lineRule="auto"/>
        <w:jc w:val="both"/>
        <w:rPr>
          <w:b/>
        </w:rPr>
      </w:pPr>
      <w:bookmarkStart w:id="66" w:name="_Toc78466475"/>
      <w:r>
        <w:rPr>
          <w:b/>
        </w:rPr>
        <w:t>19</w:t>
      </w:r>
      <w:r w:rsidR="00F90D85" w:rsidRPr="00B35135">
        <w:rPr>
          <w:b/>
        </w:rPr>
        <w:t>. Сътрудничество  с  институции, браншови организации и други. Проучване на пазара на финансовите иновации, даване на консултации чрез Innovation hub</w:t>
      </w:r>
      <w:bookmarkEnd w:id="66"/>
    </w:p>
    <w:p w14:paraId="7B88C9DF" w14:textId="77777777" w:rsidR="00DA0544" w:rsidRPr="00F2736B" w:rsidRDefault="00DA0544" w:rsidP="000B62A1">
      <w:pPr>
        <w:spacing w:line="276" w:lineRule="auto"/>
        <w:ind w:firstLine="720"/>
        <w:rPr>
          <w:b/>
        </w:rPr>
      </w:pPr>
      <w:r w:rsidRPr="00F2736B">
        <w:rPr>
          <w:b/>
        </w:rPr>
        <w:t>1</w:t>
      </w:r>
      <w:r w:rsidR="00953EC4" w:rsidRPr="00F2736B">
        <w:rPr>
          <w:b/>
        </w:rPr>
        <w:t>9</w:t>
      </w:r>
      <w:r w:rsidRPr="00F2736B">
        <w:rPr>
          <w:b/>
        </w:rPr>
        <w:t>.1</w:t>
      </w:r>
      <w:r w:rsidR="00206CDD" w:rsidRPr="00F2736B">
        <w:rPr>
          <w:b/>
        </w:rPr>
        <w:t>.</w:t>
      </w:r>
      <w:r w:rsidRPr="00F2736B">
        <w:rPr>
          <w:b/>
        </w:rPr>
        <w:t xml:space="preserve"> Консултации в Innovation hub </w:t>
      </w:r>
    </w:p>
    <w:p w14:paraId="4503A921" w14:textId="4F6CE333" w:rsidR="006514C7" w:rsidRPr="00F2736B" w:rsidRDefault="006514C7" w:rsidP="000B62A1">
      <w:pPr>
        <w:widowControl w:val="0"/>
        <w:spacing w:line="276" w:lineRule="auto"/>
        <w:ind w:firstLine="720"/>
        <w:jc w:val="both"/>
      </w:pPr>
      <w:r w:rsidRPr="00F2736B">
        <w:t xml:space="preserve">Заложени са 4 консултации, изпълнени са 2, тъй като през първото шестмесечие на 2025 г. само 2 са постъпили в КФН.  Прогнозираната стойност е изпълнена на 50%. </w:t>
      </w:r>
    </w:p>
    <w:p w14:paraId="519314A9" w14:textId="77777777" w:rsidR="00DA0544" w:rsidRPr="00F2736B" w:rsidRDefault="00DA0544" w:rsidP="000B62A1">
      <w:pPr>
        <w:spacing w:line="276" w:lineRule="auto"/>
        <w:ind w:left="360"/>
        <w:jc w:val="both"/>
      </w:pPr>
    </w:p>
    <w:p w14:paraId="128C6BC4" w14:textId="77777777" w:rsidR="00DA0544" w:rsidRPr="00F2736B" w:rsidRDefault="003E344F" w:rsidP="000B62A1">
      <w:pPr>
        <w:spacing w:line="276" w:lineRule="auto"/>
        <w:ind w:firstLine="720"/>
        <w:jc w:val="both"/>
        <w:rPr>
          <w:b/>
        </w:rPr>
      </w:pPr>
      <w:r w:rsidRPr="00F2736B">
        <w:rPr>
          <w:b/>
        </w:rPr>
        <w:t>1</w:t>
      </w:r>
      <w:r w:rsidR="00953EC4" w:rsidRPr="00F2736B">
        <w:rPr>
          <w:b/>
        </w:rPr>
        <w:t>9</w:t>
      </w:r>
      <w:r w:rsidR="00DA0544" w:rsidRPr="00F2736B">
        <w:rPr>
          <w:b/>
        </w:rPr>
        <w:t>.2</w:t>
      </w:r>
      <w:r w:rsidR="00206CDD" w:rsidRPr="00F2736B">
        <w:rPr>
          <w:b/>
        </w:rPr>
        <w:t>.</w:t>
      </w:r>
      <w:r w:rsidR="00DA0544" w:rsidRPr="00F2736B">
        <w:rPr>
          <w:b/>
        </w:rPr>
        <w:t xml:space="preserve"> Участие във форуми и срещи</w:t>
      </w:r>
    </w:p>
    <w:p w14:paraId="2179CBAD" w14:textId="77777777" w:rsidR="006514C7" w:rsidRPr="00F2736B" w:rsidRDefault="006514C7" w:rsidP="000B62A1">
      <w:pPr>
        <w:widowControl w:val="0"/>
        <w:spacing w:line="276" w:lineRule="auto"/>
        <w:ind w:firstLine="709"/>
        <w:jc w:val="both"/>
      </w:pPr>
      <w:r w:rsidRPr="00F2736B">
        <w:t>В бюджетната прогноза за 2025 г. са заложени 4 участия във форуми и срещи, а за първото шестмесечие са отчетени 9</w:t>
      </w:r>
      <w:r w:rsidRPr="00F2736B">
        <w:rPr>
          <w:lang w:val="en-US"/>
        </w:rPr>
        <w:t xml:space="preserve">. </w:t>
      </w:r>
      <w:r w:rsidRPr="00F2736B">
        <w:rPr>
          <w:bCs/>
        </w:rPr>
        <w:t>Перото включва:</w:t>
      </w:r>
    </w:p>
    <w:p w14:paraId="58876145" w14:textId="77777777" w:rsidR="006514C7" w:rsidRPr="00F2736B" w:rsidRDefault="006514C7" w:rsidP="000B62A1">
      <w:pPr>
        <w:widowControl w:val="0"/>
        <w:numPr>
          <w:ilvl w:val="0"/>
          <w:numId w:val="32"/>
        </w:numPr>
        <w:tabs>
          <w:tab w:val="left" w:pos="1134"/>
        </w:tabs>
        <w:spacing w:line="276" w:lineRule="auto"/>
        <w:ind w:left="0" w:firstLine="709"/>
        <w:contextualSpacing/>
        <w:jc w:val="both"/>
        <w:rPr>
          <w:bCs/>
          <w:iCs/>
          <w:szCs w:val="20"/>
        </w:rPr>
      </w:pPr>
      <w:r w:rsidRPr="00F2736B">
        <w:rPr>
          <w:bCs/>
          <w:iCs/>
          <w:szCs w:val="20"/>
        </w:rPr>
        <w:t>работна среща с представители на Европейския цифров иновационен хъб и обсъждане на съвместни инициативи за популяризиране на Innovation hub на КФН и осигуряване възможност финтех индустрията да тества иновативни решения в реална среда;</w:t>
      </w:r>
    </w:p>
    <w:p w14:paraId="5CAB8176" w14:textId="77777777" w:rsidR="006514C7" w:rsidRPr="00F2736B" w:rsidRDefault="006514C7" w:rsidP="000B62A1">
      <w:pPr>
        <w:widowControl w:val="0"/>
        <w:numPr>
          <w:ilvl w:val="0"/>
          <w:numId w:val="32"/>
        </w:numPr>
        <w:tabs>
          <w:tab w:val="left" w:pos="993"/>
        </w:tabs>
        <w:spacing w:line="276" w:lineRule="auto"/>
        <w:ind w:left="0" w:firstLine="709"/>
        <w:contextualSpacing/>
        <w:jc w:val="both"/>
        <w:rPr>
          <w:bCs/>
          <w:iCs/>
          <w:szCs w:val="20"/>
        </w:rPr>
      </w:pPr>
      <w:r w:rsidRPr="00F2736B">
        <w:rPr>
          <w:bCs/>
          <w:iCs/>
          <w:szCs w:val="20"/>
        </w:rPr>
        <w:t>срещи от втората кохорта на European Blockchain Sandbox в проект за издаване на разрешение/лиценз на платформа за търговия на токени по DLT регламент;</w:t>
      </w:r>
    </w:p>
    <w:p w14:paraId="3A926D33" w14:textId="18B3DB27" w:rsidR="006514C7" w:rsidRPr="00F2736B" w:rsidRDefault="00E527A9" w:rsidP="000B62A1">
      <w:pPr>
        <w:widowControl w:val="0"/>
        <w:numPr>
          <w:ilvl w:val="0"/>
          <w:numId w:val="32"/>
        </w:numPr>
        <w:tabs>
          <w:tab w:val="left" w:pos="709"/>
          <w:tab w:val="left" w:pos="851"/>
        </w:tabs>
        <w:spacing w:line="276" w:lineRule="auto"/>
        <w:ind w:left="0" w:firstLine="709"/>
        <w:contextualSpacing/>
        <w:jc w:val="both"/>
        <w:rPr>
          <w:bCs/>
          <w:iCs/>
          <w:szCs w:val="20"/>
        </w:rPr>
      </w:pPr>
      <w:r w:rsidRPr="00F2736B">
        <w:rPr>
          <w:bCs/>
          <w:iCs/>
          <w:szCs w:val="20"/>
        </w:rPr>
        <w:t xml:space="preserve">   </w:t>
      </w:r>
      <w:r w:rsidR="006514C7" w:rsidRPr="00F2736B">
        <w:rPr>
          <w:bCs/>
          <w:iCs/>
          <w:szCs w:val="20"/>
        </w:rPr>
        <w:t>обучение на Международен банков институт на тема: Криптовалути: MiCA, AML и регулаторна готовност;</w:t>
      </w:r>
    </w:p>
    <w:p w14:paraId="1E74157F" w14:textId="77777777" w:rsidR="006514C7" w:rsidRPr="00F2736B" w:rsidRDefault="006514C7" w:rsidP="000B62A1">
      <w:pPr>
        <w:widowControl w:val="0"/>
        <w:numPr>
          <w:ilvl w:val="0"/>
          <w:numId w:val="32"/>
        </w:numPr>
        <w:tabs>
          <w:tab w:val="left" w:pos="567"/>
          <w:tab w:val="left" w:pos="993"/>
        </w:tabs>
        <w:spacing w:line="276" w:lineRule="auto"/>
        <w:ind w:left="0" w:firstLine="709"/>
        <w:contextualSpacing/>
        <w:jc w:val="both"/>
        <w:rPr>
          <w:bCs/>
          <w:iCs/>
          <w:szCs w:val="20"/>
        </w:rPr>
      </w:pPr>
      <w:r w:rsidRPr="00F2736B">
        <w:rPr>
          <w:bCs/>
          <w:iCs/>
          <w:szCs w:val="20"/>
        </w:rPr>
        <w:t>събития организирани от Investor.bg и Полското посолство за насърчаване и сближаване на регулаторни практики по отношение на финтех индустрията;</w:t>
      </w:r>
    </w:p>
    <w:p w14:paraId="6669660D" w14:textId="58ECD0D1" w:rsidR="006514C7" w:rsidRPr="00F2736B" w:rsidRDefault="00E527A9" w:rsidP="000B62A1">
      <w:pPr>
        <w:widowControl w:val="0"/>
        <w:numPr>
          <w:ilvl w:val="0"/>
          <w:numId w:val="32"/>
        </w:numPr>
        <w:tabs>
          <w:tab w:val="left" w:pos="567"/>
          <w:tab w:val="left" w:pos="709"/>
          <w:tab w:val="left" w:pos="851"/>
        </w:tabs>
        <w:spacing w:line="276" w:lineRule="auto"/>
        <w:ind w:left="0" w:firstLine="709"/>
        <w:contextualSpacing/>
        <w:jc w:val="both"/>
        <w:rPr>
          <w:bCs/>
          <w:iCs/>
          <w:szCs w:val="20"/>
        </w:rPr>
      </w:pPr>
      <w:r w:rsidRPr="00F2736B">
        <w:rPr>
          <w:bCs/>
          <w:iCs/>
          <w:szCs w:val="20"/>
        </w:rPr>
        <w:t xml:space="preserve">  </w:t>
      </w:r>
      <w:r w:rsidR="006514C7" w:rsidRPr="00F2736B">
        <w:rPr>
          <w:bCs/>
          <w:iCs/>
          <w:szCs w:val="20"/>
        </w:rPr>
        <w:t xml:space="preserve">срещи на: Комитета за дигитални финанси (DFSC) към </w:t>
      </w:r>
      <w:r w:rsidR="00F87759">
        <w:rPr>
          <w:bCs/>
          <w:iCs/>
          <w:szCs w:val="20"/>
        </w:rPr>
        <w:t>ЕОЦКП</w:t>
      </w:r>
      <w:r w:rsidR="00F87759" w:rsidRPr="00F2736B">
        <w:rPr>
          <w:bCs/>
          <w:iCs/>
          <w:szCs w:val="20"/>
        </w:rPr>
        <w:t xml:space="preserve"> </w:t>
      </w:r>
      <w:r w:rsidR="006514C7" w:rsidRPr="00F2736B">
        <w:rPr>
          <w:bCs/>
          <w:iCs/>
          <w:szCs w:val="20"/>
        </w:rPr>
        <w:t>през MS Teams, на европейския форум на фасилитаторите (EFIF) за регулаторното развитие на финансовите иновационни центрове;</w:t>
      </w:r>
    </w:p>
    <w:p w14:paraId="747CF469" w14:textId="5AE66D22" w:rsidR="006514C7" w:rsidRPr="00F2736B" w:rsidRDefault="00E527A9" w:rsidP="000B62A1">
      <w:pPr>
        <w:widowControl w:val="0"/>
        <w:numPr>
          <w:ilvl w:val="0"/>
          <w:numId w:val="32"/>
        </w:numPr>
        <w:tabs>
          <w:tab w:val="left" w:pos="709"/>
          <w:tab w:val="left" w:pos="851"/>
        </w:tabs>
        <w:spacing w:line="276" w:lineRule="auto"/>
        <w:ind w:left="0" w:firstLine="709"/>
        <w:contextualSpacing/>
        <w:jc w:val="both"/>
        <w:rPr>
          <w:bCs/>
          <w:iCs/>
          <w:szCs w:val="20"/>
        </w:rPr>
      </w:pPr>
      <w:r w:rsidRPr="00F2736B">
        <w:rPr>
          <w:bCs/>
          <w:iCs/>
          <w:szCs w:val="20"/>
        </w:rPr>
        <w:t xml:space="preserve">   </w:t>
      </w:r>
      <w:r w:rsidR="006514C7" w:rsidRPr="00F2736B">
        <w:rPr>
          <w:bCs/>
          <w:iCs/>
          <w:szCs w:val="20"/>
        </w:rPr>
        <w:t>среща с представители на ЕЦИХ Тракия относно възможностите за бъдещо сътрудничество за тестване и валидиране на финансово иновативни продукти, постъпили в Innovation hub-а на КФН;</w:t>
      </w:r>
    </w:p>
    <w:p w14:paraId="78B94B5D" w14:textId="77777777" w:rsidR="006514C7" w:rsidRPr="00F2736B" w:rsidRDefault="006514C7" w:rsidP="000B62A1">
      <w:pPr>
        <w:widowControl w:val="0"/>
        <w:numPr>
          <w:ilvl w:val="0"/>
          <w:numId w:val="32"/>
        </w:numPr>
        <w:spacing w:line="276" w:lineRule="auto"/>
        <w:contextualSpacing/>
        <w:jc w:val="both"/>
        <w:rPr>
          <w:bCs/>
          <w:iCs/>
          <w:szCs w:val="20"/>
        </w:rPr>
      </w:pPr>
      <w:r w:rsidRPr="00F2736B">
        <w:rPr>
          <w:bCs/>
          <w:iCs/>
          <w:szCs w:val="20"/>
        </w:rPr>
        <w:t>инициатива Digital Hour;</w:t>
      </w:r>
    </w:p>
    <w:p w14:paraId="778D2C49" w14:textId="77777777" w:rsidR="006514C7" w:rsidRPr="00F2736B" w:rsidRDefault="006514C7" w:rsidP="000B62A1">
      <w:pPr>
        <w:widowControl w:val="0"/>
        <w:numPr>
          <w:ilvl w:val="0"/>
          <w:numId w:val="32"/>
        </w:numPr>
        <w:spacing w:line="276" w:lineRule="auto"/>
        <w:contextualSpacing/>
        <w:jc w:val="both"/>
        <w:rPr>
          <w:bCs/>
          <w:iCs/>
          <w:szCs w:val="20"/>
        </w:rPr>
      </w:pPr>
      <w:r w:rsidRPr="00F2736B">
        <w:rPr>
          <w:bCs/>
          <w:iCs/>
          <w:szCs w:val="20"/>
        </w:rPr>
        <w:t>обучение AI - Capital Markets e-Learning Programme.</w:t>
      </w:r>
    </w:p>
    <w:p w14:paraId="7DE8F64F" w14:textId="77777777" w:rsidR="006514C7" w:rsidRPr="00F2736B" w:rsidRDefault="006514C7" w:rsidP="000B62A1">
      <w:pPr>
        <w:widowControl w:val="0"/>
        <w:spacing w:line="276" w:lineRule="auto"/>
        <w:jc w:val="both"/>
        <w:rPr>
          <w:bCs/>
        </w:rPr>
      </w:pPr>
    </w:p>
    <w:p w14:paraId="6D3E3666" w14:textId="77777777" w:rsidR="006514C7" w:rsidRPr="00F2736B" w:rsidRDefault="006514C7" w:rsidP="000B62A1">
      <w:pPr>
        <w:widowControl w:val="0"/>
        <w:spacing w:line="276" w:lineRule="auto"/>
        <w:ind w:firstLine="709"/>
        <w:jc w:val="both"/>
        <w:rPr>
          <w:bCs/>
        </w:rPr>
      </w:pPr>
      <w:r w:rsidRPr="00F2736B">
        <w:t>Отчетеният ръст спрямо бюджета се дължи на активното участие на експерти от дирекцията в различни инициативи, организирани от европейските органи и от КФН</w:t>
      </w:r>
      <w:r w:rsidRPr="00F2736B">
        <w:rPr>
          <w:bCs/>
        </w:rPr>
        <w:t xml:space="preserve">. </w:t>
      </w:r>
    </w:p>
    <w:p w14:paraId="55667FD2" w14:textId="77777777" w:rsidR="00DA0544" w:rsidRPr="00F2736B" w:rsidRDefault="00DA0544" w:rsidP="000B62A1">
      <w:pPr>
        <w:spacing w:line="276" w:lineRule="auto"/>
        <w:ind w:left="993"/>
        <w:jc w:val="both"/>
      </w:pPr>
    </w:p>
    <w:p w14:paraId="584272BB" w14:textId="77777777" w:rsidR="00DA0544" w:rsidRPr="00F2736B" w:rsidRDefault="00953EC4" w:rsidP="000B62A1">
      <w:pPr>
        <w:spacing w:line="276" w:lineRule="auto"/>
        <w:jc w:val="both"/>
        <w:rPr>
          <w:b/>
        </w:rPr>
      </w:pPr>
      <w:r w:rsidRPr="00F2736B">
        <w:rPr>
          <w:b/>
        </w:rPr>
        <w:tab/>
      </w:r>
      <w:r w:rsidR="003E344F" w:rsidRPr="00F2736B">
        <w:rPr>
          <w:b/>
        </w:rPr>
        <w:t>1</w:t>
      </w:r>
      <w:r w:rsidRPr="00F2736B">
        <w:rPr>
          <w:b/>
        </w:rPr>
        <w:t>9</w:t>
      </w:r>
      <w:r w:rsidR="00DA0544" w:rsidRPr="00F2736B">
        <w:rPr>
          <w:b/>
        </w:rPr>
        <w:t>.3</w:t>
      </w:r>
      <w:r w:rsidR="00206CDD" w:rsidRPr="00F2736B">
        <w:rPr>
          <w:b/>
        </w:rPr>
        <w:t>.</w:t>
      </w:r>
      <w:r w:rsidR="00DA0544" w:rsidRPr="00F2736B">
        <w:rPr>
          <w:b/>
        </w:rPr>
        <w:t xml:space="preserve"> Консултации по проучване на пазара на финансовите иновации</w:t>
      </w:r>
    </w:p>
    <w:p w14:paraId="225CD2DA" w14:textId="77777777" w:rsidR="006514C7" w:rsidRPr="00F2736B" w:rsidRDefault="006514C7" w:rsidP="000B62A1">
      <w:pPr>
        <w:widowControl w:val="0"/>
        <w:spacing w:line="276" w:lineRule="auto"/>
        <w:ind w:firstLine="709"/>
        <w:jc w:val="both"/>
      </w:pPr>
      <w:bookmarkStart w:id="67" w:name="_Toc78466476"/>
      <w:r w:rsidRPr="00F2736B">
        <w:t xml:space="preserve">В бюджетната прогноза е заложена 1, а за първото шестмесечие са отчетени общо 14 </w:t>
      </w:r>
      <w:r w:rsidRPr="00F2736B">
        <w:rPr>
          <w:rFonts w:hint="eastAsia"/>
        </w:rPr>
        <w:t>консултации</w:t>
      </w:r>
      <w:r w:rsidRPr="00F2736B">
        <w:t xml:space="preserve"> </w:t>
      </w:r>
      <w:r w:rsidRPr="00F2736B">
        <w:rPr>
          <w:rFonts w:hint="eastAsia"/>
        </w:rPr>
        <w:t>по</w:t>
      </w:r>
      <w:r w:rsidRPr="00F2736B">
        <w:t xml:space="preserve"> </w:t>
      </w:r>
      <w:r w:rsidRPr="00F2736B">
        <w:rPr>
          <w:rFonts w:hint="eastAsia"/>
        </w:rPr>
        <w:t>проучване</w:t>
      </w:r>
      <w:r w:rsidRPr="00F2736B">
        <w:t xml:space="preserve"> </w:t>
      </w:r>
      <w:r w:rsidRPr="00F2736B">
        <w:rPr>
          <w:rFonts w:hint="eastAsia"/>
        </w:rPr>
        <w:t>на</w:t>
      </w:r>
      <w:r w:rsidRPr="00F2736B">
        <w:t xml:space="preserve"> </w:t>
      </w:r>
      <w:r w:rsidRPr="00F2736B">
        <w:rPr>
          <w:rFonts w:hint="eastAsia"/>
        </w:rPr>
        <w:t>пазара</w:t>
      </w:r>
      <w:r w:rsidRPr="00F2736B">
        <w:t xml:space="preserve"> </w:t>
      </w:r>
      <w:r w:rsidRPr="00F2736B">
        <w:rPr>
          <w:rFonts w:hint="eastAsia"/>
        </w:rPr>
        <w:t>на</w:t>
      </w:r>
      <w:r w:rsidRPr="00F2736B">
        <w:t xml:space="preserve"> </w:t>
      </w:r>
      <w:r w:rsidRPr="00F2736B">
        <w:rPr>
          <w:rFonts w:hint="eastAsia"/>
        </w:rPr>
        <w:t>финансовите</w:t>
      </w:r>
      <w:r w:rsidRPr="00F2736B">
        <w:t xml:space="preserve"> </w:t>
      </w:r>
      <w:r w:rsidRPr="00F2736B">
        <w:rPr>
          <w:rFonts w:hint="eastAsia"/>
        </w:rPr>
        <w:t>иновации</w:t>
      </w:r>
      <w:r w:rsidRPr="00F2736B">
        <w:t>, които включват 6  попълнени въпросника и запитвания, множество коментари по документи,  материали и публикации на сайта на КФН, както следва:</w:t>
      </w:r>
    </w:p>
    <w:p w14:paraId="5E11C032" w14:textId="77777777" w:rsidR="006514C7" w:rsidRPr="00F2736B" w:rsidRDefault="006514C7" w:rsidP="000B62A1">
      <w:pPr>
        <w:widowControl w:val="0"/>
        <w:numPr>
          <w:ilvl w:val="0"/>
          <w:numId w:val="32"/>
        </w:numPr>
        <w:spacing w:line="276" w:lineRule="auto"/>
        <w:contextualSpacing/>
        <w:jc w:val="both"/>
        <w:rPr>
          <w:bCs/>
          <w:iCs/>
          <w:szCs w:val="20"/>
        </w:rPr>
      </w:pPr>
      <w:r w:rsidRPr="00F2736B">
        <w:rPr>
          <w:bCs/>
          <w:iCs/>
          <w:szCs w:val="20"/>
        </w:rPr>
        <w:t>докладна записка за прилагане на Регламента за изкуствен интелект;</w:t>
      </w:r>
    </w:p>
    <w:p w14:paraId="6A07378C" w14:textId="2A5AC81C" w:rsidR="006514C7" w:rsidRPr="00F2736B" w:rsidRDefault="00B27C05" w:rsidP="000B62A1">
      <w:pPr>
        <w:widowControl w:val="0"/>
        <w:numPr>
          <w:ilvl w:val="0"/>
          <w:numId w:val="32"/>
        </w:numPr>
        <w:tabs>
          <w:tab w:val="left" w:pos="851"/>
        </w:tabs>
        <w:spacing w:line="276" w:lineRule="auto"/>
        <w:ind w:left="0" w:firstLine="709"/>
        <w:contextualSpacing/>
        <w:jc w:val="both"/>
        <w:rPr>
          <w:bCs/>
          <w:iCs/>
          <w:szCs w:val="20"/>
        </w:rPr>
      </w:pPr>
      <w:r w:rsidRPr="00F2736B">
        <w:rPr>
          <w:bCs/>
          <w:iCs/>
          <w:szCs w:val="20"/>
        </w:rPr>
        <w:t xml:space="preserve">   </w:t>
      </w:r>
      <w:r w:rsidR="006514C7" w:rsidRPr="00F2736B">
        <w:rPr>
          <w:bCs/>
          <w:iCs/>
          <w:szCs w:val="20"/>
        </w:rPr>
        <w:t xml:space="preserve">предложение за съвместното сътрудничество с представители на INSAIT или/и </w:t>
      </w:r>
      <w:r w:rsidR="006514C7" w:rsidRPr="00F2736B">
        <w:rPr>
          <w:bCs/>
          <w:iCs/>
          <w:szCs w:val="20"/>
        </w:rPr>
        <w:lastRenderedPageBreak/>
        <w:t>ЕЦИХ за създаване на партньорство с научните и академични среди, фокусирани върху развитието на финансовите иновации в България с цел осигуряване възможност за анализ и привеждане в съответствие на регулаторната и надзорна бъдеща практика в областта на финансовите иновации;</w:t>
      </w:r>
    </w:p>
    <w:p w14:paraId="31EAD997" w14:textId="77777777" w:rsidR="006514C7" w:rsidRPr="00F2736B" w:rsidRDefault="006514C7" w:rsidP="000B62A1">
      <w:pPr>
        <w:widowControl w:val="0"/>
        <w:numPr>
          <w:ilvl w:val="0"/>
          <w:numId w:val="32"/>
        </w:numPr>
        <w:tabs>
          <w:tab w:val="left" w:pos="993"/>
        </w:tabs>
        <w:spacing w:line="276" w:lineRule="auto"/>
        <w:ind w:left="0" w:firstLine="709"/>
        <w:contextualSpacing/>
        <w:jc w:val="both"/>
        <w:rPr>
          <w:bCs/>
          <w:iCs/>
          <w:szCs w:val="20"/>
        </w:rPr>
      </w:pPr>
      <w:r w:rsidRPr="00F2736B">
        <w:rPr>
          <w:bCs/>
          <w:iCs/>
          <w:szCs w:val="20"/>
        </w:rPr>
        <w:t>изготвена рамка на финтех рисковете – в тази връзка, за учредяване на библиотека, периодична необходимост от информация за постъпилите от ПНЛ ИКТ инциденти, които ще бъдат използвани за примерни сценарии за управление на риска;</w:t>
      </w:r>
    </w:p>
    <w:p w14:paraId="19AA46A1" w14:textId="15BF4114" w:rsidR="006514C7" w:rsidRPr="00F2736B" w:rsidRDefault="00B27C05" w:rsidP="000B62A1">
      <w:pPr>
        <w:widowControl w:val="0"/>
        <w:numPr>
          <w:ilvl w:val="0"/>
          <w:numId w:val="32"/>
        </w:numPr>
        <w:tabs>
          <w:tab w:val="left" w:pos="709"/>
          <w:tab w:val="left" w:pos="851"/>
        </w:tabs>
        <w:spacing w:line="276" w:lineRule="auto"/>
        <w:ind w:left="0" w:firstLine="709"/>
        <w:contextualSpacing/>
        <w:jc w:val="both"/>
        <w:rPr>
          <w:bCs/>
          <w:iCs/>
          <w:szCs w:val="20"/>
        </w:rPr>
      </w:pPr>
      <w:r w:rsidRPr="00F2736B">
        <w:rPr>
          <w:bCs/>
          <w:iCs/>
          <w:szCs w:val="20"/>
        </w:rPr>
        <w:t xml:space="preserve">  </w:t>
      </w:r>
      <w:r w:rsidR="006514C7" w:rsidRPr="00F2736B">
        <w:rPr>
          <w:bCs/>
          <w:iCs/>
          <w:szCs w:val="20"/>
        </w:rPr>
        <w:t xml:space="preserve">отговори на 2 въпросника в рамките на DFSC и на 2 на EFIF, на </w:t>
      </w:r>
      <w:r w:rsidR="00F87759">
        <w:rPr>
          <w:bCs/>
          <w:iCs/>
          <w:szCs w:val="20"/>
        </w:rPr>
        <w:t>ЕОЗППО</w:t>
      </w:r>
      <w:r w:rsidR="00F87759" w:rsidRPr="00F2736B">
        <w:rPr>
          <w:bCs/>
          <w:iCs/>
          <w:szCs w:val="20"/>
        </w:rPr>
        <w:t xml:space="preserve"> </w:t>
      </w:r>
      <w:r w:rsidR="006514C7" w:rsidRPr="00F2736B">
        <w:rPr>
          <w:bCs/>
          <w:iCs/>
          <w:szCs w:val="20"/>
        </w:rPr>
        <w:t>за  използваните финансови иновации в застрахователния сектор;</w:t>
      </w:r>
    </w:p>
    <w:p w14:paraId="346460FC" w14:textId="00559CD6" w:rsidR="006514C7" w:rsidRPr="00F2736B" w:rsidRDefault="006514C7" w:rsidP="000B62A1">
      <w:pPr>
        <w:widowControl w:val="0"/>
        <w:numPr>
          <w:ilvl w:val="0"/>
          <w:numId w:val="32"/>
        </w:numPr>
        <w:tabs>
          <w:tab w:val="left" w:pos="993"/>
        </w:tabs>
        <w:spacing w:line="276" w:lineRule="auto"/>
        <w:ind w:left="0" w:firstLine="709"/>
        <w:contextualSpacing/>
        <w:jc w:val="both"/>
        <w:rPr>
          <w:bCs/>
          <w:iCs/>
          <w:szCs w:val="20"/>
        </w:rPr>
      </w:pPr>
      <w:r w:rsidRPr="00F2736B">
        <w:rPr>
          <w:bCs/>
          <w:iCs/>
          <w:szCs w:val="20"/>
        </w:rPr>
        <w:t xml:space="preserve">публикуване новина на интернет страницата на КФН за включване на пре/застрахователни предприятия и ИП/УД/АИФ в проучване на </w:t>
      </w:r>
      <w:r w:rsidR="00F87759">
        <w:rPr>
          <w:bCs/>
          <w:iCs/>
          <w:szCs w:val="20"/>
        </w:rPr>
        <w:t>ЕОЗППО</w:t>
      </w:r>
      <w:r w:rsidRPr="00F2736B">
        <w:rPr>
          <w:bCs/>
          <w:iCs/>
          <w:szCs w:val="20"/>
        </w:rPr>
        <w:t xml:space="preserve"> и ЕОЦКП за използван от поднадзорните лица генеративен изкуствен интелект</w:t>
      </w:r>
      <w:r w:rsidR="00E15D9B" w:rsidRPr="00F2736B">
        <w:rPr>
          <w:bCs/>
          <w:iCs/>
          <w:szCs w:val="20"/>
        </w:rPr>
        <w:t>;</w:t>
      </w:r>
    </w:p>
    <w:p w14:paraId="09E97CDD" w14:textId="77777777" w:rsidR="006514C7" w:rsidRPr="00F2736B" w:rsidRDefault="006514C7" w:rsidP="000B62A1">
      <w:pPr>
        <w:widowControl w:val="0"/>
        <w:numPr>
          <w:ilvl w:val="0"/>
          <w:numId w:val="32"/>
        </w:numPr>
        <w:tabs>
          <w:tab w:val="left" w:pos="993"/>
        </w:tabs>
        <w:spacing w:line="276" w:lineRule="auto"/>
        <w:ind w:left="0" w:firstLine="709"/>
        <w:contextualSpacing/>
        <w:jc w:val="both"/>
        <w:rPr>
          <w:bCs/>
          <w:iCs/>
          <w:szCs w:val="20"/>
        </w:rPr>
      </w:pPr>
      <w:r w:rsidRPr="00F2736B">
        <w:rPr>
          <w:bCs/>
          <w:iCs/>
          <w:szCs w:val="20"/>
        </w:rPr>
        <w:t>предложение за включване на КФН във втората кохорта на European Blockchain Sandbox;</w:t>
      </w:r>
    </w:p>
    <w:p w14:paraId="5D67F18A" w14:textId="47B4657B" w:rsidR="006514C7" w:rsidRPr="00F2736B" w:rsidRDefault="00B27C05" w:rsidP="000B62A1">
      <w:pPr>
        <w:widowControl w:val="0"/>
        <w:numPr>
          <w:ilvl w:val="0"/>
          <w:numId w:val="32"/>
        </w:numPr>
        <w:tabs>
          <w:tab w:val="left" w:pos="851"/>
        </w:tabs>
        <w:spacing w:line="276" w:lineRule="auto"/>
        <w:ind w:left="0" w:firstLine="709"/>
        <w:contextualSpacing/>
        <w:jc w:val="both"/>
        <w:rPr>
          <w:bCs/>
          <w:iCs/>
          <w:szCs w:val="20"/>
        </w:rPr>
      </w:pPr>
      <w:r w:rsidRPr="00F2736B">
        <w:rPr>
          <w:bCs/>
          <w:iCs/>
          <w:szCs w:val="20"/>
        </w:rPr>
        <w:t xml:space="preserve">  </w:t>
      </w:r>
      <w:r w:rsidR="006514C7" w:rsidRPr="00F2736B">
        <w:rPr>
          <w:bCs/>
          <w:iCs/>
          <w:szCs w:val="20"/>
        </w:rPr>
        <w:t>изготвен въпросник към поднадзорните на КФН лица за използваните системи за изкуствен интелект;</w:t>
      </w:r>
    </w:p>
    <w:p w14:paraId="77AA315E" w14:textId="2DBB0F86" w:rsidR="006514C7" w:rsidRPr="00F2736B" w:rsidRDefault="00B27C05" w:rsidP="000B62A1">
      <w:pPr>
        <w:widowControl w:val="0"/>
        <w:numPr>
          <w:ilvl w:val="0"/>
          <w:numId w:val="32"/>
        </w:numPr>
        <w:tabs>
          <w:tab w:val="left" w:pos="709"/>
          <w:tab w:val="left" w:pos="851"/>
        </w:tabs>
        <w:spacing w:line="276" w:lineRule="auto"/>
        <w:ind w:left="0" w:firstLine="709"/>
        <w:contextualSpacing/>
        <w:jc w:val="both"/>
        <w:rPr>
          <w:bCs/>
          <w:iCs/>
          <w:szCs w:val="20"/>
        </w:rPr>
      </w:pPr>
      <w:r w:rsidRPr="00F2736B">
        <w:rPr>
          <w:bCs/>
          <w:iCs/>
          <w:szCs w:val="20"/>
        </w:rPr>
        <w:t xml:space="preserve"> </w:t>
      </w:r>
      <w:r w:rsidR="006514C7" w:rsidRPr="00F2736B">
        <w:rPr>
          <w:bCs/>
          <w:iCs/>
          <w:szCs w:val="20"/>
        </w:rPr>
        <w:t>предложения за подобряване дигиталната инфраструктура за диалог със      заинтересовани страни и създаване на платформа за комуникация с финтех дружества – редактирано и актуализирано качествено интернет съдържание в секция Финансови иновации;</w:t>
      </w:r>
    </w:p>
    <w:p w14:paraId="5734D51D" w14:textId="33B7B873" w:rsidR="006514C7" w:rsidRPr="00F2736B" w:rsidRDefault="00B27C05" w:rsidP="000B62A1">
      <w:pPr>
        <w:widowControl w:val="0"/>
        <w:numPr>
          <w:ilvl w:val="0"/>
          <w:numId w:val="32"/>
        </w:numPr>
        <w:tabs>
          <w:tab w:val="left" w:pos="851"/>
        </w:tabs>
        <w:spacing w:line="276" w:lineRule="auto"/>
        <w:ind w:left="0" w:firstLine="709"/>
        <w:contextualSpacing/>
        <w:jc w:val="both"/>
        <w:rPr>
          <w:bCs/>
          <w:iCs/>
          <w:szCs w:val="20"/>
        </w:rPr>
      </w:pPr>
      <w:r w:rsidRPr="00F2736B">
        <w:rPr>
          <w:bCs/>
          <w:iCs/>
          <w:szCs w:val="20"/>
        </w:rPr>
        <w:t xml:space="preserve">  </w:t>
      </w:r>
      <w:r w:rsidR="006514C7" w:rsidRPr="00F2736B">
        <w:rPr>
          <w:bCs/>
          <w:iCs/>
          <w:szCs w:val="20"/>
        </w:rPr>
        <w:t>изготвени и публикувани на сайта на КФН материали за криптоактивите и изкуствения интелект;</w:t>
      </w:r>
    </w:p>
    <w:p w14:paraId="20E09E04" w14:textId="090756C5" w:rsidR="006514C7" w:rsidRPr="00F2736B" w:rsidRDefault="00B27C05" w:rsidP="000B62A1">
      <w:pPr>
        <w:widowControl w:val="0"/>
        <w:numPr>
          <w:ilvl w:val="0"/>
          <w:numId w:val="32"/>
        </w:numPr>
        <w:tabs>
          <w:tab w:val="left" w:pos="851"/>
        </w:tabs>
        <w:spacing w:line="276" w:lineRule="auto"/>
        <w:ind w:left="0" w:firstLine="709"/>
        <w:contextualSpacing/>
        <w:jc w:val="both"/>
        <w:rPr>
          <w:bCs/>
          <w:iCs/>
          <w:szCs w:val="20"/>
        </w:rPr>
      </w:pPr>
      <w:r w:rsidRPr="00F2736B">
        <w:rPr>
          <w:bCs/>
          <w:iCs/>
          <w:szCs w:val="20"/>
        </w:rPr>
        <w:t xml:space="preserve">  </w:t>
      </w:r>
      <w:r w:rsidR="006514C7" w:rsidRPr="00F2736B">
        <w:rPr>
          <w:bCs/>
          <w:iCs/>
          <w:szCs w:val="20"/>
        </w:rPr>
        <w:t>отговор по запитване за прилагане на Регламента за оперативна устойчивост (DORA).</w:t>
      </w:r>
    </w:p>
    <w:p w14:paraId="641AC92E" w14:textId="77777777" w:rsidR="006514C7" w:rsidRPr="00F2736B" w:rsidRDefault="006514C7" w:rsidP="000B62A1">
      <w:pPr>
        <w:widowControl w:val="0"/>
        <w:spacing w:line="276" w:lineRule="auto"/>
        <w:jc w:val="both"/>
        <w:rPr>
          <w:bCs/>
          <w:iCs/>
          <w:szCs w:val="20"/>
        </w:rPr>
      </w:pPr>
    </w:p>
    <w:p w14:paraId="72A4DFB8" w14:textId="77777777" w:rsidR="006514C7" w:rsidRPr="00F2736B" w:rsidRDefault="006514C7" w:rsidP="000B62A1">
      <w:pPr>
        <w:widowControl w:val="0"/>
        <w:spacing w:line="276" w:lineRule="auto"/>
        <w:ind w:firstLine="709"/>
        <w:jc w:val="both"/>
      </w:pPr>
      <w:r w:rsidRPr="00F2736B">
        <w:t>Отчетеният ръст се дължи от една страна на по-големия брой постъпили въпросници от европейските органи, които експертите от дирекцията са попълнили, и от друга страна на изготвени извънредни материали по теми, касаещи финансовите иновации.</w:t>
      </w:r>
    </w:p>
    <w:p w14:paraId="21573787" w14:textId="77777777" w:rsidR="00EF1DF6" w:rsidRPr="00F2736B" w:rsidRDefault="00EF1DF6" w:rsidP="000B62A1">
      <w:pPr>
        <w:spacing w:line="276" w:lineRule="auto"/>
        <w:jc w:val="both"/>
        <w:rPr>
          <w:b/>
        </w:rPr>
      </w:pPr>
    </w:p>
    <w:p w14:paraId="29FA0BEA" w14:textId="77777777" w:rsidR="00F90D85" w:rsidRPr="00F2736B" w:rsidRDefault="00F90D85" w:rsidP="000B62A1">
      <w:pPr>
        <w:spacing w:line="276" w:lineRule="auto"/>
        <w:jc w:val="both"/>
        <w:rPr>
          <w:lang w:val="ru-RU"/>
        </w:rPr>
      </w:pPr>
      <w:r w:rsidRPr="00F2736B">
        <w:rPr>
          <w:b/>
        </w:rPr>
        <w:t>2</w:t>
      </w:r>
      <w:r w:rsidR="00953EC4" w:rsidRPr="00F2736B">
        <w:rPr>
          <w:b/>
        </w:rPr>
        <w:t>0</w:t>
      </w:r>
      <w:r w:rsidR="00490197" w:rsidRPr="00F2736B">
        <w:rPr>
          <w:b/>
        </w:rPr>
        <w:t xml:space="preserve">. </w:t>
      </w:r>
      <w:r w:rsidRPr="00F2736B">
        <w:rPr>
          <w:b/>
        </w:rPr>
        <w:t>Изготвяне и публикуване на статистическа информация, анализи и публикации относно дейността на поднадзорните на КФН лица</w:t>
      </w:r>
      <w:bookmarkEnd w:id="67"/>
    </w:p>
    <w:p w14:paraId="60DD5B3B" w14:textId="77777777" w:rsidR="00B948AF" w:rsidRPr="00F2736B" w:rsidRDefault="00B948AF" w:rsidP="000B62A1">
      <w:pPr>
        <w:widowControl w:val="0"/>
        <w:spacing w:line="276" w:lineRule="auto"/>
        <w:ind w:firstLine="709"/>
        <w:jc w:val="both"/>
        <w:rPr>
          <w:bCs/>
          <w:iCs/>
          <w:szCs w:val="20"/>
        </w:rPr>
      </w:pPr>
      <w:r w:rsidRPr="00F2736B">
        <w:rPr>
          <w:bCs/>
          <w:iCs/>
          <w:szCs w:val="20"/>
        </w:rPr>
        <w:t>Изготвят се периодични анализи и доклади на финансовите пазари, включително на международната среда. В бюджета за 202</w:t>
      </w:r>
      <w:r w:rsidRPr="00F2736B">
        <w:rPr>
          <w:bCs/>
          <w:iCs/>
          <w:szCs w:val="20"/>
          <w:lang w:val="en-US"/>
        </w:rPr>
        <w:t>5</w:t>
      </w:r>
      <w:r w:rsidRPr="00F2736B">
        <w:rPr>
          <w:bCs/>
          <w:iCs/>
          <w:szCs w:val="20"/>
        </w:rPr>
        <w:t xml:space="preserve"> г. са заложени общо 37 анализа и доклада, като през първото шестмесечие са изготвени 19, както следва:</w:t>
      </w:r>
    </w:p>
    <w:p w14:paraId="2701C239"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6 месечни анализа на международната среда;</w:t>
      </w:r>
    </w:p>
    <w:p w14:paraId="0984DA21"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2 тримесечни прегледа на рисковете на небанковият финансов сектор;</w:t>
      </w:r>
    </w:p>
    <w:p w14:paraId="48B0DA29"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Анализ на външната среда;</w:t>
      </w:r>
    </w:p>
    <w:p w14:paraId="43AE3D3F"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Обзор на секторната активност в България;</w:t>
      </w:r>
    </w:p>
    <w:p w14:paraId="0E707860"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Преглед на рисковете и основни тенденции на пазара;</w:t>
      </w:r>
    </w:p>
    <w:p w14:paraId="0BC6B03A"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Обзор на небанковия финансов сектор в България;</w:t>
      </w:r>
    </w:p>
    <w:p w14:paraId="60636122"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Анализ на участниците на капиталовият пазар;</w:t>
      </w:r>
    </w:p>
    <w:p w14:paraId="5F923ACE"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lastRenderedPageBreak/>
        <w:t>Анализ на жалбите и запитванията на потребители на небанковия финансов сектор за 202</w:t>
      </w:r>
      <w:r w:rsidRPr="00F2736B">
        <w:rPr>
          <w:bCs/>
          <w:iCs/>
          <w:szCs w:val="20"/>
          <w:lang w:val="en-US"/>
        </w:rPr>
        <w:t>4</w:t>
      </w:r>
      <w:r w:rsidRPr="00F2736B">
        <w:rPr>
          <w:bCs/>
          <w:iCs/>
          <w:szCs w:val="20"/>
        </w:rPr>
        <w:t xml:space="preserve"> спрямо 202</w:t>
      </w:r>
      <w:r w:rsidRPr="00F2736B">
        <w:rPr>
          <w:bCs/>
          <w:iCs/>
          <w:szCs w:val="20"/>
          <w:lang w:val="en-US"/>
        </w:rPr>
        <w:t>3</w:t>
      </w:r>
      <w:r w:rsidRPr="00F2736B">
        <w:rPr>
          <w:bCs/>
          <w:iCs/>
          <w:szCs w:val="20"/>
        </w:rPr>
        <w:t xml:space="preserve"> г.;</w:t>
      </w:r>
    </w:p>
    <w:p w14:paraId="07E6C86E"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Отчет за работата на КФН в органите и структурите на Европейския съвет за системен риск (ESRB);</w:t>
      </w:r>
    </w:p>
    <w:p w14:paraId="3BA3E466"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2 тримесечни анализа на жалбите и запитванията на потребители на небанковия финансов сектор;</w:t>
      </w:r>
    </w:p>
    <w:p w14:paraId="197DFEFD" w14:textId="77777777" w:rsidR="00B948AF" w:rsidRPr="00F2736B" w:rsidRDefault="00B948AF" w:rsidP="000B62A1">
      <w:pPr>
        <w:widowControl w:val="0"/>
        <w:numPr>
          <w:ilvl w:val="0"/>
          <w:numId w:val="48"/>
        </w:numPr>
        <w:spacing w:line="276" w:lineRule="auto"/>
        <w:ind w:hanging="643"/>
        <w:contextualSpacing/>
        <w:jc w:val="both"/>
        <w:rPr>
          <w:bCs/>
          <w:iCs/>
          <w:szCs w:val="20"/>
        </w:rPr>
      </w:pPr>
      <w:r w:rsidRPr="00F2736B">
        <w:rPr>
          <w:bCs/>
          <w:iCs/>
          <w:szCs w:val="20"/>
        </w:rPr>
        <w:t>2 тримесечни отчета за дейността на Дирекция АЖП.</w:t>
      </w:r>
    </w:p>
    <w:p w14:paraId="11ABF2E6" w14:textId="77777777" w:rsidR="00B948AF" w:rsidRPr="00F2736B" w:rsidRDefault="00B948AF" w:rsidP="000B62A1">
      <w:pPr>
        <w:widowControl w:val="0"/>
        <w:spacing w:line="276" w:lineRule="auto"/>
        <w:ind w:firstLine="709"/>
        <w:jc w:val="both"/>
        <w:rPr>
          <w:bCs/>
          <w:iCs/>
          <w:szCs w:val="20"/>
          <w:lang w:val="en-US"/>
        </w:rPr>
      </w:pPr>
      <w:r w:rsidRPr="00F2736B">
        <w:rPr>
          <w:bCs/>
          <w:iCs/>
          <w:szCs w:val="20"/>
        </w:rPr>
        <w:t>Останалите 18 анализа и доклада са предвидени за второ шестмесечие на годината.</w:t>
      </w:r>
    </w:p>
    <w:p w14:paraId="5B78D921" w14:textId="77777777" w:rsidR="00B948AF" w:rsidRPr="00F2736B" w:rsidRDefault="00B948AF" w:rsidP="000B62A1">
      <w:pPr>
        <w:spacing w:line="276" w:lineRule="auto"/>
        <w:ind w:firstLine="720"/>
        <w:jc w:val="both"/>
      </w:pPr>
    </w:p>
    <w:p w14:paraId="4971AEEB" w14:textId="05722C21" w:rsidR="00043F8D" w:rsidRPr="00F2736B" w:rsidRDefault="00043F8D" w:rsidP="000B62A1">
      <w:pPr>
        <w:spacing w:line="276" w:lineRule="auto"/>
        <w:ind w:firstLine="720"/>
        <w:jc w:val="both"/>
      </w:pPr>
      <w:r w:rsidRPr="00F2736B">
        <w:t xml:space="preserve">През първото полугодие на 2025 г. по отношение на застрахователния сектор са публикувани  </w:t>
      </w:r>
      <w:r w:rsidRPr="003F78BD">
        <w:t xml:space="preserve">6 </w:t>
      </w:r>
      <w:r w:rsidRPr="00F2736B">
        <w:t>бр. пазарни данни за:</w:t>
      </w:r>
    </w:p>
    <w:p w14:paraId="29505346" w14:textId="178095BC" w:rsidR="00043F8D" w:rsidRPr="00F2736B" w:rsidRDefault="00043F8D" w:rsidP="000B62A1">
      <w:pPr>
        <w:pStyle w:val="ListParagraph"/>
        <w:numPr>
          <w:ilvl w:val="0"/>
          <w:numId w:val="47"/>
        </w:numPr>
        <w:tabs>
          <w:tab w:val="left" w:pos="709"/>
        </w:tabs>
        <w:spacing w:line="276" w:lineRule="auto"/>
        <w:ind w:left="0" w:firstLine="404"/>
        <w:jc w:val="both"/>
      </w:pPr>
      <w:r w:rsidRPr="00F2736B">
        <w:t>2 броя данни за застрахователния пазар въз основа на периодичните справки и отчети, представени в КФН от застрахователните  предприятия;</w:t>
      </w:r>
    </w:p>
    <w:p w14:paraId="09977F79" w14:textId="3B995A71" w:rsidR="00043F8D" w:rsidRPr="00F2736B" w:rsidRDefault="003F78BD" w:rsidP="000B62A1">
      <w:pPr>
        <w:pStyle w:val="ListParagraph"/>
        <w:numPr>
          <w:ilvl w:val="0"/>
          <w:numId w:val="47"/>
        </w:numPr>
        <w:tabs>
          <w:tab w:val="left" w:pos="709"/>
          <w:tab w:val="left" w:pos="851"/>
        </w:tabs>
        <w:spacing w:line="276" w:lineRule="auto"/>
        <w:ind w:left="0" w:firstLine="404"/>
        <w:jc w:val="both"/>
      </w:pPr>
      <w:r>
        <w:t xml:space="preserve">1 </w:t>
      </w:r>
      <w:r w:rsidR="00043F8D" w:rsidRPr="00F2736B">
        <w:t>брой данни за стойността и броя на изплатените и предявени претенции по застраховка „Гражданска отговорност” на автомобилистите, включително по рискови групи;</w:t>
      </w:r>
    </w:p>
    <w:p w14:paraId="1401ECAC" w14:textId="57B564F2" w:rsidR="00043F8D" w:rsidRPr="00F2736B" w:rsidRDefault="00043F8D" w:rsidP="000B62A1">
      <w:pPr>
        <w:pStyle w:val="ListParagraph"/>
        <w:numPr>
          <w:ilvl w:val="0"/>
          <w:numId w:val="47"/>
        </w:numPr>
        <w:tabs>
          <w:tab w:val="left" w:pos="709"/>
        </w:tabs>
        <w:spacing w:line="276" w:lineRule="auto"/>
        <w:ind w:left="0" w:firstLine="404"/>
        <w:jc w:val="both"/>
      </w:pPr>
      <w:r w:rsidRPr="00F2736B">
        <w:t>2 броя данни за максимален размер на техническата лихва за изчисление на премиите и резервите;</w:t>
      </w:r>
    </w:p>
    <w:p w14:paraId="28E1404D" w14:textId="1D0EDAA1" w:rsidR="00043F8D" w:rsidRPr="00F2736B" w:rsidRDefault="00043F8D" w:rsidP="000B62A1">
      <w:pPr>
        <w:pStyle w:val="ListParagraph"/>
        <w:numPr>
          <w:ilvl w:val="0"/>
          <w:numId w:val="47"/>
        </w:numPr>
        <w:spacing w:line="276" w:lineRule="auto"/>
        <w:ind w:left="0" w:firstLine="404"/>
        <w:jc w:val="both"/>
        <w:rPr>
          <w:lang w:val="en-US"/>
        </w:rPr>
      </w:pPr>
      <w:r w:rsidRPr="00F2736B">
        <w:t>1 брой данни за дейността на застрахователните брокери, регистрирани в Р. България през 2024 г.</w:t>
      </w:r>
    </w:p>
    <w:p w14:paraId="35703706" w14:textId="77777777" w:rsidR="00352703" w:rsidRPr="00F2736B" w:rsidRDefault="00352703" w:rsidP="000B62A1">
      <w:pPr>
        <w:pStyle w:val="ListParagraph"/>
        <w:spacing w:line="276" w:lineRule="auto"/>
        <w:ind w:left="0" w:firstLine="709"/>
        <w:jc w:val="both"/>
      </w:pPr>
    </w:p>
    <w:p w14:paraId="2CFBC2D0" w14:textId="1AEACD76" w:rsidR="0037652D" w:rsidRPr="00F2736B" w:rsidRDefault="006C52C6" w:rsidP="000B62A1">
      <w:pPr>
        <w:pStyle w:val="ListParagraph"/>
        <w:spacing w:line="276" w:lineRule="auto"/>
        <w:ind w:left="0" w:firstLine="709"/>
        <w:jc w:val="both"/>
      </w:pPr>
      <w:bookmarkStart w:id="68" w:name="_Toc78466477"/>
      <w:r w:rsidRPr="00F2736B">
        <w:t>Във връзка с утвърдената практика и календара за оповестяване на надзорна информация за осигурителния пазар през първото полугодие на</w:t>
      </w:r>
      <w:r w:rsidRPr="00F2736B">
        <w:rPr>
          <w:lang w:val="en-US"/>
        </w:rPr>
        <w:t xml:space="preserve"> </w:t>
      </w:r>
      <w:r w:rsidR="008B2E07" w:rsidRPr="00F2736B">
        <w:t>2025</w:t>
      </w:r>
      <w:r w:rsidRPr="00F2736B">
        <w:t xml:space="preserve"> г.</w:t>
      </w:r>
      <w:r w:rsidRPr="00F2736B">
        <w:rPr>
          <w:lang w:val="en-US"/>
        </w:rPr>
        <w:t xml:space="preserve"> </w:t>
      </w:r>
      <w:r w:rsidRPr="00F2736B">
        <w:t>от управление „Осигурителен надзор” беше изготвена и публикувана на Интернет страницата на КФН статистическа информация, необходима за извършване на анализ и оценка на дейността на поднадзорните лица.</w:t>
      </w:r>
    </w:p>
    <w:p w14:paraId="516D730A" w14:textId="77777777" w:rsidR="006C52C6" w:rsidRPr="00F2736B" w:rsidRDefault="006C52C6" w:rsidP="000B62A1">
      <w:pPr>
        <w:pStyle w:val="ListParagraph"/>
        <w:spacing w:line="276" w:lineRule="auto"/>
        <w:ind w:left="0" w:firstLine="709"/>
        <w:jc w:val="both"/>
      </w:pPr>
      <w:r w:rsidRPr="00F2736B">
        <w:t>О</w:t>
      </w:r>
      <w:r w:rsidR="00DD3320" w:rsidRPr="00F2736B">
        <w:t>бобщиха се и се публикуваха на и</w:t>
      </w:r>
      <w:r w:rsidRPr="00F2736B">
        <w:t>нтернет страницата на КФН:</w:t>
      </w:r>
    </w:p>
    <w:p w14:paraId="5C5E0A14" w14:textId="77777777" w:rsidR="008B2E07" w:rsidRPr="00F2736B" w:rsidRDefault="008B2E07" w:rsidP="000B62A1">
      <w:pPr>
        <w:pStyle w:val="ListParagraph"/>
        <w:numPr>
          <w:ilvl w:val="0"/>
          <w:numId w:val="21"/>
        </w:numPr>
        <w:autoSpaceDE w:val="0"/>
        <w:autoSpaceDN w:val="0"/>
        <w:adjustRightInd w:val="0"/>
        <w:spacing w:line="276" w:lineRule="auto"/>
        <w:jc w:val="both"/>
      </w:pPr>
      <w:r w:rsidRPr="00F2736B">
        <w:t>предварителните резултати от дейността по допълнително пенсионно осигуряване за 20</w:t>
      </w:r>
      <w:r w:rsidRPr="00F2736B">
        <w:rPr>
          <w:lang w:val="en-US"/>
        </w:rPr>
        <w:t>2</w:t>
      </w:r>
      <w:r w:rsidRPr="00F2736B">
        <w:t>4 г.;</w:t>
      </w:r>
    </w:p>
    <w:p w14:paraId="1EB58359" w14:textId="77777777" w:rsidR="008B2E07" w:rsidRPr="00F2736B" w:rsidRDefault="008B2E07" w:rsidP="000B62A1">
      <w:pPr>
        <w:pStyle w:val="ListParagraph"/>
        <w:numPr>
          <w:ilvl w:val="0"/>
          <w:numId w:val="21"/>
        </w:numPr>
        <w:spacing w:beforeLines="60" w:before="144" w:afterLines="60" w:after="144" w:line="276" w:lineRule="auto"/>
        <w:jc w:val="both"/>
      </w:pPr>
      <w:r w:rsidRPr="00F2736B">
        <w:t>предварителните данни за осигурените лица и натрупани средства във фондовете за допълнително пенсионно осигуряване към 31.12.2024 г. по пол и възраст;</w:t>
      </w:r>
    </w:p>
    <w:p w14:paraId="347CBE41" w14:textId="77777777" w:rsidR="008B2E07" w:rsidRPr="00F2736B" w:rsidRDefault="008B2E07" w:rsidP="000B62A1">
      <w:pPr>
        <w:pStyle w:val="ListParagraph"/>
        <w:numPr>
          <w:ilvl w:val="0"/>
          <w:numId w:val="21"/>
        </w:numPr>
        <w:spacing w:beforeLines="60" w:before="144" w:afterLines="60" w:after="144" w:line="276" w:lineRule="auto"/>
        <w:jc w:val="both"/>
      </w:pPr>
      <w:r w:rsidRPr="00F2736B">
        <w:t>данни за служебно разпределените лица във фондовете за допълнително задължително пенсионно осигуряване през 2024 г.;</w:t>
      </w:r>
    </w:p>
    <w:p w14:paraId="309BA40C" w14:textId="77777777" w:rsidR="008B2E07" w:rsidRPr="00F2736B" w:rsidRDefault="008B2E07" w:rsidP="000B62A1">
      <w:pPr>
        <w:pStyle w:val="ListParagraph"/>
        <w:numPr>
          <w:ilvl w:val="0"/>
          <w:numId w:val="21"/>
        </w:numPr>
        <w:spacing w:beforeLines="60" w:before="144" w:afterLines="60" w:after="144" w:line="276" w:lineRule="auto"/>
        <w:jc w:val="both"/>
      </w:pPr>
      <w:r w:rsidRPr="00F2736B">
        <w:t>резултатите от промяна на участието и прехвърляне на средства на осигурени лица от един пенсионен фонд в друг за четвъртото тримесечие на 2024 г. и за 2024 г.;</w:t>
      </w:r>
    </w:p>
    <w:p w14:paraId="5DF1316E" w14:textId="77777777" w:rsidR="008B2E07" w:rsidRPr="00F2736B" w:rsidRDefault="008B2E07" w:rsidP="000B62A1">
      <w:pPr>
        <w:pStyle w:val="ListParagraph"/>
        <w:numPr>
          <w:ilvl w:val="0"/>
          <w:numId w:val="21"/>
        </w:numPr>
        <w:spacing w:before="120" w:after="120" w:line="276" w:lineRule="auto"/>
        <w:jc w:val="both"/>
      </w:pPr>
      <w:r w:rsidRPr="00F2736B">
        <w:t>окончателните резултати от дейността по допълнително пенсионно осигуряване за 2024 г.;</w:t>
      </w:r>
    </w:p>
    <w:p w14:paraId="09023756" w14:textId="77777777" w:rsidR="008B2E07" w:rsidRPr="00F2736B" w:rsidRDefault="008B2E07" w:rsidP="000B62A1">
      <w:pPr>
        <w:pStyle w:val="ListParagraph"/>
        <w:numPr>
          <w:ilvl w:val="0"/>
          <w:numId w:val="21"/>
        </w:numPr>
        <w:spacing w:beforeLines="60" w:before="144" w:afterLines="60" w:after="144" w:line="276" w:lineRule="auto"/>
        <w:jc w:val="both"/>
        <w:rPr>
          <w:color w:val="000000" w:themeColor="text1"/>
        </w:rPr>
      </w:pPr>
      <w:r w:rsidRPr="00F2736B">
        <w:rPr>
          <w:color w:val="000000" w:themeColor="text1"/>
        </w:rPr>
        <w:t>окончателните данни за осигурените лица и натрупани средства в пенсионните фондове и лицата, получаващи плащания от фондовете за извършване на плащания към 31.12.2024 г. по пол и възраст;</w:t>
      </w:r>
    </w:p>
    <w:p w14:paraId="351180B6" w14:textId="77777777" w:rsidR="008B2E07" w:rsidRPr="00F2736B" w:rsidRDefault="008B2E07" w:rsidP="000B62A1">
      <w:pPr>
        <w:pStyle w:val="ListParagraph"/>
        <w:numPr>
          <w:ilvl w:val="0"/>
          <w:numId w:val="21"/>
        </w:numPr>
        <w:spacing w:beforeLines="60" w:before="144" w:afterLines="60" w:after="144" w:line="276" w:lineRule="auto"/>
        <w:jc w:val="both"/>
        <w:rPr>
          <w:color w:val="000000" w:themeColor="text1"/>
        </w:rPr>
      </w:pPr>
      <w:r w:rsidRPr="00F2736B">
        <w:rPr>
          <w:color w:val="000000" w:themeColor="text1"/>
        </w:rPr>
        <w:lastRenderedPageBreak/>
        <w:t>информация за постигнатата доходност и равнище на инвестиционния риск при управлението на фондовете за допълнително пенсионно осигуряване за 2024 г.;</w:t>
      </w:r>
    </w:p>
    <w:p w14:paraId="7B838EDF" w14:textId="77777777" w:rsidR="008B2E07" w:rsidRPr="00F2736B" w:rsidRDefault="008B2E07" w:rsidP="000B62A1">
      <w:pPr>
        <w:pStyle w:val="ListParagraph"/>
        <w:numPr>
          <w:ilvl w:val="0"/>
          <w:numId w:val="21"/>
        </w:numPr>
        <w:spacing w:beforeLines="60" w:before="144" w:afterLines="60" w:after="144" w:line="276" w:lineRule="auto"/>
        <w:jc w:val="both"/>
        <w:rPr>
          <w:color w:val="000000" w:themeColor="text1"/>
        </w:rPr>
      </w:pPr>
      <w:r w:rsidRPr="00F2736B">
        <w:rPr>
          <w:color w:val="000000" w:themeColor="text1"/>
        </w:rPr>
        <w:t>резултати от дейността по допълнително пенсионно осигуряване за първото тримесечие на 2025 г.;</w:t>
      </w:r>
    </w:p>
    <w:p w14:paraId="010CE92B" w14:textId="77777777" w:rsidR="008B2E07" w:rsidRPr="00F2736B" w:rsidRDefault="008B2E07" w:rsidP="000B62A1">
      <w:pPr>
        <w:pStyle w:val="ListParagraph"/>
        <w:numPr>
          <w:ilvl w:val="0"/>
          <w:numId w:val="21"/>
        </w:numPr>
        <w:spacing w:beforeLines="60" w:before="144" w:afterLines="60" w:after="144" w:line="276" w:lineRule="auto"/>
        <w:jc w:val="both"/>
        <w:rPr>
          <w:color w:val="000000" w:themeColor="text1"/>
        </w:rPr>
      </w:pPr>
      <w:r w:rsidRPr="00F2736B">
        <w:rPr>
          <w:color w:val="000000" w:themeColor="text1"/>
        </w:rPr>
        <w:t>данни за осигурените лица и натрупани средства в пенсионните фондове към 31.03.2025 г. по пол и възраст;</w:t>
      </w:r>
    </w:p>
    <w:p w14:paraId="6759B650" w14:textId="77777777" w:rsidR="008B2E07" w:rsidRPr="00F2736B" w:rsidRDefault="008B2E07" w:rsidP="000B62A1">
      <w:pPr>
        <w:pStyle w:val="ListParagraph"/>
        <w:numPr>
          <w:ilvl w:val="0"/>
          <w:numId w:val="21"/>
        </w:numPr>
        <w:spacing w:beforeLines="60" w:before="144" w:afterLines="60" w:after="144" w:line="276" w:lineRule="auto"/>
        <w:jc w:val="both"/>
        <w:rPr>
          <w:color w:val="000000" w:themeColor="text1"/>
        </w:rPr>
      </w:pPr>
      <w:r w:rsidRPr="00F2736B">
        <w:rPr>
          <w:color w:val="000000" w:themeColor="text1"/>
        </w:rPr>
        <w:t xml:space="preserve">резултатите от промяна на участието и прехвърляне на средства на осигурени лица от един пенсионен фонд в друг за първото тримесечие на 2025 г. </w:t>
      </w:r>
    </w:p>
    <w:p w14:paraId="40193857" w14:textId="77777777" w:rsidR="00490197" w:rsidRPr="00B35135" w:rsidRDefault="00490197" w:rsidP="000B62A1">
      <w:pPr>
        <w:spacing w:line="276" w:lineRule="auto"/>
        <w:jc w:val="both"/>
      </w:pPr>
      <w:r w:rsidRPr="00F2736B">
        <w:rPr>
          <w:b/>
        </w:rPr>
        <w:t>2</w:t>
      </w:r>
      <w:r w:rsidR="00953EC4" w:rsidRPr="00F2736B">
        <w:rPr>
          <w:b/>
        </w:rPr>
        <w:t>1</w:t>
      </w:r>
      <w:r w:rsidRPr="00F2736B">
        <w:rPr>
          <w:b/>
        </w:rPr>
        <w:t xml:space="preserve">. </w:t>
      </w:r>
      <w:r w:rsidR="00A2074D" w:rsidRPr="00F2736B">
        <w:rPr>
          <w:b/>
        </w:rPr>
        <w:t>Дейности по възстановяване и преструктуриране на инвестиционни посредници</w:t>
      </w:r>
      <w:bookmarkEnd w:id="68"/>
    </w:p>
    <w:p w14:paraId="2293481C" w14:textId="77777777" w:rsidR="00245031" w:rsidRPr="00AB25F1" w:rsidRDefault="00A2074D" w:rsidP="000B62A1">
      <w:pPr>
        <w:spacing w:line="276" w:lineRule="auto"/>
        <w:jc w:val="both"/>
        <w:rPr>
          <w:lang w:val="ru-RU"/>
        </w:rPr>
      </w:pPr>
      <w:bookmarkStart w:id="69" w:name="_Toc78466478"/>
      <w:r w:rsidRPr="00B35135">
        <w:rPr>
          <w:b/>
        </w:rPr>
        <w:t>2</w:t>
      </w:r>
      <w:r w:rsidR="00953EC4">
        <w:rPr>
          <w:b/>
        </w:rPr>
        <w:t>1</w:t>
      </w:r>
      <w:r w:rsidR="00490197" w:rsidRPr="00B35135">
        <w:rPr>
          <w:b/>
        </w:rPr>
        <w:t>.1</w:t>
      </w:r>
      <w:r w:rsidR="00206CDD">
        <w:rPr>
          <w:b/>
        </w:rPr>
        <w:t>.</w:t>
      </w:r>
      <w:r w:rsidR="00490197" w:rsidRPr="00B35135">
        <w:rPr>
          <w:b/>
        </w:rPr>
        <w:t xml:space="preserve"> </w:t>
      </w:r>
      <w:r w:rsidRPr="00B35135">
        <w:rPr>
          <w:b/>
        </w:rPr>
        <w:t xml:space="preserve">Преглед на плановете за възстановяване на инвестиционните посредници както </w:t>
      </w:r>
      <w:r w:rsidRPr="00AB25F1">
        <w:rPr>
          <w:b/>
        </w:rPr>
        <w:t>и на коригираните планове за възстановяване на инвестиционните посредници</w:t>
      </w:r>
      <w:bookmarkEnd w:id="69"/>
      <w:r w:rsidR="009E1381" w:rsidRPr="00AB25F1">
        <w:rPr>
          <w:b/>
          <w:lang w:val="ru-RU"/>
        </w:rPr>
        <w:t>,</w:t>
      </w:r>
      <w:r w:rsidR="009E1381" w:rsidRPr="00AB25F1">
        <w:t xml:space="preserve"> </w:t>
      </w:r>
      <w:r w:rsidR="009E1381" w:rsidRPr="00AB25F1">
        <w:rPr>
          <w:b/>
          <w:lang w:val="ru-RU"/>
        </w:rPr>
        <w:t>застрахователни и презастрахователни дружества</w:t>
      </w:r>
    </w:p>
    <w:p w14:paraId="66EED7D9" w14:textId="77777777" w:rsidR="00EE7044" w:rsidRPr="0037652D" w:rsidRDefault="00EE7044" w:rsidP="000B62A1">
      <w:pPr>
        <w:tabs>
          <w:tab w:val="left" w:pos="0"/>
        </w:tabs>
        <w:spacing w:line="276" w:lineRule="auto"/>
        <w:ind w:right="78" w:firstLine="709"/>
        <w:contextualSpacing/>
        <w:jc w:val="both"/>
      </w:pPr>
      <w:r w:rsidRPr="00AB25F1">
        <w:tab/>
        <w:t>Съгласно ЗВПКИИП инвестиционните посредници с пълен лиценз са длъжни</w:t>
      </w:r>
      <w:r w:rsidRPr="0037652D">
        <w:t xml:space="preserve"> веднъж годишно да изготвят планове за възстановяване и да ги предоставят за преглед и становище в КФН. За първото полугодие, в  Комисията са постъпили и съответно изготвени 6 броя становища по планове за възстановяване. Към 30.06.202</w:t>
      </w:r>
      <w:r>
        <w:t>5</w:t>
      </w:r>
      <w:r w:rsidRPr="0037652D">
        <w:t xml:space="preserve"> г. инвестиционните посредници с пълен лиценз са 19 бр. </w:t>
      </w:r>
    </w:p>
    <w:p w14:paraId="73DB89DA" w14:textId="77777777" w:rsidR="00EE7044" w:rsidRPr="009C1832" w:rsidRDefault="00EE7044" w:rsidP="000B62A1">
      <w:pPr>
        <w:tabs>
          <w:tab w:val="left" w:pos="0"/>
        </w:tabs>
        <w:spacing w:line="276" w:lineRule="auto"/>
        <w:ind w:right="78" w:firstLine="709"/>
        <w:contextualSpacing/>
        <w:jc w:val="both"/>
      </w:pPr>
      <w:r>
        <w:t>През първото полугодие на 2025 г.</w:t>
      </w:r>
      <w:r w:rsidRPr="0037652D">
        <w:t xml:space="preserve"> 6 инвестиционни посредници са внесли планове за възстановяване и съответно са изготвени 6 становища от </w:t>
      </w:r>
      <w:r>
        <w:t xml:space="preserve">общо </w:t>
      </w:r>
      <w:r w:rsidRPr="0037652D">
        <w:t>заложените 1</w:t>
      </w:r>
      <w:r>
        <w:t>0</w:t>
      </w:r>
      <w:r w:rsidRPr="0037652D">
        <w:t xml:space="preserve"> за 202</w:t>
      </w:r>
      <w:r>
        <w:t>5</w:t>
      </w:r>
      <w:r w:rsidRPr="0037652D">
        <w:t xml:space="preserve"> г. с опция за внасяне на коригирани планове при необходимост. До края на годината остават за преглед </w:t>
      </w:r>
      <w:r>
        <w:t>4</w:t>
      </w:r>
      <w:r w:rsidRPr="0037652D">
        <w:t xml:space="preserve"> плана за възстановяване, като становища по тях ще бъдат изготвени след подаването им от съответните инвестиционни посредници.</w:t>
      </w:r>
    </w:p>
    <w:p w14:paraId="0DD56719" w14:textId="77777777" w:rsidR="003B146C" w:rsidRPr="00B35135" w:rsidRDefault="003B146C" w:rsidP="0052359F">
      <w:pPr>
        <w:pStyle w:val="ListParagraph"/>
        <w:tabs>
          <w:tab w:val="left" w:pos="0"/>
        </w:tabs>
        <w:spacing w:line="276" w:lineRule="auto"/>
        <w:ind w:left="0" w:right="78" w:firstLine="709"/>
        <w:jc w:val="both"/>
        <w:rPr>
          <w:b/>
          <w:bCs/>
          <w:color w:val="FF0000"/>
        </w:rPr>
      </w:pPr>
    </w:p>
    <w:p w14:paraId="4EE0E221" w14:textId="77777777" w:rsidR="00490197" w:rsidRPr="00AB25F1" w:rsidRDefault="00490197" w:rsidP="0052359F">
      <w:pPr>
        <w:spacing w:line="276" w:lineRule="auto"/>
      </w:pPr>
      <w:bookmarkStart w:id="70" w:name="_Toc78466479"/>
      <w:r w:rsidRPr="00AB25F1">
        <w:rPr>
          <w:b/>
        </w:rPr>
        <w:t>2</w:t>
      </w:r>
      <w:r w:rsidR="00953EC4" w:rsidRPr="00AB25F1">
        <w:rPr>
          <w:b/>
        </w:rPr>
        <w:t>1</w:t>
      </w:r>
      <w:r w:rsidRPr="00AB25F1">
        <w:rPr>
          <w:b/>
        </w:rPr>
        <w:t>.2</w:t>
      </w:r>
      <w:r w:rsidR="00206CDD" w:rsidRPr="00AB25F1">
        <w:rPr>
          <w:b/>
        </w:rPr>
        <w:t>.</w:t>
      </w:r>
      <w:r w:rsidRPr="00AB25F1">
        <w:rPr>
          <w:b/>
        </w:rPr>
        <w:t xml:space="preserve"> Изготвяне на планове за преструктуриране</w:t>
      </w:r>
      <w:bookmarkEnd w:id="70"/>
    </w:p>
    <w:p w14:paraId="7BE3C63E" w14:textId="2B9955B2" w:rsidR="00C46C5C" w:rsidRPr="00EE7044" w:rsidRDefault="00070C9B" w:rsidP="00713718">
      <w:pPr>
        <w:spacing w:line="276" w:lineRule="auto"/>
        <w:ind w:firstLine="720"/>
        <w:jc w:val="both"/>
      </w:pPr>
      <w:r w:rsidRPr="00EE7044">
        <w:t>Съгласно чл. 14 от ЗВПКИИП</w:t>
      </w:r>
      <w:r w:rsidR="00C46C5C" w:rsidRPr="00EE7044">
        <w:t xml:space="preserve"> </w:t>
      </w:r>
      <w:r w:rsidR="00EE7044" w:rsidRPr="00EE7044">
        <w:t>Комисията</w:t>
      </w:r>
      <w:r w:rsidR="00C46C5C" w:rsidRPr="00EE7044">
        <w:t xml:space="preserve"> като орган за преструктуриране по чл.</w:t>
      </w:r>
      <w:r w:rsidR="00B647C1" w:rsidRPr="00EE7044">
        <w:t xml:space="preserve"> </w:t>
      </w:r>
      <w:r w:rsidR="00C46C5C" w:rsidRPr="00EE7044">
        <w:t>2, ал.</w:t>
      </w:r>
      <w:r w:rsidR="00B647C1" w:rsidRPr="00EE7044">
        <w:t xml:space="preserve"> </w:t>
      </w:r>
      <w:r w:rsidR="00C46C5C" w:rsidRPr="00EE7044">
        <w:t>1 и чл.</w:t>
      </w:r>
      <w:r w:rsidR="00B647C1" w:rsidRPr="00EE7044">
        <w:t xml:space="preserve"> </w:t>
      </w:r>
      <w:r w:rsidR="00C46C5C" w:rsidRPr="00EE7044">
        <w:t>3 ал.</w:t>
      </w:r>
      <w:r w:rsidR="00B647C1" w:rsidRPr="00EE7044">
        <w:t xml:space="preserve"> 1 от същия</w:t>
      </w:r>
      <w:r w:rsidR="00C46C5C" w:rsidRPr="00EE7044">
        <w:t xml:space="preserve"> закон приема план за преструктуриране по отношение на всяка институция, която не е част от група, подлежаща на надзор на консолидирана основа. Планът се изготвя от органа по преструктуриране. В бюджетната прогноза са заложени 19 плана за преструктуриране, съгласно определените посредници, които се ползват от облекчени изисквания.</w:t>
      </w:r>
    </w:p>
    <w:p w14:paraId="6C3929BD" w14:textId="77777777" w:rsidR="00C46C5C" w:rsidRPr="00EE7044" w:rsidRDefault="00C46C5C" w:rsidP="00713718">
      <w:pPr>
        <w:spacing w:line="276" w:lineRule="auto"/>
        <w:ind w:firstLine="720"/>
        <w:jc w:val="both"/>
      </w:pPr>
      <w:r w:rsidRPr="00EE7044">
        <w:t>За първото полугодие са изготвени 6 плана за преструктуриране. Останалите 13 плана за преструктуриране ще бъдат изготвени до края на 2025 г., съгласно заложеното в бюджетната прогноза.</w:t>
      </w:r>
    </w:p>
    <w:p w14:paraId="27B563C3" w14:textId="77777777" w:rsidR="00A2074D" w:rsidRPr="0052359F" w:rsidRDefault="00A2074D" w:rsidP="0052359F">
      <w:pPr>
        <w:pStyle w:val="ListParagraph"/>
        <w:spacing w:line="276" w:lineRule="auto"/>
        <w:ind w:left="0" w:right="78"/>
        <w:jc w:val="both"/>
        <w:rPr>
          <w:color w:val="FF0000"/>
        </w:rPr>
      </w:pPr>
    </w:p>
    <w:p w14:paraId="74C10AF3" w14:textId="77777777" w:rsidR="00490197" w:rsidRPr="00EE7044" w:rsidRDefault="00490197" w:rsidP="0052359F">
      <w:pPr>
        <w:spacing w:line="276" w:lineRule="auto"/>
      </w:pPr>
      <w:bookmarkStart w:id="71" w:name="_Toc78466480"/>
      <w:r w:rsidRPr="00EE7044">
        <w:rPr>
          <w:b/>
        </w:rPr>
        <w:t>2</w:t>
      </w:r>
      <w:r w:rsidR="00953EC4" w:rsidRPr="00EE7044">
        <w:rPr>
          <w:b/>
        </w:rPr>
        <w:t>1</w:t>
      </w:r>
      <w:r w:rsidRPr="00EE7044">
        <w:rPr>
          <w:b/>
        </w:rPr>
        <w:t xml:space="preserve">.3. </w:t>
      </w:r>
      <w:r w:rsidR="00A2074D" w:rsidRPr="00EE7044">
        <w:rPr>
          <w:b/>
        </w:rPr>
        <w:t>Определяне на годишни вноски на инвестиционните посредници в ФПИП</w:t>
      </w:r>
      <w:bookmarkEnd w:id="71"/>
    </w:p>
    <w:p w14:paraId="23BFCD9C" w14:textId="77777777" w:rsidR="00C46C5C" w:rsidRPr="00EE7044" w:rsidRDefault="005169DA" w:rsidP="00713718">
      <w:pPr>
        <w:spacing w:line="276" w:lineRule="auto"/>
        <w:jc w:val="both"/>
      </w:pPr>
      <w:r w:rsidRPr="00EE7044">
        <w:tab/>
      </w:r>
      <w:bookmarkStart w:id="72" w:name="_Toc78466481"/>
      <w:r w:rsidR="00C46C5C" w:rsidRPr="00EE7044">
        <w:t xml:space="preserve">Съгласно разпоредбата на чл. 139, ал. 2 от ЗВПКИИП във връзка с чл. 10 от Делегиран регламент 2015/63 на Комисията от 21 октомври 2014 година за допълване на Директива 2014/59/ЕС на Европейския парламент и на Съвета по отношение на предварителните вноски в механизмите за финансиране на преструктурирането (Делегиран Регламент (ЕС) 2015/63), КФН следва да определи индивидуалните годишни вноски на </w:t>
      </w:r>
      <w:r w:rsidR="00C46C5C" w:rsidRPr="00EE7044">
        <w:lastRenderedPageBreak/>
        <w:t xml:space="preserve">всеки посредник с пълен лиценз във Фонда за преструктуриране на инвестиционните посредници. Вноски се определят веднъж годишно, в срок до 30 април на съответната година. </w:t>
      </w:r>
    </w:p>
    <w:p w14:paraId="103F988A" w14:textId="2AB76AC3" w:rsidR="00C46C5C" w:rsidRPr="00EE7044" w:rsidRDefault="00C46C5C" w:rsidP="00713718">
      <w:pPr>
        <w:spacing w:line="276" w:lineRule="auto"/>
        <w:jc w:val="both"/>
      </w:pPr>
      <w:r w:rsidRPr="00EE7044">
        <w:tab/>
        <w:t xml:space="preserve">През първото полугодие са определени индивидуалните годишни вноски за 2025 г. на 19-те </w:t>
      </w:r>
      <w:r w:rsidR="000B62A1">
        <w:t>инвестиционни посредници</w:t>
      </w:r>
      <w:r w:rsidRPr="00EE7044">
        <w:t>. Заложената стойност отговаря на отчетената такава.</w:t>
      </w:r>
    </w:p>
    <w:p w14:paraId="3B5BAE24" w14:textId="6132CA8F" w:rsidR="00247A01" w:rsidRPr="00EE7044" w:rsidRDefault="00247A01" w:rsidP="00C46C5C">
      <w:pPr>
        <w:pStyle w:val="ListParagraph"/>
        <w:tabs>
          <w:tab w:val="num" w:pos="0"/>
        </w:tabs>
        <w:spacing w:line="276" w:lineRule="auto"/>
        <w:ind w:left="0" w:right="78"/>
        <w:jc w:val="both"/>
        <w:rPr>
          <w:b/>
        </w:rPr>
      </w:pPr>
    </w:p>
    <w:p w14:paraId="7709A4B4" w14:textId="1F87E4A7" w:rsidR="00490197" w:rsidRPr="00EE7044" w:rsidRDefault="00490197" w:rsidP="00247A01">
      <w:pPr>
        <w:spacing w:line="276" w:lineRule="auto"/>
      </w:pPr>
      <w:r w:rsidRPr="00EE7044">
        <w:rPr>
          <w:b/>
        </w:rPr>
        <w:t>2</w:t>
      </w:r>
      <w:r w:rsidR="00953EC4" w:rsidRPr="00EE7044">
        <w:rPr>
          <w:b/>
        </w:rPr>
        <w:t>2</w:t>
      </w:r>
      <w:r w:rsidRPr="00EE7044">
        <w:rPr>
          <w:b/>
        </w:rPr>
        <w:t>. Периодично отчитане дейността на КФН</w:t>
      </w:r>
      <w:bookmarkEnd w:id="72"/>
      <w:r w:rsidRPr="00EE7044">
        <w:rPr>
          <w:b/>
        </w:rPr>
        <w:t xml:space="preserve"> </w:t>
      </w:r>
    </w:p>
    <w:p w14:paraId="48008F51" w14:textId="74DB3844" w:rsidR="00B67609" w:rsidRPr="00EE7044" w:rsidRDefault="00B67609" w:rsidP="00247A01">
      <w:pPr>
        <w:spacing w:line="276" w:lineRule="auto"/>
        <w:jc w:val="both"/>
      </w:pPr>
      <w:r w:rsidRPr="00EE7044">
        <w:tab/>
        <w:t>През първото полугодие на 202</w:t>
      </w:r>
      <w:r w:rsidR="00A24416" w:rsidRPr="00EE7044">
        <w:t>5</w:t>
      </w:r>
      <w:r w:rsidRPr="00EE7044">
        <w:t xml:space="preserve"> г. </w:t>
      </w:r>
      <w:r w:rsidR="00B8004F" w:rsidRPr="00EE7044">
        <w:t>е изготвен</w:t>
      </w:r>
      <w:r w:rsidRPr="00EE7044">
        <w:t xml:space="preserve"> Годишен отчет на Комисията за финансов надзор за 202</w:t>
      </w:r>
      <w:r w:rsidR="00A24416" w:rsidRPr="00EE7044">
        <w:t>4</w:t>
      </w:r>
      <w:r w:rsidRPr="00EE7044">
        <w:t xml:space="preserve"> г., който обобщава дейността на институцията и отразява състоянието на небанковия финансов сектор в България през 202</w:t>
      </w:r>
      <w:r w:rsidR="00A24416" w:rsidRPr="00EE7044">
        <w:t>4</w:t>
      </w:r>
      <w:r w:rsidR="00B8004F" w:rsidRPr="00EE7044">
        <w:t xml:space="preserve"> г.</w:t>
      </w:r>
    </w:p>
    <w:p w14:paraId="5886EF11" w14:textId="77777777" w:rsidR="00E077B4" w:rsidRPr="00CB1668" w:rsidRDefault="00E077B4" w:rsidP="0052359F">
      <w:pPr>
        <w:pStyle w:val="ListParagraph"/>
        <w:spacing w:line="276" w:lineRule="auto"/>
        <w:ind w:left="0" w:firstLine="720"/>
        <w:jc w:val="both"/>
      </w:pPr>
    </w:p>
    <w:p w14:paraId="4B8E3472" w14:textId="77777777" w:rsidR="00490197" w:rsidRPr="00EE7044" w:rsidRDefault="00490197" w:rsidP="0052359F">
      <w:pPr>
        <w:spacing w:line="276" w:lineRule="auto"/>
        <w:jc w:val="both"/>
      </w:pPr>
      <w:bookmarkStart w:id="73" w:name="_Toc78466482"/>
      <w:r w:rsidRPr="00EE7044">
        <w:rPr>
          <w:b/>
        </w:rPr>
        <w:t>2</w:t>
      </w:r>
      <w:r w:rsidR="00953EC4" w:rsidRPr="00EE7044">
        <w:rPr>
          <w:b/>
        </w:rPr>
        <w:t>3</w:t>
      </w:r>
      <w:r w:rsidRPr="00EE7044">
        <w:rPr>
          <w:b/>
        </w:rPr>
        <w:t xml:space="preserve">. </w:t>
      </w:r>
      <w:r w:rsidR="00815A09" w:rsidRPr="00EE7044">
        <w:rPr>
          <w:b/>
        </w:rPr>
        <w:t>Организиране и участие в семинари, информационни кампании, образователни програми относно въпроси, свързани с функционирането на небанковия финансов сектор</w:t>
      </w:r>
      <w:bookmarkEnd w:id="73"/>
    </w:p>
    <w:p w14:paraId="297EC804" w14:textId="7B4152F1" w:rsidR="00490197" w:rsidRPr="00EE7044" w:rsidRDefault="00490197" w:rsidP="0052359F">
      <w:pPr>
        <w:spacing w:line="276" w:lineRule="auto"/>
        <w:rPr>
          <w:b/>
        </w:rPr>
      </w:pPr>
      <w:bookmarkStart w:id="74" w:name="_Toc78466483"/>
      <w:r w:rsidRPr="00EE7044">
        <w:rPr>
          <w:b/>
        </w:rPr>
        <w:t>2</w:t>
      </w:r>
      <w:r w:rsidR="00953EC4" w:rsidRPr="00EE7044">
        <w:rPr>
          <w:b/>
        </w:rPr>
        <w:t>3</w:t>
      </w:r>
      <w:r w:rsidRPr="00EE7044">
        <w:rPr>
          <w:b/>
        </w:rPr>
        <w:t>.1</w:t>
      </w:r>
      <w:r w:rsidR="00206CDD" w:rsidRPr="00EE7044">
        <w:rPr>
          <w:b/>
        </w:rPr>
        <w:t>.</w:t>
      </w:r>
      <w:r w:rsidRPr="00EE7044">
        <w:rPr>
          <w:b/>
        </w:rPr>
        <w:t xml:space="preserve"> Проведени семинари</w:t>
      </w:r>
      <w:bookmarkEnd w:id="74"/>
    </w:p>
    <w:p w14:paraId="1417F04C" w14:textId="397109FF" w:rsidR="007635A0" w:rsidRPr="00EE7044" w:rsidRDefault="007635A0" w:rsidP="000B62A1">
      <w:pPr>
        <w:spacing w:line="276" w:lineRule="auto"/>
        <w:jc w:val="both"/>
      </w:pPr>
      <w:r w:rsidRPr="00EE7044">
        <w:tab/>
        <w:t>За първото полугодие на 2025 г. са проведени следните семинари и са извършени следните дейности:</w:t>
      </w:r>
    </w:p>
    <w:p w14:paraId="2A084B4C" w14:textId="77777777" w:rsidR="007635A0" w:rsidRPr="00EE7044" w:rsidRDefault="007635A0" w:rsidP="000B62A1">
      <w:pPr>
        <w:numPr>
          <w:ilvl w:val="0"/>
          <w:numId w:val="34"/>
        </w:numPr>
        <w:spacing w:before="100" w:beforeAutospacing="1" w:after="100" w:afterAutospacing="1" w:line="276" w:lineRule="auto"/>
      </w:pPr>
      <w:r w:rsidRPr="00EE7044">
        <w:t>Кръгла маса, организирана съвместно с УНСС и посветена на Регламента MiCA;</w:t>
      </w:r>
    </w:p>
    <w:p w14:paraId="1B3D7495" w14:textId="4BFC226E" w:rsidR="007635A0" w:rsidRPr="00EE7044" w:rsidRDefault="007635A0" w:rsidP="000B62A1">
      <w:pPr>
        <w:numPr>
          <w:ilvl w:val="0"/>
          <w:numId w:val="34"/>
        </w:numPr>
        <w:tabs>
          <w:tab w:val="clear" w:pos="720"/>
          <w:tab w:val="num" w:pos="360"/>
        </w:tabs>
        <w:spacing w:before="100" w:beforeAutospacing="1" w:after="100" w:afterAutospacing="1" w:line="276" w:lineRule="auto"/>
        <w:ind w:left="0" w:firstLine="360"/>
        <w:jc w:val="both"/>
      </w:pPr>
      <w:r w:rsidRPr="00EE7044">
        <w:t>Национална конференция „Промени в пенсионния модел в България“ с участието на Диана Йорданова – заместник-председател на КФН, ръководещ управление „Осигурителен надзор“;</w:t>
      </w:r>
    </w:p>
    <w:p w14:paraId="1FAE4708" w14:textId="77777777" w:rsidR="007635A0" w:rsidRPr="00EE7044" w:rsidRDefault="007635A0" w:rsidP="000B62A1">
      <w:pPr>
        <w:numPr>
          <w:ilvl w:val="0"/>
          <w:numId w:val="34"/>
        </w:numPr>
        <w:tabs>
          <w:tab w:val="clear" w:pos="720"/>
          <w:tab w:val="num" w:pos="360"/>
        </w:tabs>
        <w:spacing w:before="100" w:beforeAutospacing="1" w:after="100" w:afterAutospacing="1" w:line="276" w:lineRule="auto"/>
        <w:ind w:left="0" w:firstLine="360"/>
        <w:jc w:val="both"/>
      </w:pPr>
      <w:r w:rsidRPr="00EE7044">
        <w:t>Конференция на тема „Принципи за корпоративно управление на ОИСР/Г-20 – добри практики за устойчив растеж“, съвместно с НККУ;</w:t>
      </w:r>
    </w:p>
    <w:p w14:paraId="7BE7BBA5" w14:textId="77777777" w:rsidR="007635A0" w:rsidRPr="00EE7044" w:rsidRDefault="007635A0" w:rsidP="000B62A1">
      <w:pPr>
        <w:numPr>
          <w:ilvl w:val="0"/>
          <w:numId w:val="34"/>
        </w:numPr>
        <w:tabs>
          <w:tab w:val="clear" w:pos="720"/>
        </w:tabs>
        <w:spacing w:before="100" w:beforeAutospacing="1" w:after="100" w:afterAutospacing="1" w:line="276" w:lineRule="auto"/>
        <w:ind w:left="0" w:firstLine="360"/>
        <w:jc w:val="both"/>
      </w:pPr>
      <w:r w:rsidRPr="00EE7044">
        <w:t xml:space="preserve">Подписване на </w:t>
      </w:r>
      <w:r w:rsidRPr="00EE7044">
        <w:rPr>
          <w:bCs/>
        </w:rPr>
        <w:t>Меморандум за сътрудничество с УНСС</w:t>
      </w:r>
      <w:r w:rsidRPr="00EE7044">
        <w:t>, насочен към образование, стажове и подкрепа за бъдещи финансисти;</w:t>
      </w:r>
    </w:p>
    <w:p w14:paraId="04169C8F" w14:textId="77777777" w:rsidR="007635A0" w:rsidRPr="00EE7044" w:rsidRDefault="007635A0" w:rsidP="000B62A1">
      <w:pPr>
        <w:numPr>
          <w:ilvl w:val="0"/>
          <w:numId w:val="34"/>
        </w:numPr>
        <w:spacing w:before="100" w:beforeAutospacing="1" w:after="100" w:afterAutospacing="1" w:line="276" w:lineRule="auto"/>
        <w:jc w:val="both"/>
      </w:pPr>
      <w:r w:rsidRPr="00EE7044">
        <w:t xml:space="preserve">Церемония по връчване на </w:t>
      </w:r>
      <w:r w:rsidRPr="00EE7044">
        <w:rPr>
          <w:bCs/>
        </w:rPr>
        <w:t>сертификати за инвестиционни консултанти и брокери</w:t>
      </w:r>
      <w:r w:rsidRPr="00EE7044">
        <w:t>;</w:t>
      </w:r>
    </w:p>
    <w:p w14:paraId="7280D7EA" w14:textId="77777777" w:rsidR="007635A0" w:rsidRPr="00EE7044" w:rsidRDefault="007635A0" w:rsidP="000B62A1">
      <w:pPr>
        <w:numPr>
          <w:ilvl w:val="0"/>
          <w:numId w:val="34"/>
        </w:numPr>
        <w:tabs>
          <w:tab w:val="clear" w:pos="720"/>
          <w:tab w:val="num" w:pos="360"/>
        </w:tabs>
        <w:spacing w:before="100" w:beforeAutospacing="1" w:after="100" w:afterAutospacing="1" w:line="276" w:lineRule="auto"/>
        <w:ind w:left="0" w:firstLine="360"/>
        <w:jc w:val="both"/>
      </w:pPr>
      <w:r w:rsidRPr="00EE7044">
        <w:t>Подкрепа на инициативата „Ring the Bell for Gender Equality“ на Българската фондова борса;</w:t>
      </w:r>
    </w:p>
    <w:p w14:paraId="53E80E2A" w14:textId="77777777" w:rsidR="007635A0" w:rsidRPr="00EE7044" w:rsidRDefault="007635A0" w:rsidP="000B62A1">
      <w:pPr>
        <w:numPr>
          <w:ilvl w:val="0"/>
          <w:numId w:val="34"/>
        </w:numPr>
        <w:spacing w:before="100" w:beforeAutospacing="1" w:after="100" w:afterAutospacing="1" w:line="276" w:lineRule="auto"/>
        <w:jc w:val="both"/>
      </w:pPr>
      <w:r w:rsidRPr="00EE7044">
        <w:t xml:space="preserve">Участие в </w:t>
      </w:r>
      <w:r w:rsidRPr="00EE7044">
        <w:rPr>
          <w:bCs/>
        </w:rPr>
        <w:t>Националния конкурс „Млад одитор 2025“</w:t>
      </w:r>
      <w:r w:rsidRPr="00EE7044">
        <w:t>;</w:t>
      </w:r>
    </w:p>
    <w:p w14:paraId="6DC702DB" w14:textId="533F245C" w:rsidR="007635A0" w:rsidRPr="00EE7044" w:rsidRDefault="0035753A" w:rsidP="000B62A1">
      <w:pPr>
        <w:numPr>
          <w:ilvl w:val="0"/>
          <w:numId w:val="34"/>
        </w:numPr>
        <w:tabs>
          <w:tab w:val="clear" w:pos="720"/>
          <w:tab w:val="num" w:pos="360"/>
        </w:tabs>
        <w:spacing w:before="100" w:beforeAutospacing="1" w:after="100" w:afterAutospacing="1" w:line="276" w:lineRule="auto"/>
        <w:ind w:left="0" w:firstLine="360"/>
        <w:jc w:val="both"/>
      </w:pPr>
      <w:r w:rsidRPr="00EE7044">
        <w:t>Подписване на споразумение за с</w:t>
      </w:r>
      <w:r w:rsidR="007635A0" w:rsidRPr="00EE7044">
        <w:t xml:space="preserve">ътрудничество със </w:t>
      </w:r>
      <w:r w:rsidR="007635A0" w:rsidRPr="00EE7044">
        <w:rPr>
          <w:bCs/>
        </w:rPr>
        <w:t>Стопанска академия „Д. А. Ценов“ – Свищов</w:t>
      </w:r>
      <w:r w:rsidR="007635A0" w:rsidRPr="00EE7044">
        <w:t xml:space="preserve"> за повишаване на финансовата и дигитална грамотност;</w:t>
      </w:r>
      <w:r w:rsidRPr="00EE7044">
        <w:t xml:space="preserve"> Сътрудничеството предвижда провеждането на съвместни дейности, включително семинари, обучения, професионални състезания и стажантски програми, насочени към придобиване на теоретични знания и практически умения от страна на студенти и ученици в икономически специалности. Обучаемите се запознават с функционирането на капиталовия, застрахователния и осигурителния пазар в България. Част от инициативите включват възможности за сертифициране като брокери на финансови инструменти и инвестиционни консултанти.</w:t>
      </w:r>
    </w:p>
    <w:p w14:paraId="06C57B21" w14:textId="2D5E7F11" w:rsidR="007635A0" w:rsidRPr="00EE7044" w:rsidRDefault="007635A0" w:rsidP="000B62A1">
      <w:pPr>
        <w:numPr>
          <w:ilvl w:val="0"/>
          <w:numId w:val="34"/>
        </w:numPr>
        <w:tabs>
          <w:tab w:val="clear" w:pos="720"/>
        </w:tabs>
        <w:spacing w:before="100" w:beforeAutospacing="1" w:after="100" w:afterAutospacing="1" w:line="276" w:lineRule="auto"/>
        <w:ind w:left="0" w:firstLine="360"/>
        <w:jc w:val="both"/>
      </w:pPr>
      <w:r w:rsidRPr="00EE7044">
        <w:t xml:space="preserve">Провеждане на среща с </w:t>
      </w:r>
      <w:r w:rsidRPr="00EE7044">
        <w:rPr>
          <w:bCs/>
        </w:rPr>
        <w:t>DG FISMA</w:t>
      </w:r>
      <w:r w:rsidRPr="00EE7044">
        <w:t xml:space="preserve"> относно напредъка в изграждането </w:t>
      </w:r>
      <w:r w:rsidR="00674B4C" w:rsidRPr="00EE7044">
        <w:t>на Съюза на капиталовите пазари;</w:t>
      </w:r>
    </w:p>
    <w:p w14:paraId="62DE0B72" w14:textId="1114CCB5" w:rsidR="0035753A" w:rsidRPr="00EE7044" w:rsidRDefault="00674B4C" w:rsidP="000B62A1">
      <w:pPr>
        <w:numPr>
          <w:ilvl w:val="0"/>
          <w:numId w:val="34"/>
        </w:numPr>
        <w:tabs>
          <w:tab w:val="clear" w:pos="720"/>
        </w:tabs>
        <w:spacing w:before="100" w:beforeAutospacing="1" w:after="100" w:afterAutospacing="1" w:line="276" w:lineRule="auto"/>
        <w:ind w:left="0" w:firstLine="360"/>
        <w:jc w:val="both"/>
      </w:pPr>
      <w:r w:rsidRPr="00EE7044">
        <w:rPr>
          <w:bCs/>
          <w:iCs/>
          <w:szCs w:val="20"/>
        </w:rPr>
        <w:lastRenderedPageBreak/>
        <w:t>У</w:t>
      </w:r>
      <w:r w:rsidR="0047182F" w:rsidRPr="00EE7044">
        <w:rPr>
          <w:bCs/>
          <w:iCs/>
          <w:szCs w:val="20"/>
        </w:rPr>
        <w:t xml:space="preserve">частие в обучение съвместно с фондация „Буров“ </w:t>
      </w:r>
      <w:r w:rsidR="004A08DB" w:rsidRPr="00EE7044">
        <w:rPr>
          <w:bCs/>
          <w:iCs/>
          <w:szCs w:val="20"/>
        </w:rPr>
        <w:t xml:space="preserve">и </w:t>
      </w:r>
      <w:r w:rsidR="0047182F" w:rsidRPr="00EE7044">
        <w:rPr>
          <w:bCs/>
          <w:iCs/>
          <w:szCs w:val="20"/>
        </w:rPr>
        <w:t>на тема Защита на потребителит</w:t>
      </w:r>
      <w:r w:rsidR="005235EC" w:rsidRPr="00EE7044">
        <w:rPr>
          <w:bCs/>
          <w:iCs/>
          <w:szCs w:val="20"/>
        </w:rPr>
        <w:t>е в неба</w:t>
      </w:r>
      <w:r w:rsidR="00140445" w:rsidRPr="00EE7044">
        <w:rPr>
          <w:bCs/>
          <w:iCs/>
          <w:szCs w:val="20"/>
        </w:rPr>
        <w:t>нковият финансов сектор;</w:t>
      </w:r>
    </w:p>
    <w:p w14:paraId="5BC75D11" w14:textId="213A0DD5" w:rsidR="0035753A" w:rsidRPr="00EE7044" w:rsidRDefault="0035753A" w:rsidP="000B62A1">
      <w:pPr>
        <w:numPr>
          <w:ilvl w:val="0"/>
          <w:numId w:val="34"/>
        </w:numPr>
        <w:tabs>
          <w:tab w:val="clear" w:pos="720"/>
        </w:tabs>
        <w:spacing w:before="100" w:beforeAutospacing="1" w:after="100" w:afterAutospacing="1" w:line="276" w:lineRule="auto"/>
        <w:ind w:left="0" w:firstLine="360"/>
        <w:jc w:val="both"/>
      </w:pPr>
      <w:r w:rsidRPr="00EE7044">
        <w:t xml:space="preserve">Участие </w:t>
      </w:r>
      <w:r w:rsidR="005235EC" w:rsidRPr="00EE7044">
        <w:t>в образователен семинар, насочен към студенти от академията и ученици от общообразователни, специализирани и професионални училища в Северна България. Темата на събитието бе „Регулация и надзор в небанковия финансов сектор. Възможности и предизвикателства пред потребителите“. Пред аудитория от над 200 участници бяха разгледани ключови въпроси, свързани с регулаторната рамка и надзорните правомощия на КФН, характеристиките на участниците в секторите на застраховането, допълнителното пенсионно осигуряване и капиталовите пазари, спецификите на основните продукти и процеси, както и въздействието на инфлацията върху спестяванията. Обсъдени бяха и теми, свързани с финансовите иновации – включително проп търговия, криптоактиви, ролята на социалните мрежи и т.нар. „финфлуенсери“, както и най-честите жалби и сигнали от потребители</w:t>
      </w:r>
      <w:r w:rsidR="00140445" w:rsidRPr="00EE7044">
        <w:t xml:space="preserve"> на небанкови финансови услуги;</w:t>
      </w:r>
    </w:p>
    <w:p w14:paraId="1D30B0AB" w14:textId="3E00CB08" w:rsidR="004A08DB" w:rsidRPr="00EE7044" w:rsidRDefault="004A08DB" w:rsidP="000B62A1">
      <w:pPr>
        <w:numPr>
          <w:ilvl w:val="0"/>
          <w:numId w:val="34"/>
        </w:numPr>
        <w:tabs>
          <w:tab w:val="clear" w:pos="720"/>
        </w:tabs>
        <w:spacing w:before="100" w:beforeAutospacing="1" w:after="100" w:afterAutospacing="1" w:line="276" w:lineRule="auto"/>
        <w:ind w:left="0" w:firstLine="360"/>
        <w:jc w:val="both"/>
      </w:pPr>
      <w:r w:rsidRPr="00EE7044">
        <w:t>П</w:t>
      </w:r>
      <w:r w:rsidR="005235EC" w:rsidRPr="00EE7044">
        <w:t>о повод Световната седмица на парите експерти от Комисията за финансов надзор изнесоха лекции на тема безопасно инвестиране пред ученици от Първа анг</w:t>
      </w:r>
      <w:r w:rsidR="00140445" w:rsidRPr="00EE7044">
        <w:t>лийска езикова гимназия в София;</w:t>
      </w:r>
      <w:r w:rsidR="005235EC" w:rsidRPr="00EE7044">
        <w:t xml:space="preserve"> </w:t>
      </w:r>
    </w:p>
    <w:p w14:paraId="5038CD86" w14:textId="39DAA767" w:rsidR="004A08DB" w:rsidRPr="00EE7044" w:rsidRDefault="004A08DB" w:rsidP="000B62A1">
      <w:pPr>
        <w:numPr>
          <w:ilvl w:val="0"/>
          <w:numId w:val="34"/>
        </w:numPr>
        <w:tabs>
          <w:tab w:val="clear" w:pos="720"/>
        </w:tabs>
        <w:spacing w:before="100" w:beforeAutospacing="1" w:after="100" w:afterAutospacing="1" w:line="276" w:lineRule="auto"/>
        <w:ind w:left="0" w:firstLine="360"/>
        <w:jc w:val="both"/>
      </w:pPr>
      <w:r w:rsidRPr="00EE7044">
        <w:t xml:space="preserve">Участие </w:t>
      </w:r>
      <w:r w:rsidR="005235EC" w:rsidRPr="00EE7044">
        <w:t>в конкурса „Портфейл на бъдещето“ за ученици от 1 до 4 клас, организиран от фондац</w:t>
      </w:r>
      <w:r w:rsidR="00140445" w:rsidRPr="00EE7044">
        <w:t>ия „Джуниър Ачийвмънт България“;</w:t>
      </w:r>
    </w:p>
    <w:p w14:paraId="4C0FC969" w14:textId="77777777" w:rsidR="004A08DB" w:rsidRPr="00EE7044" w:rsidRDefault="004A08DB" w:rsidP="000B62A1">
      <w:pPr>
        <w:numPr>
          <w:ilvl w:val="0"/>
          <w:numId w:val="34"/>
        </w:numPr>
        <w:tabs>
          <w:tab w:val="clear" w:pos="720"/>
        </w:tabs>
        <w:spacing w:before="100" w:beforeAutospacing="1" w:after="100" w:afterAutospacing="1" w:line="276" w:lineRule="auto"/>
        <w:ind w:left="0" w:firstLine="360"/>
        <w:jc w:val="both"/>
      </w:pPr>
      <w:r w:rsidRPr="00EE7044">
        <w:t>Участие в национална дискусия на тема „Финансовата грамотност като фактор за инвестиции, доходи и еврозона“, организирана от Икономическия</w:t>
      </w:r>
      <w:r w:rsidR="005235EC" w:rsidRPr="00EE7044">
        <w:t xml:space="preserve"> и социален съвет,</w:t>
      </w:r>
      <w:r w:rsidRPr="00EE7044">
        <w:t xml:space="preserve"> която е</w:t>
      </w:r>
      <w:r w:rsidR="005235EC" w:rsidRPr="00EE7044">
        <w:t xml:space="preserve"> част от Комуникационната кампания за въвеждане на еврото в България. </w:t>
      </w:r>
    </w:p>
    <w:p w14:paraId="768E2587" w14:textId="77777777" w:rsidR="00490197" w:rsidRPr="00EE7044" w:rsidRDefault="00815A09" w:rsidP="000B62A1">
      <w:pPr>
        <w:spacing w:line="276" w:lineRule="auto"/>
      </w:pPr>
      <w:bookmarkStart w:id="75" w:name="_Toc78466484"/>
      <w:r w:rsidRPr="00EE7044">
        <w:rPr>
          <w:b/>
        </w:rPr>
        <w:t>2</w:t>
      </w:r>
      <w:r w:rsidR="00953EC4" w:rsidRPr="00EE7044">
        <w:rPr>
          <w:b/>
        </w:rPr>
        <w:t>3</w:t>
      </w:r>
      <w:r w:rsidR="00490197" w:rsidRPr="00EE7044">
        <w:rPr>
          <w:b/>
        </w:rPr>
        <w:t>.2</w:t>
      </w:r>
      <w:r w:rsidR="00206CDD" w:rsidRPr="00EE7044">
        <w:rPr>
          <w:b/>
        </w:rPr>
        <w:t>.</w:t>
      </w:r>
      <w:r w:rsidR="00490197" w:rsidRPr="00EE7044">
        <w:rPr>
          <w:b/>
        </w:rPr>
        <w:t xml:space="preserve"> Изготвени информационни образователни материали</w:t>
      </w:r>
      <w:bookmarkEnd w:id="75"/>
    </w:p>
    <w:p w14:paraId="46429C49" w14:textId="3DBA7CEC" w:rsidR="00490197" w:rsidRPr="00EE7044" w:rsidRDefault="00490197" w:rsidP="000B62A1">
      <w:pPr>
        <w:pStyle w:val="Subtitle"/>
        <w:spacing w:after="0" w:line="276" w:lineRule="auto"/>
        <w:ind w:right="-28" w:firstLine="720"/>
        <w:jc w:val="both"/>
        <w:rPr>
          <w:rFonts w:cs="Times New Roman"/>
          <w:b/>
          <w:bCs/>
          <w:color w:val="000000"/>
          <w:sz w:val="24"/>
        </w:rPr>
      </w:pPr>
      <w:r w:rsidRPr="00EE7044">
        <w:rPr>
          <w:rFonts w:cstheme="minorHAnsi"/>
          <w:color w:val="auto"/>
          <w:sz w:val="24"/>
        </w:rPr>
        <w:t xml:space="preserve">През </w:t>
      </w:r>
      <w:r w:rsidR="00176F81" w:rsidRPr="00EE7044">
        <w:rPr>
          <w:rFonts w:cstheme="minorHAnsi"/>
          <w:color w:val="auto"/>
          <w:sz w:val="24"/>
        </w:rPr>
        <w:t xml:space="preserve">отчетния период </w:t>
      </w:r>
      <w:r w:rsidR="0081004F" w:rsidRPr="00EE7044">
        <w:rPr>
          <w:rFonts w:cstheme="minorHAnsi"/>
          <w:color w:val="auto"/>
          <w:sz w:val="24"/>
        </w:rPr>
        <w:t>са</w:t>
      </w:r>
      <w:r w:rsidRPr="00EE7044">
        <w:rPr>
          <w:rFonts w:cstheme="minorHAnsi"/>
          <w:color w:val="auto"/>
          <w:sz w:val="24"/>
        </w:rPr>
        <w:t xml:space="preserve"> </w:t>
      </w:r>
      <w:r w:rsidR="005B45BB" w:rsidRPr="00EE7044">
        <w:rPr>
          <w:rFonts w:cstheme="minorHAnsi"/>
          <w:color w:val="auto"/>
          <w:sz w:val="24"/>
        </w:rPr>
        <w:t>изготвен</w:t>
      </w:r>
      <w:r w:rsidR="0081004F" w:rsidRPr="00EE7044">
        <w:rPr>
          <w:rFonts w:cstheme="minorHAnsi"/>
          <w:color w:val="auto"/>
          <w:sz w:val="24"/>
        </w:rPr>
        <w:t>и</w:t>
      </w:r>
      <w:r w:rsidR="005B45BB" w:rsidRPr="00EE7044">
        <w:rPr>
          <w:rFonts w:cstheme="minorHAnsi"/>
          <w:color w:val="auto"/>
          <w:sz w:val="24"/>
        </w:rPr>
        <w:t xml:space="preserve"> </w:t>
      </w:r>
      <w:r w:rsidR="0081004F" w:rsidRPr="00EE7044">
        <w:rPr>
          <w:rFonts w:cstheme="minorHAnsi"/>
          <w:color w:val="auto"/>
          <w:sz w:val="24"/>
        </w:rPr>
        <w:t>четири</w:t>
      </w:r>
      <w:r w:rsidRPr="00EE7044">
        <w:rPr>
          <w:rFonts w:cstheme="minorHAnsi"/>
          <w:color w:val="auto"/>
          <w:sz w:val="24"/>
        </w:rPr>
        <w:t xml:space="preserve"> информацион</w:t>
      </w:r>
      <w:r w:rsidR="0081004F" w:rsidRPr="00EE7044">
        <w:rPr>
          <w:rFonts w:cstheme="minorHAnsi"/>
          <w:color w:val="auto"/>
          <w:sz w:val="24"/>
        </w:rPr>
        <w:t>ни</w:t>
      </w:r>
      <w:r w:rsidRPr="00EE7044">
        <w:rPr>
          <w:rFonts w:cstheme="minorHAnsi"/>
          <w:color w:val="auto"/>
          <w:sz w:val="24"/>
        </w:rPr>
        <w:t xml:space="preserve"> образовател</w:t>
      </w:r>
      <w:r w:rsidR="005B45BB" w:rsidRPr="00EE7044">
        <w:rPr>
          <w:rFonts w:cstheme="minorHAnsi"/>
          <w:color w:val="auto"/>
          <w:sz w:val="24"/>
        </w:rPr>
        <w:t>н</w:t>
      </w:r>
      <w:r w:rsidR="0081004F" w:rsidRPr="00EE7044">
        <w:rPr>
          <w:rFonts w:cstheme="minorHAnsi"/>
          <w:color w:val="auto"/>
          <w:sz w:val="24"/>
        </w:rPr>
        <w:t>и</w:t>
      </w:r>
      <w:r w:rsidRPr="00EE7044">
        <w:rPr>
          <w:rFonts w:cstheme="minorHAnsi"/>
          <w:color w:val="auto"/>
          <w:sz w:val="24"/>
        </w:rPr>
        <w:t xml:space="preserve"> материал</w:t>
      </w:r>
      <w:r w:rsidR="0081004F" w:rsidRPr="00EE7044">
        <w:rPr>
          <w:rFonts w:cstheme="minorHAnsi"/>
          <w:color w:val="auto"/>
          <w:sz w:val="24"/>
        </w:rPr>
        <w:t>и</w:t>
      </w:r>
      <w:r w:rsidR="00674B4C" w:rsidRPr="00EE7044">
        <w:rPr>
          <w:rFonts w:cstheme="minorHAnsi"/>
          <w:color w:val="auto"/>
          <w:sz w:val="24"/>
        </w:rPr>
        <w:t>, от които материали за предоставяне на информация на инвеститори и за ползвателите на застрахователни услуги при разпространение на инвестиционните застрахователни продукти и КИС. Изготвен е материал за инвестиционния процес и речник на термините, свързани с капиталовия пазар.</w:t>
      </w:r>
    </w:p>
    <w:p w14:paraId="04727A42" w14:textId="77777777" w:rsidR="0081004F" w:rsidRPr="00EE7044" w:rsidRDefault="0081004F" w:rsidP="000B62A1">
      <w:pPr>
        <w:pStyle w:val="Subtitle"/>
        <w:spacing w:after="0" w:line="276" w:lineRule="auto"/>
        <w:ind w:right="-28" w:firstLine="720"/>
        <w:jc w:val="both"/>
        <w:rPr>
          <w:rFonts w:cs="Times New Roman"/>
          <w:b/>
          <w:bCs/>
          <w:color w:val="000000"/>
          <w:sz w:val="24"/>
        </w:rPr>
      </w:pPr>
    </w:p>
    <w:p w14:paraId="36C8F25F" w14:textId="77777777" w:rsidR="00490197" w:rsidRPr="00EE7044" w:rsidRDefault="00490197" w:rsidP="0052359F">
      <w:pPr>
        <w:spacing w:line="276" w:lineRule="auto"/>
        <w:rPr>
          <w:b/>
        </w:rPr>
      </w:pPr>
      <w:r w:rsidRPr="00EE7044">
        <w:rPr>
          <w:b/>
        </w:rPr>
        <w:t>Източници на информация за данните по показателите за изпълнение</w:t>
      </w:r>
    </w:p>
    <w:p w14:paraId="5606E96C" w14:textId="77777777" w:rsidR="00490197" w:rsidRPr="00226FB7" w:rsidRDefault="00490197" w:rsidP="0052359F">
      <w:pPr>
        <w:pStyle w:val="Subtitle"/>
        <w:spacing w:after="0" w:line="276" w:lineRule="auto"/>
        <w:ind w:right="-28" w:firstLine="720"/>
        <w:jc w:val="both"/>
        <w:rPr>
          <w:rFonts w:cs="Times New Roman"/>
          <w:bCs/>
          <w:color w:val="000000"/>
          <w:sz w:val="24"/>
        </w:rPr>
      </w:pPr>
      <w:r w:rsidRPr="00EE7044">
        <w:rPr>
          <w:rFonts w:cs="Times New Roman"/>
          <w:bCs/>
          <w:color w:val="000000"/>
          <w:sz w:val="24"/>
        </w:rPr>
        <w:t>Информацията за данните по показателите за изпълнение е налична от регистрите на Комисията, както и от тримесечните отчети за дейността на управления</w:t>
      </w:r>
      <w:r w:rsidR="00C40531" w:rsidRPr="00EE7044">
        <w:rPr>
          <w:rFonts w:cs="Times New Roman"/>
          <w:bCs/>
          <w:color w:val="000000"/>
          <w:sz w:val="24"/>
          <w:lang w:val="ru-RU"/>
        </w:rPr>
        <w:t xml:space="preserve"> </w:t>
      </w:r>
      <w:r w:rsidR="00C40531" w:rsidRPr="00EE7044">
        <w:rPr>
          <w:rFonts w:cs="Times New Roman"/>
          <w:bCs/>
          <w:color w:val="000000"/>
          <w:sz w:val="24"/>
        </w:rPr>
        <w:t>„Надзор на инвестиционната дейност</w:t>
      </w:r>
      <w:r w:rsidR="00C40531" w:rsidRPr="00EE7044">
        <w:rPr>
          <w:rFonts w:cs="Times New Roman"/>
          <w:bCs/>
          <w:color w:val="000000"/>
          <w:sz w:val="24"/>
          <w:lang w:val="ru-RU"/>
        </w:rPr>
        <w:t>,</w:t>
      </w:r>
      <w:r w:rsidR="00C40531" w:rsidRPr="00EE7044">
        <w:rPr>
          <w:rFonts w:cs="Times New Roman"/>
          <w:bCs/>
          <w:color w:val="000000"/>
          <w:sz w:val="24"/>
        </w:rPr>
        <w:t>”</w:t>
      </w:r>
      <w:r w:rsidRPr="00EE7044">
        <w:rPr>
          <w:rFonts w:cs="Times New Roman"/>
          <w:bCs/>
          <w:color w:val="000000"/>
          <w:sz w:val="24"/>
        </w:rPr>
        <w:t xml:space="preserve"> </w:t>
      </w:r>
      <w:r w:rsidR="00C40531" w:rsidRPr="00EE7044">
        <w:rPr>
          <w:rFonts w:cs="Times New Roman"/>
          <w:bCs/>
          <w:color w:val="000000"/>
          <w:sz w:val="24"/>
        </w:rPr>
        <w:t xml:space="preserve">„Застрахователен надзор” и </w:t>
      </w:r>
      <w:r w:rsidRPr="00EE7044">
        <w:rPr>
          <w:rFonts w:cs="Times New Roman"/>
          <w:bCs/>
          <w:color w:val="000000"/>
          <w:sz w:val="24"/>
        </w:rPr>
        <w:t>„Осигурителен надзор</w:t>
      </w:r>
      <w:r w:rsidRPr="0055010F">
        <w:rPr>
          <w:rFonts w:cs="Times New Roman"/>
          <w:bCs/>
          <w:color w:val="000000"/>
          <w:sz w:val="24"/>
        </w:rPr>
        <w:t>”.</w:t>
      </w:r>
    </w:p>
    <w:p w14:paraId="6235B5F0" w14:textId="77777777" w:rsidR="00E077B4" w:rsidRDefault="00E077B4" w:rsidP="0052359F">
      <w:pPr>
        <w:spacing w:line="276" w:lineRule="auto"/>
        <w:rPr>
          <w:b/>
        </w:rPr>
      </w:pPr>
    </w:p>
    <w:p w14:paraId="4191B2FF" w14:textId="77777777" w:rsidR="00A035B2" w:rsidRDefault="00A035B2" w:rsidP="0052359F">
      <w:pPr>
        <w:spacing w:line="276" w:lineRule="auto"/>
      </w:pPr>
      <w:r>
        <w:rPr>
          <w:b/>
        </w:rPr>
        <w:t>Приложение № 6</w:t>
      </w:r>
      <w:r w:rsidRPr="00975376">
        <w:t xml:space="preserve"> </w:t>
      </w:r>
      <w:r>
        <w:t>– Отчет на показателите за изпълнение по бюджетната програма</w:t>
      </w:r>
    </w:p>
    <w:p w14:paraId="0D8CAF51" w14:textId="77777777" w:rsidR="0067298C" w:rsidRDefault="0067298C" w:rsidP="00A035B2">
      <w:pPr>
        <w:pStyle w:val="Subtitle"/>
        <w:spacing w:after="0" w:line="240" w:lineRule="auto"/>
        <w:ind w:left="720" w:right="-28"/>
        <w:jc w:val="both"/>
        <w:rPr>
          <w:rFonts w:cs="Times New Roman"/>
          <w:bCs/>
          <w:color w:val="000000"/>
          <w:sz w:val="24"/>
        </w:rPr>
      </w:pPr>
    </w:p>
    <w:tbl>
      <w:tblPr>
        <w:tblW w:w="11047" w:type="dxa"/>
        <w:tblLook w:val="04A0" w:firstRow="1" w:lastRow="0" w:firstColumn="1" w:lastColumn="0" w:noHBand="0" w:noVBand="1"/>
      </w:tblPr>
      <w:tblGrid>
        <w:gridCol w:w="5948"/>
        <w:gridCol w:w="1112"/>
        <w:gridCol w:w="1021"/>
        <w:gridCol w:w="1698"/>
        <w:gridCol w:w="1268"/>
      </w:tblGrid>
      <w:tr w:rsidR="00A23619" w:rsidRPr="0067298C" w14:paraId="56FD3EE4" w14:textId="77777777" w:rsidTr="00953EC4">
        <w:trPr>
          <w:gridAfter w:val="1"/>
          <w:wAfter w:w="1268" w:type="dxa"/>
          <w:trHeight w:val="465"/>
        </w:trPr>
        <w:tc>
          <w:tcPr>
            <w:tcW w:w="5948" w:type="dxa"/>
            <w:tcBorders>
              <w:top w:val="single" w:sz="8" w:space="0" w:color="auto"/>
              <w:left w:val="single" w:sz="8" w:space="0" w:color="auto"/>
              <w:bottom w:val="nil"/>
              <w:right w:val="single" w:sz="8" w:space="0" w:color="auto"/>
            </w:tcBorders>
            <w:shd w:val="clear" w:color="000000" w:fill="E6E6E6"/>
            <w:vAlign w:val="center"/>
            <w:hideMark/>
          </w:tcPr>
          <w:p w14:paraId="692E5F42" w14:textId="77777777" w:rsidR="00A23619" w:rsidRPr="0067298C" w:rsidRDefault="00A23619" w:rsidP="00A23619">
            <w:pPr>
              <w:jc w:val="center"/>
              <w:rPr>
                <w:b/>
                <w:bCs/>
                <w:color w:val="000000"/>
                <w:sz w:val="20"/>
                <w:szCs w:val="20"/>
                <w:lang w:eastAsia="en-US"/>
              </w:rPr>
            </w:pPr>
            <w:r w:rsidRPr="0067298C">
              <w:rPr>
                <w:b/>
                <w:bCs/>
                <w:color w:val="000000"/>
                <w:sz w:val="20"/>
                <w:szCs w:val="20"/>
                <w:lang w:eastAsia="en-US"/>
              </w:rPr>
              <w:t xml:space="preserve">4700.01.01 Бюджетна програма „ПОДОБРЯВАНЕ НА РЕГУЛАЦИЯТА И НАДЗОРА НА НЕБАНКОВИЯ ФИНАНСОВ СЕКТОР.” </w:t>
            </w:r>
          </w:p>
        </w:tc>
        <w:tc>
          <w:tcPr>
            <w:tcW w:w="1112"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14:paraId="330966F5" w14:textId="77777777" w:rsidR="00A23619" w:rsidRPr="0067298C" w:rsidRDefault="00A23619" w:rsidP="00A23619">
            <w:pPr>
              <w:jc w:val="center"/>
              <w:rPr>
                <w:b/>
                <w:bCs/>
                <w:color w:val="000000"/>
                <w:sz w:val="20"/>
                <w:szCs w:val="20"/>
                <w:lang w:eastAsia="en-US"/>
              </w:rPr>
            </w:pPr>
            <w:r w:rsidRPr="0067298C">
              <w:rPr>
                <w:b/>
                <w:bCs/>
                <w:color w:val="000000"/>
                <w:sz w:val="20"/>
                <w:szCs w:val="20"/>
                <w:lang w:eastAsia="en-US"/>
              </w:rPr>
              <w:t>Мерна единица</w:t>
            </w:r>
          </w:p>
        </w:tc>
        <w:tc>
          <w:tcPr>
            <w:tcW w:w="1021"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14:paraId="0ABF81C6" w14:textId="77777777" w:rsidR="00A23619" w:rsidRPr="0067298C" w:rsidRDefault="00A23619" w:rsidP="00A23619">
            <w:pPr>
              <w:jc w:val="center"/>
              <w:rPr>
                <w:b/>
                <w:bCs/>
                <w:color w:val="000000"/>
                <w:sz w:val="20"/>
                <w:szCs w:val="20"/>
                <w:lang w:eastAsia="en-US"/>
              </w:rPr>
            </w:pPr>
            <w:r w:rsidRPr="0067298C">
              <w:rPr>
                <w:b/>
                <w:bCs/>
                <w:color w:val="000000"/>
                <w:sz w:val="20"/>
                <w:szCs w:val="20"/>
                <w:lang w:eastAsia="en-US"/>
              </w:rPr>
              <w:t>Целева стойност</w:t>
            </w:r>
          </w:p>
        </w:tc>
        <w:tc>
          <w:tcPr>
            <w:tcW w:w="169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14:paraId="6FE24851" w14:textId="77777777" w:rsidR="00A23619" w:rsidRPr="0067298C" w:rsidRDefault="00A23619" w:rsidP="00A23619">
            <w:pPr>
              <w:jc w:val="center"/>
              <w:rPr>
                <w:b/>
                <w:bCs/>
                <w:color w:val="000000"/>
                <w:sz w:val="20"/>
                <w:szCs w:val="20"/>
                <w:lang w:eastAsia="en-US"/>
              </w:rPr>
            </w:pPr>
            <w:r w:rsidRPr="0067298C">
              <w:rPr>
                <w:b/>
                <w:bCs/>
                <w:color w:val="000000"/>
                <w:sz w:val="20"/>
                <w:szCs w:val="20"/>
                <w:lang w:eastAsia="en-US"/>
              </w:rPr>
              <w:t>Отчет</w:t>
            </w:r>
          </w:p>
        </w:tc>
      </w:tr>
      <w:tr w:rsidR="00A23619" w:rsidRPr="0067298C" w14:paraId="248E7E34"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000000" w:fill="E6E6E6"/>
            <w:vAlign w:val="center"/>
            <w:hideMark/>
          </w:tcPr>
          <w:p w14:paraId="4C628738" w14:textId="77777777" w:rsidR="00A23619" w:rsidRPr="0067298C" w:rsidRDefault="00A23619" w:rsidP="00A23619">
            <w:pPr>
              <w:jc w:val="center"/>
              <w:rPr>
                <w:b/>
                <w:bCs/>
                <w:i/>
                <w:iCs/>
                <w:color w:val="000000"/>
                <w:sz w:val="20"/>
                <w:szCs w:val="20"/>
                <w:lang w:eastAsia="en-US"/>
              </w:rPr>
            </w:pPr>
            <w:r w:rsidRPr="0067298C">
              <w:rPr>
                <w:b/>
                <w:bCs/>
                <w:i/>
                <w:iCs/>
                <w:color w:val="000000"/>
                <w:sz w:val="20"/>
                <w:szCs w:val="20"/>
                <w:lang w:eastAsia="en-US"/>
              </w:rPr>
              <w:t>Показатели за изпълнение</w:t>
            </w: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7AEA59BD" w14:textId="77777777" w:rsidR="00A23619" w:rsidRPr="0067298C" w:rsidRDefault="00A23619" w:rsidP="00A23619">
            <w:pPr>
              <w:rPr>
                <w:b/>
                <w:bCs/>
                <w:color w:val="000000"/>
                <w:sz w:val="20"/>
                <w:szCs w:val="20"/>
                <w:lang w:eastAsia="en-US"/>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0B81A52B" w14:textId="77777777" w:rsidR="00A23619" w:rsidRPr="0067298C" w:rsidRDefault="00A23619" w:rsidP="00A23619">
            <w:pPr>
              <w:rPr>
                <w:b/>
                <w:bCs/>
                <w:color w:val="000000"/>
                <w:sz w:val="20"/>
                <w:szCs w:val="20"/>
                <w:lang w:eastAsia="en-US"/>
              </w:rPr>
            </w:pPr>
          </w:p>
        </w:tc>
        <w:tc>
          <w:tcPr>
            <w:tcW w:w="1698" w:type="dxa"/>
            <w:vMerge/>
            <w:tcBorders>
              <w:top w:val="single" w:sz="8" w:space="0" w:color="auto"/>
              <w:left w:val="single" w:sz="8" w:space="0" w:color="auto"/>
              <w:bottom w:val="single" w:sz="8" w:space="0" w:color="000000"/>
              <w:right w:val="single" w:sz="8" w:space="0" w:color="auto"/>
            </w:tcBorders>
            <w:vAlign w:val="center"/>
            <w:hideMark/>
          </w:tcPr>
          <w:p w14:paraId="07AA1FB1" w14:textId="77777777" w:rsidR="00A23619" w:rsidRPr="0067298C" w:rsidRDefault="00A23619" w:rsidP="00A23619">
            <w:pPr>
              <w:rPr>
                <w:b/>
                <w:bCs/>
                <w:color w:val="000000"/>
                <w:sz w:val="20"/>
                <w:szCs w:val="20"/>
                <w:lang w:eastAsia="en-US"/>
              </w:rPr>
            </w:pPr>
          </w:p>
        </w:tc>
      </w:tr>
      <w:tr w:rsidR="00A23619" w:rsidRPr="0067298C" w14:paraId="0EC09476" w14:textId="77777777" w:rsidTr="00953EC4">
        <w:trPr>
          <w:gridAfter w:val="1"/>
          <w:wAfter w:w="1268" w:type="dxa"/>
          <w:trHeight w:val="855"/>
        </w:trPr>
        <w:tc>
          <w:tcPr>
            <w:tcW w:w="5948" w:type="dxa"/>
            <w:tcBorders>
              <w:top w:val="nil"/>
              <w:left w:val="single" w:sz="8" w:space="0" w:color="auto"/>
              <w:bottom w:val="single" w:sz="8" w:space="0" w:color="auto"/>
              <w:right w:val="single" w:sz="8" w:space="0" w:color="auto"/>
            </w:tcBorders>
            <w:shd w:val="clear" w:color="auto" w:fill="auto"/>
            <w:vAlign w:val="center"/>
            <w:hideMark/>
          </w:tcPr>
          <w:p w14:paraId="098C4D83" w14:textId="77777777" w:rsidR="00A23619" w:rsidRPr="00ED1E5F" w:rsidRDefault="00A23619" w:rsidP="00A23619">
            <w:pPr>
              <w:rPr>
                <w:b/>
                <w:bCs/>
                <w:color w:val="000000"/>
                <w:sz w:val="20"/>
                <w:szCs w:val="20"/>
                <w:lang w:eastAsia="en-US"/>
              </w:rPr>
            </w:pPr>
            <w:r w:rsidRPr="00ED1E5F">
              <w:rPr>
                <w:b/>
                <w:bCs/>
                <w:color w:val="000000"/>
                <w:sz w:val="18"/>
                <w:szCs w:val="18"/>
              </w:rPr>
              <w:lastRenderedPageBreak/>
              <w:t xml:space="preserve">1. Извършване на анализ на регулаторната рамка и изготвяне на предложения за промени в нормативната уредба с цел усъвършенстване на финансовите регулации и прилагане на добри практики в регулаторната дейност </w:t>
            </w:r>
          </w:p>
        </w:tc>
        <w:tc>
          <w:tcPr>
            <w:tcW w:w="1112" w:type="dxa"/>
            <w:tcBorders>
              <w:top w:val="nil"/>
              <w:left w:val="nil"/>
              <w:bottom w:val="single" w:sz="8" w:space="0" w:color="auto"/>
              <w:right w:val="single" w:sz="8" w:space="0" w:color="auto"/>
            </w:tcBorders>
            <w:shd w:val="clear" w:color="auto" w:fill="auto"/>
            <w:vAlign w:val="center"/>
            <w:hideMark/>
          </w:tcPr>
          <w:p w14:paraId="66864C0A" w14:textId="77777777" w:rsidR="00A23619" w:rsidRPr="00ED1E5F" w:rsidRDefault="00A23619" w:rsidP="00A23619">
            <w:pPr>
              <w:jc w:val="center"/>
              <w:rPr>
                <w:color w:val="000000"/>
                <w:sz w:val="20"/>
                <w:szCs w:val="20"/>
                <w:lang w:eastAsia="en-US"/>
              </w:rPr>
            </w:pPr>
            <w:r w:rsidRPr="00ED1E5F">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49201757" w14:textId="77777777" w:rsidR="00A23619" w:rsidRPr="00ED1E5F" w:rsidRDefault="00B563DF" w:rsidP="00A23619">
            <w:pPr>
              <w:jc w:val="center"/>
              <w:rPr>
                <w:b/>
                <w:color w:val="000000"/>
                <w:sz w:val="20"/>
                <w:szCs w:val="20"/>
                <w:lang w:val="en-US" w:eastAsia="en-US"/>
              </w:rPr>
            </w:pPr>
            <w:r w:rsidRPr="00ED1E5F">
              <w:rPr>
                <w:b/>
                <w:color w:val="000000"/>
                <w:sz w:val="20"/>
                <w:szCs w:val="20"/>
                <w:lang w:val="en-US" w:eastAsia="en-US"/>
              </w:rPr>
              <w:t>35</w:t>
            </w:r>
          </w:p>
        </w:tc>
        <w:tc>
          <w:tcPr>
            <w:tcW w:w="1698" w:type="dxa"/>
            <w:tcBorders>
              <w:top w:val="nil"/>
              <w:left w:val="nil"/>
              <w:bottom w:val="single" w:sz="8" w:space="0" w:color="auto"/>
              <w:right w:val="single" w:sz="8" w:space="0" w:color="auto"/>
            </w:tcBorders>
            <w:shd w:val="clear" w:color="auto" w:fill="auto"/>
            <w:vAlign w:val="center"/>
          </w:tcPr>
          <w:p w14:paraId="6F2C3A2C" w14:textId="7D3FF2B9" w:rsidR="00A23619" w:rsidRPr="00ED1E5F" w:rsidRDefault="00ED1E5F" w:rsidP="00A23619">
            <w:pPr>
              <w:rPr>
                <w:b/>
                <w:color w:val="000000"/>
                <w:sz w:val="20"/>
                <w:szCs w:val="20"/>
                <w:lang w:eastAsia="en-US"/>
              </w:rPr>
            </w:pPr>
            <w:r w:rsidRPr="00ED1E5F">
              <w:rPr>
                <w:b/>
                <w:color w:val="000000"/>
                <w:sz w:val="20"/>
                <w:szCs w:val="20"/>
                <w:lang w:eastAsia="en-US"/>
              </w:rPr>
              <w:t>12</w:t>
            </w:r>
          </w:p>
        </w:tc>
      </w:tr>
      <w:tr w:rsidR="00A23619" w:rsidRPr="00005477" w14:paraId="621DCFF1"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hideMark/>
          </w:tcPr>
          <w:p w14:paraId="0D0C2AB1" w14:textId="77777777" w:rsidR="00A23619" w:rsidRPr="00ED1E5F" w:rsidRDefault="00A23619" w:rsidP="00A23619">
            <w:pPr>
              <w:rPr>
                <w:color w:val="000000"/>
                <w:sz w:val="20"/>
                <w:szCs w:val="20"/>
                <w:lang w:eastAsia="en-US"/>
              </w:rPr>
            </w:pPr>
            <w:r w:rsidRPr="00ED1E5F">
              <w:rPr>
                <w:color w:val="000000"/>
                <w:sz w:val="18"/>
                <w:szCs w:val="18"/>
              </w:rPr>
              <w:t xml:space="preserve">1.1. Изготвени предложения за изменение и допълнение на нормативни актове и приети подзаконови нормативни актове </w:t>
            </w:r>
          </w:p>
        </w:tc>
        <w:tc>
          <w:tcPr>
            <w:tcW w:w="1112" w:type="dxa"/>
            <w:tcBorders>
              <w:top w:val="nil"/>
              <w:left w:val="nil"/>
              <w:bottom w:val="single" w:sz="8" w:space="0" w:color="auto"/>
              <w:right w:val="single" w:sz="8" w:space="0" w:color="auto"/>
            </w:tcBorders>
            <w:shd w:val="clear" w:color="auto" w:fill="auto"/>
            <w:vAlign w:val="center"/>
            <w:hideMark/>
          </w:tcPr>
          <w:p w14:paraId="26CE8824" w14:textId="77777777" w:rsidR="00A23619" w:rsidRPr="00ED1E5F" w:rsidRDefault="00A23619" w:rsidP="00A23619">
            <w:pPr>
              <w:jc w:val="center"/>
              <w:rPr>
                <w:color w:val="000000"/>
                <w:sz w:val="20"/>
                <w:szCs w:val="20"/>
                <w:lang w:eastAsia="en-US"/>
              </w:rPr>
            </w:pPr>
            <w:r w:rsidRPr="00ED1E5F">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5C499DA0" w14:textId="77777777" w:rsidR="00A23619" w:rsidRPr="00ED1E5F" w:rsidRDefault="00B563DF" w:rsidP="00A23619">
            <w:pPr>
              <w:jc w:val="center"/>
              <w:rPr>
                <w:color w:val="000000"/>
                <w:sz w:val="20"/>
                <w:szCs w:val="20"/>
                <w:lang w:val="en-US" w:eastAsia="en-US"/>
              </w:rPr>
            </w:pPr>
            <w:r w:rsidRPr="00ED1E5F">
              <w:rPr>
                <w:color w:val="000000"/>
                <w:sz w:val="20"/>
                <w:szCs w:val="20"/>
                <w:lang w:val="en-US" w:eastAsia="en-US"/>
              </w:rPr>
              <w:t>15</w:t>
            </w:r>
          </w:p>
        </w:tc>
        <w:tc>
          <w:tcPr>
            <w:tcW w:w="1698" w:type="dxa"/>
            <w:tcBorders>
              <w:top w:val="nil"/>
              <w:left w:val="nil"/>
              <w:bottom w:val="single" w:sz="8" w:space="0" w:color="auto"/>
              <w:right w:val="single" w:sz="8" w:space="0" w:color="auto"/>
            </w:tcBorders>
            <w:shd w:val="clear" w:color="auto" w:fill="auto"/>
            <w:vAlign w:val="center"/>
          </w:tcPr>
          <w:p w14:paraId="0F30E715" w14:textId="504F0AD3" w:rsidR="00877B87" w:rsidRPr="00ED1E5F" w:rsidRDefault="006B0471" w:rsidP="00A23619">
            <w:pPr>
              <w:rPr>
                <w:color w:val="000000"/>
                <w:sz w:val="20"/>
                <w:szCs w:val="20"/>
                <w:lang w:eastAsia="en-US"/>
              </w:rPr>
            </w:pPr>
            <w:r w:rsidRPr="00ED1E5F">
              <w:rPr>
                <w:color w:val="000000"/>
                <w:sz w:val="20"/>
                <w:szCs w:val="20"/>
                <w:lang w:eastAsia="en-US"/>
              </w:rPr>
              <w:t>4</w:t>
            </w:r>
          </w:p>
        </w:tc>
      </w:tr>
      <w:tr w:rsidR="00A23619" w:rsidRPr="0067298C" w14:paraId="4CE99728"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hideMark/>
          </w:tcPr>
          <w:p w14:paraId="2CBF3D0C" w14:textId="77777777" w:rsidR="00A23619" w:rsidRPr="00ED1E5F" w:rsidRDefault="00A23619" w:rsidP="00A23619">
            <w:pPr>
              <w:rPr>
                <w:color w:val="000000"/>
                <w:sz w:val="18"/>
                <w:szCs w:val="18"/>
              </w:rPr>
            </w:pPr>
            <w:r w:rsidRPr="00ED1E5F">
              <w:rPr>
                <w:color w:val="000000"/>
                <w:sz w:val="18"/>
                <w:szCs w:val="18"/>
              </w:rPr>
              <w:t>1.2. Изготвени предложения за издаване на общи административни актове, практики и указания по прилагането и тълкуването на нормативната уредба</w:t>
            </w:r>
          </w:p>
          <w:p w14:paraId="3F95CFCC" w14:textId="77777777" w:rsidR="00A23619" w:rsidRPr="00ED1E5F"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7151A829" w14:textId="77777777" w:rsidR="00A23619" w:rsidRPr="00ED1E5F" w:rsidRDefault="00A23619" w:rsidP="00A23619">
            <w:pPr>
              <w:jc w:val="center"/>
              <w:rPr>
                <w:color w:val="000000"/>
                <w:sz w:val="20"/>
                <w:szCs w:val="20"/>
                <w:lang w:eastAsia="en-US"/>
              </w:rPr>
            </w:pPr>
            <w:r w:rsidRPr="00ED1E5F">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64AD320A" w14:textId="77777777" w:rsidR="00A23619" w:rsidRPr="00ED1E5F" w:rsidRDefault="00B563DF" w:rsidP="00A23619">
            <w:pPr>
              <w:jc w:val="center"/>
              <w:rPr>
                <w:color w:val="000000"/>
                <w:sz w:val="20"/>
                <w:szCs w:val="20"/>
                <w:lang w:val="en-US" w:eastAsia="en-US"/>
              </w:rPr>
            </w:pPr>
            <w:r w:rsidRPr="00ED1E5F">
              <w:rPr>
                <w:color w:val="000000"/>
                <w:sz w:val="20"/>
                <w:szCs w:val="20"/>
                <w:lang w:val="en-US" w:eastAsia="en-US"/>
              </w:rPr>
              <w:t>7</w:t>
            </w:r>
          </w:p>
        </w:tc>
        <w:tc>
          <w:tcPr>
            <w:tcW w:w="1698" w:type="dxa"/>
            <w:tcBorders>
              <w:top w:val="nil"/>
              <w:left w:val="nil"/>
              <w:bottom w:val="single" w:sz="8" w:space="0" w:color="auto"/>
              <w:right w:val="single" w:sz="8" w:space="0" w:color="auto"/>
            </w:tcBorders>
            <w:shd w:val="clear" w:color="auto" w:fill="auto"/>
            <w:vAlign w:val="center"/>
          </w:tcPr>
          <w:p w14:paraId="6365A14B" w14:textId="4192F483" w:rsidR="00A23619" w:rsidRPr="00ED1E5F" w:rsidRDefault="00EE6D82" w:rsidP="00A23619">
            <w:pPr>
              <w:rPr>
                <w:color w:val="000000"/>
                <w:sz w:val="20"/>
                <w:szCs w:val="20"/>
                <w:lang w:eastAsia="en-US"/>
              </w:rPr>
            </w:pPr>
            <w:r w:rsidRPr="00ED1E5F">
              <w:rPr>
                <w:color w:val="000000"/>
                <w:sz w:val="20"/>
                <w:szCs w:val="20"/>
                <w:lang w:eastAsia="en-US"/>
              </w:rPr>
              <w:t>1</w:t>
            </w:r>
          </w:p>
        </w:tc>
      </w:tr>
      <w:tr w:rsidR="00A23619" w:rsidRPr="0067298C" w14:paraId="24B524BB"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hideMark/>
          </w:tcPr>
          <w:p w14:paraId="3858BC5D" w14:textId="77777777" w:rsidR="00A23619" w:rsidRPr="00ED1E5F" w:rsidRDefault="00A23619" w:rsidP="00A23619">
            <w:pPr>
              <w:rPr>
                <w:color w:val="000000"/>
                <w:sz w:val="18"/>
                <w:szCs w:val="18"/>
              </w:rPr>
            </w:pPr>
            <w:r w:rsidRPr="00ED1E5F">
              <w:rPr>
                <w:color w:val="000000"/>
                <w:sz w:val="18"/>
                <w:szCs w:val="18"/>
              </w:rPr>
              <w:t>1.3. Приети за прилагане насоки на европейските надзорни органи</w:t>
            </w:r>
          </w:p>
          <w:p w14:paraId="3F3F05AA" w14:textId="77777777" w:rsidR="00A23619" w:rsidRPr="00ED1E5F"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6FC92857" w14:textId="77777777" w:rsidR="00A23619" w:rsidRPr="00ED1E5F" w:rsidRDefault="00A23619" w:rsidP="00A23619">
            <w:pPr>
              <w:jc w:val="center"/>
              <w:rPr>
                <w:color w:val="000000"/>
                <w:sz w:val="20"/>
                <w:szCs w:val="20"/>
                <w:lang w:eastAsia="en-US"/>
              </w:rPr>
            </w:pPr>
            <w:r w:rsidRPr="00ED1E5F">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131D8CCA" w14:textId="77777777" w:rsidR="00A23619" w:rsidRPr="00ED1E5F" w:rsidRDefault="00B563DF" w:rsidP="00A23619">
            <w:pPr>
              <w:jc w:val="center"/>
              <w:rPr>
                <w:color w:val="000000"/>
                <w:sz w:val="20"/>
                <w:szCs w:val="20"/>
                <w:lang w:val="en-US" w:eastAsia="en-US"/>
              </w:rPr>
            </w:pPr>
            <w:r w:rsidRPr="00ED1E5F">
              <w:rPr>
                <w:color w:val="000000"/>
                <w:sz w:val="20"/>
                <w:szCs w:val="20"/>
                <w:lang w:val="en-US" w:eastAsia="en-US"/>
              </w:rPr>
              <w:t>13</w:t>
            </w:r>
          </w:p>
        </w:tc>
        <w:tc>
          <w:tcPr>
            <w:tcW w:w="1698" w:type="dxa"/>
            <w:tcBorders>
              <w:top w:val="nil"/>
              <w:left w:val="nil"/>
              <w:bottom w:val="single" w:sz="8" w:space="0" w:color="auto"/>
              <w:right w:val="single" w:sz="8" w:space="0" w:color="auto"/>
            </w:tcBorders>
            <w:shd w:val="clear" w:color="auto" w:fill="auto"/>
            <w:vAlign w:val="center"/>
          </w:tcPr>
          <w:p w14:paraId="6FAEEC89" w14:textId="52491803" w:rsidR="00A23619" w:rsidRPr="00ED1E5F" w:rsidRDefault="00ED1E5F" w:rsidP="00A23619">
            <w:pPr>
              <w:rPr>
                <w:color w:val="000000"/>
                <w:sz w:val="20"/>
                <w:szCs w:val="20"/>
                <w:lang w:eastAsia="en-US"/>
              </w:rPr>
            </w:pPr>
            <w:r w:rsidRPr="00ED1E5F">
              <w:rPr>
                <w:color w:val="000000"/>
                <w:sz w:val="20"/>
                <w:szCs w:val="20"/>
                <w:lang w:eastAsia="en-US"/>
              </w:rPr>
              <w:t>7</w:t>
            </w:r>
          </w:p>
        </w:tc>
      </w:tr>
      <w:tr w:rsidR="00A23619" w:rsidRPr="0067298C" w14:paraId="02065127" w14:textId="77777777" w:rsidTr="00953EC4">
        <w:trPr>
          <w:gridAfter w:val="1"/>
          <w:wAfter w:w="1268" w:type="dxa"/>
          <w:trHeight w:val="1065"/>
        </w:trPr>
        <w:tc>
          <w:tcPr>
            <w:tcW w:w="5948" w:type="dxa"/>
            <w:tcBorders>
              <w:top w:val="nil"/>
              <w:left w:val="single" w:sz="8" w:space="0" w:color="auto"/>
              <w:bottom w:val="single" w:sz="8" w:space="0" w:color="auto"/>
              <w:right w:val="single" w:sz="8" w:space="0" w:color="auto"/>
            </w:tcBorders>
            <w:shd w:val="clear" w:color="auto" w:fill="auto"/>
            <w:vAlign w:val="center"/>
            <w:hideMark/>
          </w:tcPr>
          <w:p w14:paraId="544ECF35" w14:textId="77777777" w:rsidR="00A23619" w:rsidRPr="00DD7DFD" w:rsidRDefault="00A23619" w:rsidP="00A23619">
            <w:pPr>
              <w:rPr>
                <w:b/>
                <w:bCs/>
                <w:color w:val="000000"/>
                <w:sz w:val="20"/>
                <w:szCs w:val="20"/>
                <w:lang w:eastAsia="en-US"/>
              </w:rPr>
            </w:pPr>
            <w:r w:rsidRPr="00DD7DFD">
              <w:rPr>
                <w:b/>
                <w:bCs/>
                <w:color w:val="000000"/>
                <w:sz w:val="18"/>
                <w:szCs w:val="18"/>
              </w:rPr>
              <w:t xml:space="preserve">2. Участие в процеса на изпълнение на задълженията и мерките, произтичащи от членството на България в ЕС и в други международни организации </w:t>
            </w:r>
          </w:p>
        </w:tc>
        <w:tc>
          <w:tcPr>
            <w:tcW w:w="1112" w:type="dxa"/>
            <w:tcBorders>
              <w:top w:val="nil"/>
              <w:left w:val="nil"/>
              <w:bottom w:val="single" w:sz="8" w:space="0" w:color="auto"/>
              <w:right w:val="single" w:sz="8" w:space="0" w:color="auto"/>
            </w:tcBorders>
            <w:shd w:val="clear" w:color="auto" w:fill="auto"/>
            <w:vAlign w:val="center"/>
            <w:hideMark/>
          </w:tcPr>
          <w:p w14:paraId="6E7003B6"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5A4B46B1"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188</w:t>
            </w:r>
          </w:p>
        </w:tc>
        <w:tc>
          <w:tcPr>
            <w:tcW w:w="1698" w:type="dxa"/>
            <w:tcBorders>
              <w:top w:val="nil"/>
              <w:left w:val="nil"/>
              <w:bottom w:val="single" w:sz="8" w:space="0" w:color="auto"/>
              <w:right w:val="single" w:sz="8" w:space="0" w:color="auto"/>
            </w:tcBorders>
            <w:shd w:val="clear" w:color="auto" w:fill="auto"/>
            <w:vAlign w:val="center"/>
          </w:tcPr>
          <w:p w14:paraId="14E3CB98" w14:textId="404B3144" w:rsidR="00A23619" w:rsidRPr="00DD7DFD" w:rsidRDefault="00534B7D" w:rsidP="00A23619">
            <w:pPr>
              <w:jc w:val="both"/>
              <w:rPr>
                <w:b/>
                <w:color w:val="000000"/>
                <w:sz w:val="20"/>
                <w:szCs w:val="20"/>
                <w:lang w:eastAsia="en-US"/>
              </w:rPr>
            </w:pPr>
            <w:r w:rsidRPr="00DD7DFD">
              <w:rPr>
                <w:b/>
                <w:color w:val="000000"/>
                <w:sz w:val="20"/>
                <w:szCs w:val="20"/>
                <w:lang w:eastAsia="en-US"/>
              </w:rPr>
              <w:t>95</w:t>
            </w:r>
          </w:p>
        </w:tc>
      </w:tr>
      <w:tr w:rsidR="00A23619" w:rsidRPr="0067298C" w14:paraId="2FAC6939" w14:textId="77777777" w:rsidTr="00953EC4">
        <w:trPr>
          <w:gridAfter w:val="1"/>
          <w:wAfter w:w="1268" w:type="dxa"/>
          <w:trHeight w:val="690"/>
        </w:trPr>
        <w:tc>
          <w:tcPr>
            <w:tcW w:w="5948" w:type="dxa"/>
            <w:tcBorders>
              <w:top w:val="nil"/>
              <w:left w:val="single" w:sz="8" w:space="0" w:color="auto"/>
              <w:bottom w:val="single" w:sz="8" w:space="0" w:color="auto"/>
              <w:right w:val="single" w:sz="8" w:space="0" w:color="auto"/>
            </w:tcBorders>
            <w:shd w:val="clear" w:color="auto" w:fill="auto"/>
            <w:vAlign w:val="center"/>
            <w:hideMark/>
          </w:tcPr>
          <w:p w14:paraId="4763EADB" w14:textId="77777777" w:rsidR="00A23619" w:rsidRPr="00DD7DFD" w:rsidRDefault="00A23619" w:rsidP="00A23619">
            <w:pPr>
              <w:rPr>
                <w:color w:val="000000"/>
                <w:sz w:val="18"/>
                <w:szCs w:val="18"/>
              </w:rPr>
            </w:pPr>
            <w:r w:rsidRPr="00DD7DFD">
              <w:rPr>
                <w:color w:val="000000"/>
                <w:sz w:val="18"/>
                <w:szCs w:val="18"/>
              </w:rPr>
              <w:t>2.1.  Изготвяне на проекти на позиции/становища и участие в заседания на консултативни комитети и работни групи към ЕК във връзка с изпълнение на задълженията и мерките, произтичащи от членството на България в ЕС</w:t>
            </w:r>
          </w:p>
          <w:p w14:paraId="5F35BB69"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2B63928C"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25F9D1D0"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10</w:t>
            </w:r>
          </w:p>
        </w:tc>
        <w:tc>
          <w:tcPr>
            <w:tcW w:w="1698" w:type="dxa"/>
            <w:tcBorders>
              <w:top w:val="nil"/>
              <w:left w:val="nil"/>
              <w:bottom w:val="single" w:sz="8" w:space="0" w:color="auto"/>
              <w:right w:val="single" w:sz="8" w:space="0" w:color="auto"/>
            </w:tcBorders>
            <w:shd w:val="clear" w:color="auto" w:fill="auto"/>
            <w:vAlign w:val="center"/>
          </w:tcPr>
          <w:p w14:paraId="7BF2E0F1" w14:textId="5BF86AFB" w:rsidR="00A23619" w:rsidRPr="00DD7DFD" w:rsidRDefault="007754C3" w:rsidP="00A23619">
            <w:pPr>
              <w:jc w:val="both"/>
              <w:rPr>
                <w:color w:val="000000"/>
                <w:sz w:val="20"/>
                <w:szCs w:val="20"/>
                <w:lang w:eastAsia="en-US"/>
              </w:rPr>
            </w:pPr>
            <w:r w:rsidRPr="00DD7DFD">
              <w:rPr>
                <w:color w:val="000000"/>
                <w:sz w:val="20"/>
                <w:szCs w:val="20"/>
                <w:lang w:eastAsia="en-US"/>
              </w:rPr>
              <w:t>9</w:t>
            </w:r>
          </w:p>
        </w:tc>
      </w:tr>
      <w:tr w:rsidR="00A23619" w:rsidRPr="0067298C" w14:paraId="274DB8AE" w14:textId="77777777" w:rsidTr="00953EC4">
        <w:trPr>
          <w:gridAfter w:val="1"/>
          <w:wAfter w:w="1268" w:type="dxa"/>
          <w:trHeight w:val="690"/>
        </w:trPr>
        <w:tc>
          <w:tcPr>
            <w:tcW w:w="5948" w:type="dxa"/>
            <w:tcBorders>
              <w:top w:val="nil"/>
              <w:left w:val="single" w:sz="8" w:space="0" w:color="auto"/>
              <w:bottom w:val="single" w:sz="8" w:space="0" w:color="auto"/>
              <w:right w:val="single" w:sz="8" w:space="0" w:color="auto"/>
            </w:tcBorders>
            <w:shd w:val="clear" w:color="auto" w:fill="auto"/>
            <w:vAlign w:val="center"/>
            <w:hideMark/>
          </w:tcPr>
          <w:p w14:paraId="044D8A4D" w14:textId="77777777" w:rsidR="00A23619" w:rsidRPr="00DD7DFD" w:rsidRDefault="00A23619" w:rsidP="00A23619">
            <w:pPr>
              <w:rPr>
                <w:color w:val="000000"/>
                <w:sz w:val="18"/>
                <w:szCs w:val="18"/>
              </w:rPr>
            </w:pPr>
            <w:r w:rsidRPr="00DD7DFD">
              <w:rPr>
                <w:color w:val="000000"/>
                <w:sz w:val="18"/>
                <w:szCs w:val="18"/>
              </w:rPr>
              <w:t>2.2.  Изготвяне на проекти на позиции/становища и участие в срещи на междуведомствените работни групи към Съвета по европейските въпроси във връзка с изпълнение на задълженията и мерките, произтичащи от членството на България в ЕС</w:t>
            </w:r>
          </w:p>
          <w:p w14:paraId="2DBF503D"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1F760AB4"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0E856D5E"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78</w:t>
            </w:r>
          </w:p>
        </w:tc>
        <w:tc>
          <w:tcPr>
            <w:tcW w:w="1698" w:type="dxa"/>
            <w:tcBorders>
              <w:top w:val="nil"/>
              <w:left w:val="nil"/>
              <w:bottom w:val="single" w:sz="8" w:space="0" w:color="auto"/>
              <w:right w:val="single" w:sz="8" w:space="0" w:color="auto"/>
            </w:tcBorders>
            <w:shd w:val="clear" w:color="auto" w:fill="auto"/>
            <w:vAlign w:val="center"/>
          </w:tcPr>
          <w:p w14:paraId="2FC157B0" w14:textId="20E974D2" w:rsidR="00A23619" w:rsidRPr="00DD7DFD" w:rsidRDefault="00D03110" w:rsidP="00A23619">
            <w:pPr>
              <w:jc w:val="both"/>
              <w:rPr>
                <w:color w:val="000000"/>
                <w:sz w:val="20"/>
                <w:szCs w:val="20"/>
                <w:lang w:eastAsia="en-US"/>
              </w:rPr>
            </w:pPr>
            <w:r w:rsidRPr="00DD7DFD">
              <w:rPr>
                <w:color w:val="000000"/>
                <w:sz w:val="20"/>
                <w:szCs w:val="20"/>
                <w:lang w:eastAsia="en-US"/>
              </w:rPr>
              <w:t>9</w:t>
            </w:r>
          </w:p>
        </w:tc>
      </w:tr>
      <w:tr w:rsidR="00A23619" w:rsidRPr="0067298C" w14:paraId="19E4A63E" w14:textId="77777777" w:rsidTr="00953EC4">
        <w:trPr>
          <w:gridAfter w:val="1"/>
          <w:wAfter w:w="1268" w:type="dxa"/>
          <w:trHeight w:val="855"/>
        </w:trPr>
        <w:tc>
          <w:tcPr>
            <w:tcW w:w="5948" w:type="dxa"/>
            <w:tcBorders>
              <w:top w:val="nil"/>
              <w:left w:val="single" w:sz="8" w:space="0" w:color="auto"/>
              <w:bottom w:val="single" w:sz="8" w:space="0" w:color="auto"/>
              <w:right w:val="single" w:sz="8" w:space="0" w:color="auto"/>
            </w:tcBorders>
            <w:shd w:val="clear" w:color="auto" w:fill="auto"/>
            <w:vAlign w:val="center"/>
            <w:hideMark/>
          </w:tcPr>
          <w:p w14:paraId="6BB2B876" w14:textId="77777777" w:rsidR="00A23619" w:rsidRPr="00DD7DFD" w:rsidRDefault="00A23619" w:rsidP="00A23619">
            <w:pPr>
              <w:rPr>
                <w:color w:val="000000"/>
                <w:sz w:val="18"/>
                <w:szCs w:val="18"/>
              </w:rPr>
            </w:pPr>
            <w:r w:rsidRPr="00DD7DFD">
              <w:rPr>
                <w:color w:val="000000"/>
                <w:sz w:val="18"/>
                <w:szCs w:val="18"/>
              </w:rPr>
              <w:t>2.3 Изготвяне на проекти на позиции/становища във връзка с изпълнение на задълженията и мерките, произтичащи от членството на България в ESRB</w:t>
            </w:r>
          </w:p>
          <w:p w14:paraId="425B6B1F" w14:textId="77777777" w:rsidR="00A23619" w:rsidRPr="00DD7DFD" w:rsidRDefault="00A23619" w:rsidP="00A23619">
            <w:pPr>
              <w:rPr>
                <w:b/>
                <w:bCs/>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8295F99"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6455A87"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50</w:t>
            </w:r>
          </w:p>
        </w:tc>
        <w:tc>
          <w:tcPr>
            <w:tcW w:w="1698" w:type="dxa"/>
            <w:tcBorders>
              <w:top w:val="nil"/>
              <w:left w:val="nil"/>
              <w:bottom w:val="single" w:sz="8" w:space="0" w:color="auto"/>
              <w:right w:val="single" w:sz="8" w:space="0" w:color="auto"/>
            </w:tcBorders>
            <w:shd w:val="clear" w:color="auto" w:fill="auto"/>
            <w:vAlign w:val="center"/>
          </w:tcPr>
          <w:p w14:paraId="5DAEE71A" w14:textId="12338251" w:rsidR="00A23619" w:rsidRPr="00DD7DFD" w:rsidRDefault="00763AA1" w:rsidP="00A23619">
            <w:pPr>
              <w:jc w:val="both"/>
              <w:rPr>
                <w:color w:val="000000"/>
                <w:sz w:val="20"/>
                <w:szCs w:val="20"/>
                <w:lang w:eastAsia="en-US"/>
              </w:rPr>
            </w:pPr>
            <w:r w:rsidRPr="00DD7DFD">
              <w:rPr>
                <w:color w:val="000000"/>
                <w:sz w:val="20"/>
                <w:szCs w:val="20"/>
                <w:lang w:eastAsia="en-US"/>
              </w:rPr>
              <w:t>39</w:t>
            </w:r>
          </w:p>
        </w:tc>
      </w:tr>
      <w:tr w:rsidR="00A23619" w:rsidRPr="0067298C" w14:paraId="2E5BC13D"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hideMark/>
          </w:tcPr>
          <w:p w14:paraId="73CA4B2C" w14:textId="77777777" w:rsidR="00A23619" w:rsidRPr="00DD7DFD" w:rsidRDefault="00A23619" w:rsidP="00A23619">
            <w:pPr>
              <w:rPr>
                <w:color w:val="000000"/>
                <w:sz w:val="18"/>
                <w:szCs w:val="18"/>
              </w:rPr>
            </w:pPr>
            <w:r w:rsidRPr="00DD7DFD">
              <w:rPr>
                <w:color w:val="000000"/>
                <w:sz w:val="18"/>
                <w:szCs w:val="18"/>
              </w:rPr>
              <w:t>2.4. Изготвяне на проекти на позиции/становища и участие в срещи на междуведомствените работни групи във връзка с присъединяването на България към Организацията за икономическо сътрудничество и развитие</w:t>
            </w:r>
          </w:p>
          <w:p w14:paraId="32B2CF18"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10BFAC28"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243C253E"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50</w:t>
            </w:r>
          </w:p>
        </w:tc>
        <w:tc>
          <w:tcPr>
            <w:tcW w:w="1698" w:type="dxa"/>
            <w:tcBorders>
              <w:top w:val="nil"/>
              <w:left w:val="nil"/>
              <w:bottom w:val="single" w:sz="8" w:space="0" w:color="auto"/>
              <w:right w:val="single" w:sz="8" w:space="0" w:color="auto"/>
            </w:tcBorders>
            <w:shd w:val="clear" w:color="auto" w:fill="auto"/>
            <w:vAlign w:val="center"/>
          </w:tcPr>
          <w:p w14:paraId="326D8388" w14:textId="30B087BC" w:rsidR="00A23619" w:rsidRPr="00DD7DFD" w:rsidRDefault="00A978CA" w:rsidP="00A23619">
            <w:pPr>
              <w:jc w:val="both"/>
              <w:rPr>
                <w:color w:val="000000"/>
                <w:sz w:val="20"/>
                <w:szCs w:val="20"/>
                <w:lang w:val="en-US" w:eastAsia="en-US"/>
              </w:rPr>
            </w:pPr>
            <w:r w:rsidRPr="00DD7DFD">
              <w:rPr>
                <w:color w:val="000000"/>
                <w:sz w:val="20"/>
                <w:szCs w:val="20"/>
                <w:lang w:eastAsia="en-US"/>
              </w:rPr>
              <w:t>38</w:t>
            </w:r>
          </w:p>
        </w:tc>
      </w:tr>
      <w:tr w:rsidR="00A23619" w:rsidRPr="0067298C" w14:paraId="18F25D57"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111109EB" w14:textId="77777777" w:rsidR="00A23619" w:rsidRPr="00DD7DFD" w:rsidRDefault="00A23619" w:rsidP="00A23619">
            <w:pPr>
              <w:rPr>
                <w:b/>
                <w:bCs/>
                <w:color w:val="000000"/>
                <w:sz w:val="18"/>
                <w:szCs w:val="18"/>
              </w:rPr>
            </w:pPr>
            <w:r w:rsidRPr="00DD7DFD">
              <w:rPr>
                <w:b/>
                <w:bCs/>
                <w:color w:val="000000"/>
                <w:sz w:val="18"/>
                <w:szCs w:val="18"/>
              </w:rPr>
              <w:t xml:space="preserve">3. Участие в процеса на вземане на решения на ЕС при формирането и изпълнението на политиките в областта на небанковия финансов сектор за налагане на единни правила за всички пазарни участници </w:t>
            </w:r>
          </w:p>
          <w:p w14:paraId="55B63E28"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B7B70CD"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59A3545E"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54</w:t>
            </w:r>
          </w:p>
        </w:tc>
        <w:tc>
          <w:tcPr>
            <w:tcW w:w="1698" w:type="dxa"/>
            <w:tcBorders>
              <w:top w:val="nil"/>
              <w:left w:val="nil"/>
              <w:bottom w:val="single" w:sz="8" w:space="0" w:color="auto"/>
              <w:right w:val="single" w:sz="8" w:space="0" w:color="auto"/>
            </w:tcBorders>
            <w:shd w:val="clear" w:color="auto" w:fill="auto"/>
            <w:vAlign w:val="center"/>
          </w:tcPr>
          <w:p w14:paraId="69E88991" w14:textId="3C2B5D8E" w:rsidR="00A23619" w:rsidRPr="00DD7DFD" w:rsidRDefault="00C43DA7" w:rsidP="00A23619">
            <w:pPr>
              <w:jc w:val="both"/>
              <w:rPr>
                <w:b/>
                <w:color w:val="000000"/>
                <w:sz w:val="20"/>
                <w:szCs w:val="20"/>
                <w:lang w:val="en-US" w:eastAsia="en-US"/>
              </w:rPr>
            </w:pPr>
            <w:r w:rsidRPr="00DD7DFD">
              <w:rPr>
                <w:b/>
                <w:color w:val="000000"/>
                <w:sz w:val="20"/>
                <w:szCs w:val="20"/>
                <w:lang w:val="en-US" w:eastAsia="en-US"/>
              </w:rPr>
              <w:t>71</w:t>
            </w:r>
          </w:p>
        </w:tc>
      </w:tr>
      <w:tr w:rsidR="00A23619" w:rsidRPr="0067298C" w14:paraId="3AEF4E04" w14:textId="77777777" w:rsidTr="00953EC4">
        <w:trPr>
          <w:gridAfter w:val="1"/>
          <w:wAfter w:w="1268" w:type="dxa"/>
          <w:trHeight w:val="645"/>
        </w:trPr>
        <w:tc>
          <w:tcPr>
            <w:tcW w:w="5948" w:type="dxa"/>
            <w:tcBorders>
              <w:top w:val="nil"/>
              <w:left w:val="single" w:sz="8" w:space="0" w:color="auto"/>
              <w:bottom w:val="single" w:sz="8" w:space="0" w:color="auto"/>
              <w:right w:val="single" w:sz="8" w:space="0" w:color="auto"/>
            </w:tcBorders>
            <w:shd w:val="clear" w:color="auto" w:fill="auto"/>
            <w:vAlign w:val="center"/>
          </w:tcPr>
          <w:p w14:paraId="24F38808" w14:textId="77777777" w:rsidR="00A23619" w:rsidRPr="00DD7DFD" w:rsidRDefault="00A23619" w:rsidP="00A23619">
            <w:pPr>
              <w:rPr>
                <w:color w:val="000000"/>
                <w:sz w:val="18"/>
                <w:szCs w:val="18"/>
              </w:rPr>
            </w:pPr>
            <w:r w:rsidRPr="00DD7DFD">
              <w:rPr>
                <w:color w:val="000000"/>
                <w:sz w:val="18"/>
                <w:szCs w:val="18"/>
              </w:rPr>
              <w:t>3.1 Участие във форуми и работни групи  в процеса на вземане на решения на ЕС</w:t>
            </w:r>
          </w:p>
          <w:p w14:paraId="2DB661F1" w14:textId="77777777" w:rsidR="00A23619" w:rsidRPr="00DD7DFD" w:rsidRDefault="00A23619" w:rsidP="00A23619">
            <w:pPr>
              <w:rPr>
                <w:b/>
                <w:bCs/>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8D81585"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24BE6749"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24</w:t>
            </w:r>
          </w:p>
        </w:tc>
        <w:tc>
          <w:tcPr>
            <w:tcW w:w="1698" w:type="dxa"/>
            <w:tcBorders>
              <w:top w:val="nil"/>
              <w:left w:val="nil"/>
              <w:bottom w:val="single" w:sz="8" w:space="0" w:color="auto"/>
              <w:right w:val="single" w:sz="8" w:space="0" w:color="auto"/>
            </w:tcBorders>
            <w:shd w:val="clear" w:color="auto" w:fill="auto"/>
            <w:vAlign w:val="center"/>
          </w:tcPr>
          <w:p w14:paraId="378D1870" w14:textId="6D18902F" w:rsidR="00A23619" w:rsidRPr="00DD7DFD" w:rsidRDefault="005A7C29" w:rsidP="00A23619">
            <w:pPr>
              <w:jc w:val="both"/>
              <w:rPr>
                <w:color w:val="000000"/>
                <w:sz w:val="20"/>
                <w:szCs w:val="20"/>
                <w:lang w:val="en-US" w:eastAsia="en-US"/>
              </w:rPr>
            </w:pPr>
            <w:r w:rsidRPr="00DD7DFD">
              <w:rPr>
                <w:color w:val="000000"/>
                <w:sz w:val="20"/>
                <w:szCs w:val="20"/>
                <w:lang w:val="en-US" w:eastAsia="en-US"/>
              </w:rPr>
              <w:t>8</w:t>
            </w:r>
          </w:p>
        </w:tc>
      </w:tr>
      <w:tr w:rsidR="00A23619" w:rsidRPr="0067298C" w14:paraId="385A35B6"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0990B451" w14:textId="77777777" w:rsidR="00A23619" w:rsidRPr="00DD7DFD" w:rsidRDefault="00A23619" w:rsidP="00A23619">
            <w:pPr>
              <w:rPr>
                <w:color w:val="000000"/>
                <w:sz w:val="18"/>
                <w:szCs w:val="18"/>
              </w:rPr>
            </w:pPr>
            <w:r w:rsidRPr="00DD7DFD">
              <w:rPr>
                <w:color w:val="000000"/>
                <w:sz w:val="18"/>
                <w:szCs w:val="18"/>
              </w:rPr>
              <w:t>3.2. Участие в консултативни комитети или сътрудничество с други международни и европейски органи и институции</w:t>
            </w:r>
          </w:p>
          <w:p w14:paraId="0F623822"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6102660"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49D094A"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30</w:t>
            </w:r>
          </w:p>
        </w:tc>
        <w:tc>
          <w:tcPr>
            <w:tcW w:w="1698" w:type="dxa"/>
            <w:tcBorders>
              <w:top w:val="nil"/>
              <w:left w:val="nil"/>
              <w:bottom w:val="single" w:sz="8" w:space="0" w:color="auto"/>
              <w:right w:val="single" w:sz="8" w:space="0" w:color="auto"/>
            </w:tcBorders>
            <w:shd w:val="clear" w:color="auto" w:fill="auto"/>
            <w:vAlign w:val="center"/>
          </w:tcPr>
          <w:p w14:paraId="477A429C" w14:textId="68A1C69C" w:rsidR="00A23619" w:rsidRPr="00DD7DFD" w:rsidRDefault="00AB1311" w:rsidP="00A23619">
            <w:pPr>
              <w:jc w:val="both"/>
              <w:rPr>
                <w:color w:val="000000"/>
                <w:sz w:val="20"/>
                <w:szCs w:val="20"/>
                <w:lang w:val="en-US" w:eastAsia="en-US"/>
              </w:rPr>
            </w:pPr>
            <w:r w:rsidRPr="00DD7DFD">
              <w:rPr>
                <w:color w:val="000000"/>
                <w:sz w:val="20"/>
                <w:szCs w:val="20"/>
                <w:lang w:val="en-US" w:eastAsia="en-US"/>
              </w:rPr>
              <w:t>63</w:t>
            </w:r>
          </w:p>
        </w:tc>
      </w:tr>
      <w:tr w:rsidR="00A23619" w:rsidRPr="0067298C" w14:paraId="57F3EBC9"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77CB5530" w14:textId="77777777" w:rsidR="00A23619" w:rsidRPr="00DD7DFD" w:rsidRDefault="00A23619" w:rsidP="00A23619">
            <w:pPr>
              <w:rPr>
                <w:b/>
                <w:bCs/>
                <w:color w:val="000000"/>
                <w:sz w:val="18"/>
                <w:szCs w:val="18"/>
              </w:rPr>
            </w:pPr>
            <w:r w:rsidRPr="00DD7DFD">
              <w:rPr>
                <w:b/>
                <w:bCs/>
                <w:color w:val="000000"/>
                <w:sz w:val="18"/>
                <w:szCs w:val="18"/>
              </w:rPr>
              <w:t>4.  Участие в работата на европейските надзорни органи, част от Европейската система за финансов надзор, при изготвянето на нови и актуализирането на действащите надзорни политики на ЕС</w:t>
            </w:r>
          </w:p>
          <w:p w14:paraId="4E901CFB"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09B49D7B"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10A386B"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790</w:t>
            </w:r>
          </w:p>
        </w:tc>
        <w:tc>
          <w:tcPr>
            <w:tcW w:w="1698" w:type="dxa"/>
            <w:tcBorders>
              <w:top w:val="nil"/>
              <w:left w:val="nil"/>
              <w:bottom w:val="single" w:sz="8" w:space="0" w:color="auto"/>
              <w:right w:val="single" w:sz="8" w:space="0" w:color="auto"/>
            </w:tcBorders>
            <w:shd w:val="clear" w:color="auto" w:fill="auto"/>
            <w:vAlign w:val="center"/>
          </w:tcPr>
          <w:p w14:paraId="30235EAD" w14:textId="17351BB8" w:rsidR="00A23619" w:rsidRPr="00DD7DFD" w:rsidRDefault="004936E8" w:rsidP="000401DC">
            <w:pPr>
              <w:jc w:val="both"/>
              <w:rPr>
                <w:b/>
                <w:color w:val="000000"/>
                <w:sz w:val="20"/>
                <w:szCs w:val="20"/>
                <w:lang w:val="en-US" w:eastAsia="en-US"/>
              </w:rPr>
            </w:pPr>
            <w:r w:rsidRPr="00DD7DFD">
              <w:rPr>
                <w:b/>
                <w:color w:val="000000"/>
                <w:sz w:val="20"/>
                <w:szCs w:val="20"/>
                <w:lang w:val="en-US" w:eastAsia="en-US"/>
              </w:rPr>
              <w:t>4</w:t>
            </w:r>
            <w:r w:rsidR="000401DC">
              <w:rPr>
                <w:b/>
                <w:color w:val="000000"/>
                <w:sz w:val="20"/>
                <w:szCs w:val="20"/>
                <w:lang w:val="en-US" w:eastAsia="en-US"/>
              </w:rPr>
              <w:t>4</w:t>
            </w:r>
            <w:r w:rsidRPr="00DD7DFD">
              <w:rPr>
                <w:b/>
                <w:color w:val="000000"/>
                <w:sz w:val="20"/>
                <w:szCs w:val="20"/>
                <w:lang w:val="en-US" w:eastAsia="en-US"/>
              </w:rPr>
              <w:t>3</w:t>
            </w:r>
          </w:p>
        </w:tc>
      </w:tr>
      <w:tr w:rsidR="00A23619" w:rsidRPr="0067298C" w14:paraId="656B2394"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43A96F29" w14:textId="34E9F2D4" w:rsidR="00A23619" w:rsidRPr="00DD7DFD" w:rsidRDefault="00A23619" w:rsidP="00A23619">
            <w:pPr>
              <w:rPr>
                <w:color w:val="000000"/>
                <w:sz w:val="18"/>
                <w:szCs w:val="18"/>
              </w:rPr>
            </w:pPr>
            <w:r w:rsidRPr="00DD7DFD">
              <w:rPr>
                <w:color w:val="000000"/>
                <w:sz w:val="18"/>
                <w:szCs w:val="18"/>
              </w:rPr>
              <w:t>4.1</w:t>
            </w:r>
            <w:r w:rsidR="00DD1C09" w:rsidRPr="00DD7DFD">
              <w:rPr>
                <w:color w:val="000000"/>
                <w:sz w:val="18"/>
                <w:szCs w:val="18"/>
                <w:lang w:val="en-US"/>
              </w:rPr>
              <w:t>.</w:t>
            </w:r>
            <w:r w:rsidRPr="00DD7DFD">
              <w:rPr>
                <w:color w:val="000000"/>
                <w:sz w:val="18"/>
                <w:szCs w:val="18"/>
              </w:rPr>
              <w:t xml:space="preserve"> Участие в заседания на европейските надзорни органи, произтичащи от членството на България в ЕС</w:t>
            </w:r>
          </w:p>
          <w:p w14:paraId="561A5C5F"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C56989B"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312941F5"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200</w:t>
            </w:r>
          </w:p>
        </w:tc>
        <w:tc>
          <w:tcPr>
            <w:tcW w:w="1698" w:type="dxa"/>
            <w:tcBorders>
              <w:top w:val="nil"/>
              <w:left w:val="nil"/>
              <w:bottom w:val="single" w:sz="8" w:space="0" w:color="auto"/>
              <w:right w:val="single" w:sz="8" w:space="0" w:color="auto"/>
            </w:tcBorders>
            <w:shd w:val="clear" w:color="auto" w:fill="auto"/>
            <w:vAlign w:val="center"/>
          </w:tcPr>
          <w:p w14:paraId="16D43111" w14:textId="75D22457" w:rsidR="00A23619" w:rsidRPr="00DD7DFD" w:rsidRDefault="000401DC" w:rsidP="00A23619">
            <w:pPr>
              <w:jc w:val="both"/>
              <w:rPr>
                <w:color w:val="000000"/>
                <w:sz w:val="20"/>
                <w:szCs w:val="20"/>
                <w:lang w:eastAsia="en-US"/>
              </w:rPr>
            </w:pPr>
            <w:r>
              <w:rPr>
                <w:color w:val="000000"/>
                <w:sz w:val="20"/>
                <w:szCs w:val="20"/>
                <w:lang w:val="en-US" w:eastAsia="en-US"/>
              </w:rPr>
              <w:t>136</w:t>
            </w:r>
          </w:p>
        </w:tc>
      </w:tr>
      <w:tr w:rsidR="00A23619" w:rsidRPr="0067298C" w14:paraId="56921C30" w14:textId="77777777" w:rsidTr="00953EC4">
        <w:trPr>
          <w:gridAfter w:val="1"/>
          <w:wAfter w:w="1268" w:type="dxa"/>
          <w:trHeight w:val="515"/>
        </w:trPr>
        <w:tc>
          <w:tcPr>
            <w:tcW w:w="5948" w:type="dxa"/>
            <w:tcBorders>
              <w:top w:val="nil"/>
              <w:left w:val="single" w:sz="8" w:space="0" w:color="auto"/>
              <w:bottom w:val="single" w:sz="8" w:space="0" w:color="auto"/>
              <w:right w:val="single" w:sz="8" w:space="0" w:color="auto"/>
            </w:tcBorders>
            <w:shd w:val="clear" w:color="auto" w:fill="auto"/>
            <w:vAlign w:val="center"/>
          </w:tcPr>
          <w:p w14:paraId="5A40CCC4" w14:textId="77777777" w:rsidR="00A23619" w:rsidRPr="00DD7DFD" w:rsidRDefault="00A23619" w:rsidP="00A23619">
            <w:pPr>
              <w:rPr>
                <w:color w:val="000000"/>
                <w:sz w:val="18"/>
                <w:szCs w:val="18"/>
              </w:rPr>
            </w:pPr>
            <w:r w:rsidRPr="00DD7DFD">
              <w:rPr>
                <w:color w:val="000000"/>
                <w:sz w:val="18"/>
                <w:szCs w:val="18"/>
              </w:rPr>
              <w:t xml:space="preserve">4.2. Изготвяне на позиции /становища/ и във връзка с действащите надзорни политики на ЕС </w:t>
            </w:r>
          </w:p>
          <w:p w14:paraId="02FC598B" w14:textId="77777777" w:rsidR="00A23619" w:rsidRPr="00DD7DFD" w:rsidRDefault="00A23619" w:rsidP="00A23619">
            <w:pPr>
              <w:rPr>
                <w:b/>
                <w:bCs/>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2603D0E9"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B7242F3"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500</w:t>
            </w:r>
          </w:p>
        </w:tc>
        <w:tc>
          <w:tcPr>
            <w:tcW w:w="1698" w:type="dxa"/>
            <w:tcBorders>
              <w:top w:val="nil"/>
              <w:left w:val="nil"/>
              <w:bottom w:val="single" w:sz="8" w:space="0" w:color="auto"/>
              <w:right w:val="single" w:sz="8" w:space="0" w:color="auto"/>
            </w:tcBorders>
            <w:shd w:val="clear" w:color="auto" w:fill="auto"/>
            <w:vAlign w:val="center"/>
          </w:tcPr>
          <w:p w14:paraId="697F5FFB" w14:textId="4266E50C" w:rsidR="00A23619" w:rsidRPr="00DD7DFD" w:rsidRDefault="00204E21" w:rsidP="00A23619">
            <w:pPr>
              <w:jc w:val="both"/>
              <w:rPr>
                <w:color w:val="000000"/>
                <w:sz w:val="20"/>
                <w:szCs w:val="20"/>
                <w:lang w:eastAsia="en-US"/>
              </w:rPr>
            </w:pPr>
            <w:r w:rsidRPr="00DD7DFD">
              <w:rPr>
                <w:color w:val="000000"/>
                <w:sz w:val="20"/>
                <w:szCs w:val="20"/>
                <w:lang w:eastAsia="en-US"/>
              </w:rPr>
              <w:t>244</w:t>
            </w:r>
          </w:p>
        </w:tc>
      </w:tr>
      <w:tr w:rsidR="00A23619" w:rsidRPr="0067298C" w14:paraId="254D9944" w14:textId="77777777" w:rsidTr="00953EC4">
        <w:trPr>
          <w:gridAfter w:val="1"/>
          <w:wAfter w:w="1268" w:type="dxa"/>
          <w:trHeight w:val="690"/>
        </w:trPr>
        <w:tc>
          <w:tcPr>
            <w:tcW w:w="5948" w:type="dxa"/>
            <w:tcBorders>
              <w:top w:val="nil"/>
              <w:left w:val="single" w:sz="8" w:space="0" w:color="auto"/>
              <w:bottom w:val="single" w:sz="8" w:space="0" w:color="auto"/>
              <w:right w:val="single" w:sz="8" w:space="0" w:color="auto"/>
            </w:tcBorders>
            <w:shd w:val="clear" w:color="auto" w:fill="auto"/>
            <w:vAlign w:val="center"/>
          </w:tcPr>
          <w:p w14:paraId="3E504EE1" w14:textId="6845A0CF" w:rsidR="00A23619" w:rsidRPr="00DD7DFD" w:rsidRDefault="00A23619" w:rsidP="00A23619">
            <w:pPr>
              <w:rPr>
                <w:color w:val="000000"/>
                <w:sz w:val="18"/>
                <w:szCs w:val="18"/>
              </w:rPr>
            </w:pPr>
            <w:r w:rsidRPr="00DD7DFD">
              <w:rPr>
                <w:color w:val="000000"/>
                <w:sz w:val="18"/>
                <w:szCs w:val="18"/>
              </w:rPr>
              <w:t>4.3</w:t>
            </w:r>
            <w:r w:rsidR="00DD1C09" w:rsidRPr="00DD7DFD">
              <w:rPr>
                <w:color w:val="000000"/>
                <w:sz w:val="18"/>
                <w:szCs w:val="18"/>
                <w:lang w:val="en-US"/>
              </w:rPr>
              <w:t>.</w:t>
            </w:r>
            <w:r w:rsidRPr="00DD7DFD">
              <w:rPr>
                <w:color w:val="000000"/>
                <w:sz w:val="18"/>
                <w:szCs w:val="18"/>
              </w:rPr>
              <w:t xml:space="preserve"> Изготвяне на отговори на искания за информация/въпросници/ анализи/предоставяне на статистически данни </w:t>
            </w:r>
          </w:p>
          <w:p w14:paraId="29EEE7BB"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D3CAA2E"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2B5977DC"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90</w:t>
            </w:r>
          </w:p>
        </w:tc>
        <w:tc>
          <w:tcPr>
            <w:tcW w:w="1698" w:type="dxa"/>
            <w:tcBorders>
              <w:top w:val="nil"/>
              <w:left w:val="nil"/>
              <w:bottom w:val="single" w:sz="8" w:space="0" w:color="auto"/>
              <w:right w:val="single" w:sz="8" w:space="0" w:color="auto"/>
            </w:tcBorders>
            <w:shd w:val="clear" w:color="auto" w:fill="auto"/>
            <w:vAlign w:val="center"/>
          </w:tcPr>
          <w:p w14:paraId="225801E6" w14:textId="114240C3" w:rsidR="00A23619" w:rsidRPr="00DD7DFD" w:rsidRDefault="00AC6923" w:rsidP="00A23619">
            <w:pPr>
              <w:jc w:val="both"/>
              <w:rPr>
                <w:color w:val="000000"/>
                <w:sz w:val="20"/>
                <w:szCs w:val="20"/>
                <w:lang w:eastAsia="en-US"/>
              </w:rPr>
            </w:pPr>
            <w:r w:rsidRPr="00DD7DFD">
              <w:rPr>
                <w:color w:val="000000"/>
                <w:sz w:val="20"/>
                <w:szCs w:val="20"/>
                <w:lang w:eastAsia="en-US"/>
              </w:rPr>
              <w:t>63</w:t>
            </w:r>
          </w:p>
        </w:tc>
      </w:tr>
      <w:tr w:rsidR="00A23619" w:rsidRPr="0067298C" w14:paraId="6FB8748D"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2CFD8ED6" w14:textId="77777777" w:rsidR="00A23619" w:rsidRPr="000B62A1" w:rsidRDefault="00A23619" w:rsidP="00A23619">
            <w:pPr>
              <w:rPr>
                <w:b/>
                <w:bCs/>
                <w:color w:val="000000"/>
                <w:sz w:val="18"/>
                <w:szCs w:val="18"/>
              </w:rPr>
            </w:pPr>
            <w:r w:rsidRPr="000B62A1">
              <w:rPr>
                <w:b/>
                <w:bCs/>
                <w:color w:val="000000"/>
                <w:sz w:val="18"/>
                <w:szCs w:val="18"/>
              </w:rPr>
              <w:lastRenderedPageBreak/>
              <w:t>5. Участие в колегиуми за групов надзор в областта на застраховането</w:t>
            </w:r>
          </w:p>
          <w:p w14:paraId="165D6603" w14:textId="77777777" w:rsidR="00A23619" w:rsidRPr="000B62A1"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181F3265" w14:textId="77777777" w:rsidR="00A23619" w:rsidRPr="000B62A1" w:rsidRDefault="00A23619" w:rsidP="00A23619">
            <w:pPr>
              <w:jc w:val="center"/>
              <w:rPr>
                <w:color w:val="000000"/>
                <w:sz w:val="20"/>
                <w:szCs w:val="20"/>
                <w:lang w:eastAsia="en-US"/>
              </w:rPr>
            </w:pPr>
            <w:r w:rsidRPr="000B62A1">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FDD1418" w14:textId="77777777" w:rsidR="00A23619" w:rsidRPr="000B62A1" w:rsidRDefault="00B563DF" w:rsidP="00A23619">
            <w:pPr>
              <w:jc w:val="center"/>
              <w:rPr>
                <w:b/>
                <w:color w:val="000000"/>
                <w:sz w:val="20"/>
                <w:szCs w:val="20"/>
                <w:lang w:val="en-US" w:eastAsia="en-US"/>
              </w:rPr>
            </w:pPr>
            <w:r w:rsidRPr="000B62A1">
              <w:rPr>
                <w:b/>
                <w:color w:val="000000"/>
                <w:sz w:val="20"/>
                <w:szCs w:val="20"/>
                <w:lang w:val="en-US" w:eastAsia="en-US"/>
              </w:rPr>
              <w:t>40</w:t>
            </w:r>
          </w:p>
        </w:tc>
        <w:tc>
          <w:tcPr>
            <w:tcW w:w="1698" w:type="dxa"/>
            <w:tcBorders>
              <w:top w:val="nil"/>
              <w:left w:val="nil"/>
              <w:bottom w:val="single" w:sz="8" w:space="0" w:color="auto"/>
              <w:right w:val="single" w:sz="8" w:space="0" w:color="auto"/>
            </w:tcBorders>
            <w:shd w:val="clear" w:color="auto" w:fill="auto"/>
            <w:vAlign w:val="center"/>
          </w:tcPr>
          <w:p w14:paraId="5F58E0E4" w14:textId="1096B9B4" w:rsidR="00A23619" w:rsidRPr="000B62A1" w:rsidRDefault="00ED324B" w:rsidP="00A23619">
            <w:pPr>
              <w:jc w:val="both"/>
              <w:rPr>
                <w:b/>
                <w:sz w:val="20"/>
                <w:szCs w:val="20"/>
                <w:lang w:eastAsia="en-US"/>
              </w:rPr>
            </w:pPr>
            <w:r w:rsidRPr="000B62A1">
              <w:rPr>
                <w:b/>
                <w:sz w:val="20"/>
                <w:szCs w:val="20"/>
                <w:lang w:eastAsia="en-US"/>
              </w:rPr>
              <w:t>3</w:t>
            </w:r>
          </w:p>
        </w:tc>
      </w:tr>
      <w:tr w:rsidR="00A23619" w:rsidRPr="0067298C" w14:paraId="4E747035" w14:textId="77777777" w:rsidTr="00953EC4">
        <w:trPr>
          <w:gridAfter w:val="1"/>
          <w:wAfter w:w="1268" w:type="dxa"/>
          <w:trHeight w:val="690"/>
        </w:trPr>
        <w:tc>
          <w:tcPr>
            <w:tcW w:w="5948" w:type="dxa"/>
            <w:tcBorders>
              <w:top w:val="nil"/>
              <w:left w:val="single" w:sz="8" w:space="0" w:color="auto"/>
              <w:bottom w:val="single" w:sz="8" w:space="0" w:color="auto"/>
              <w:right w:val="single" w:sz="8" w:space="0" w:color="auto"/>
            </w:tcBorders>
            <w:shd w:val="clear" w:color="auto" w:fill="auto"/>
            <w:vAlign w:val="center"/>
          </w:tcPr>
          <w:p w14:paraId="125C2A61" w14:textId="77777777" w:rsidR="00A23619" w:rsidRPr="000B62A1" w:rsidRDefault="00A23619" w:rsidP="00A23619">
            <w:pPr>
              <w:rPr>
                <w:b/>
                <w:bCs/>
                <w:color w:val="000000"/>
                <w:sz w:val="18"/>
                <w:szCs w:val="18"/>
              </w:rPr>
            </w:pPr>
            <w:r w:rsidRPr="000B62A1">
              <w:rPr>
                <w:b/>
                <w:bCs/>
                <w:color w:val="000000"/>
                <w:sz w:val="18"/>
                <w:szCs w:val="18"/>
              </w:rPr>
              <w:t>6. Разглеждане на заявления и изготвяне на проекти на индивидуални административни актове в производствата по издаване на лицензии, разрешения, одобрения, признаване на правоспособност, утвърждаване на образци на документи и др.</w:t>
            </w:r>
          </w:p>
          <w:p w14:paraId="74D2871A" w14:textId="77777777" w:rsidR="00A23619" w:rsidRPr="000B62A1"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B95F5AB" w14:textId="77777777" w:rsidR="00A23619" w:rsidRPr="000B62A1" w:rsidRDefault="00A23619" w:rsidP="00A23619">
            <w:pPr>
              <w:jc w:val="center"/>
              <w:rPr>
                <w:color w:val="000000"/>
                <w:sz w:val="20"/>
                <w:szCs w:val="20"/>
                <w:lang w:eastAsia="en-US"/>
              </w:rPr>
            </w:pPr>
            <w:r w:rsidRPr="000B62A1">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52FE7976" w14:textId="77777777" w:rsidR="00A23619" w:rsidRPr="000B62A1" w:rsidRDefault="00B563DF" w:rsidP="00A23619">
            <w:pPr>
              <w:jc w:val="center"/>
              <w:rPr>
                <w:b/>
                <w:color w:val="000000"/>
                <w:sz w:val="20"/>
                <w:szCs w:val="20"/>
                <w:lang w:val="en-US" w:eastAsia="en-US"/>
              </w:rPr>
            </w:pPr>
            <w:r w:rsidRPr="000B62A1">
              <w:rPr>
                <w:b/>
                <w:color w:val="000000"/>
                <w:sz w:val="20"/>
                <w:szCs w:val="20"/>
                <w:lang w:val="en-US" w:eastAsia="en-US"/>
              </w:rPr>
              <w:t>451</w:t>
            </w:r>
          </w:p>
        </w:tc>
        <w:tc>
          <w:tcPr>
            <w:tcW w:w="1698" w:type="dxa"/>
            <w:tcBorders>
              <w:top w:val="nil"/>
              <w:left w:val="nil"/>
              <w:bottom w:val="single" w:sz="8" w:space="0" w:color="auto"/>
              <w:right w:val="single" w:sz="8" w:space="0" w:color="auto"/>
            </w:tcBorders>
            <w:shd w:val="clear" w:color="auto" w:fill="auto"/>
            <w:vAlign w:val="center"/>
          </w:tcPr>
          <w:p w14:paraId="078683A1" w14:textId="304414CD" w:rsidR="00A23619" w:rsidRPr="000B62A1" w:rsidRDefault="0014584B" w:rsidP="00A23619">
            <w:pPr>
              <w:jc w:val="both"/>
              <w:rPr>
                <w:b/>
                <w:color w:val="000000"/>
                <w:sz w:val="20"/>
                <w:szCs w:val="20"/>
                <w:lang w:eastAsia="en-US"/>
              </w:rPr>
            </w:pPr>
            <w:r w:rsidRPr="000B62A1">
              <w:rPr>
                <w:b/>
                <w:color w:val="000000"/>
                <w:sz w:val="20"/>
                <w:szCs w:val="20"/>
                <w:lang w:eastAsia="en-US"/>
              </w:rPr>
              <w:t>626</w:t>
            </w:r>
          </w:p>
        </w:tc>
      </w:tr>
      <w:tr w:rsidR="00A23619" w:rsidRPr="0067298C" w14:paraId="7A1C950C"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64018E59" w14:textId="77777777" w:rsidR="00A23619" w:rsidRPr="000B62A1" w:rsidRDefault="00A23619" w:rsidP="00A23619">
            <w:pPr>
              <w:rPr>
                <w:color w:val="000000"/>
                <w:sz w:val="18"/>
                <w:szCs w:val="18"/>
              </w:rPr>
            </w:pPr>
            <w:r w:rsidRPr="000B62A1">
              <w:rPr>
                <w:color w:val="000000"/>
                <w:sz w:val="18"/>
                <w:szCs w:val="18"/>
              </w:rPr>
              <w:t>6.1. Разглеждане на заявления и изготвяне на проекти на индивидуални административни актове във връзка с производствата по издаване на лицензии, разрешения или одобрения</w:t>
            </w:r>
          </w:p>
          <w:p w14:paraId="2ABED828" w14:textId="77777777" w:rsidR="00A23619" w:rsidRPr="000B62A1"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7677389D" w14:textId="77777777" w:rsidR="00A23619" w:rsidRPr="000B62A1" w:rsidRDefault="00A23619" w:rsidP="00A23619">
            <w:pPr>
              <w:jc w:val="center"/>
              <w:rPr>
                <w:color w:val="000000"/>
                <w:sz w:val="20"/>
                <w:szCs w:val="20"/>
                <w:lang w:eastAsia="en-US"/>
              </w:rPr>
            </w:pPr>
            <w:r w:rsidRPr="000B62A1">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56C3E72E" w14:textId="77777777" w:rsidR="00A23619" w:rsidRPr="000B62A1" w:rsidRDefault="00B563DF" w:rsidP="00A23619">
            <w:pPr>
              <w:jc w:val="center"/>
              <w:rPr>
                <w:color w:val="000000"/>
                <w:sz w:val="20"/>
                <w:szCs w:val="20"/>
                <w:lang w:val="en-US" w:eastAsia="en-US"/>
              </w:rPr>
            </w:pPr>
            <w:r w:rsidRPr="000B62A1">
              <w:rPr>
                <w:color w:val="000000"/>
                <w:sz w:val="20"/>
                <w:szCs w:val="20"/>
                <w:lang w:val="en-US" w:eastAsia="en-US"/>
              </w:rPr>
              <w:t>317</w:t>
            </w:r>
          </w:p>
        </w:tc>
        <w:tc>
          <w:tcPr>
            <w:tcW w:w="1698" w:type="dxa"/>
            <w:tcBorders>
              <w:top w:val="nil"/>
              <w:left w:val="nil"/>
              <w:bottom w:val="single" w:sz="8" w:space="0" w:color="auto"/>
              <w:right w:val="single" w:sz="8" w:space="0" w:color="auto"/>
            </w:tcBorders>
            <w:shd w:val="clear" w:color="auto" w:fill="auto"/>
            <w:vAlign w:val="center"/>
          </w:tcPr>
          <w:p w14:paraId="3488AB33" w14:textId="6E808315" w:rsidR="00A23619" w:rsidRPr="000B62A1" w:rsidRDefault="0023318D" w:rsidP="00A23619">
            <w:pPr>
              <w:jc w:val="both"/>
              <w:rPr>
                <w:color w:val="000000"/>
                <w:sz w:val="20"/>
                <w:szCs w:val="20"/>
                <w:lang w:eastAsia="en-US"/>
              </w:rPr>
            </w:pPr>
            <w:r w:rsidRPr="000B62A1">
              <w:rPr>
                <w:color w:val="000000"/>
                <w:sz w:val="20"/>
                <w:szCs w:val="20"/>
                <w:lang w:eastAsia="en-US"/>
              </w:rPr>
              <w:t>361</w:t>
            </w:r>
          </w:p>
        </w:tc>
      </w:tr>
      <w:tr w:rsidR="00A23619" w:rsidRPr="0067298C" w14:paraId="2AF24CA7"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358EDF2D" w14:textId="1A8A63CE" w:rsidR="00A23619" w:rsidRPr="000B62A1" w:rsidRDefault="00A23619" w:rsidP="00A23619">
            <w:pPr>
              <w:rPr>
                <w:color w:val="000000"/>
                <w:sz w:val="18"/>
                <w:szCs w:val="18"/>
              </w:rPr>
            </w:pPr>
            <w:r w:rsidRPr="000B62A1">
              <w:rPr>
                <w:color w:val="000000"/>
                <w:sz w:val="18"/>
                <w:szCs w:val="18"/>
              </w:rPr>
              <w:t>6.2</w:t>
            </w:r>
            <w:r w:rsidR="00DD1C09" w:rsidRPr="000B62A1">
              <w:rPr>
                <w:color w:val="000000"/>
                <w:sz w:val="18"/>
                <w:szCs w:val="18"/>
                <w:lang w:val="en-US"/>
              </w:rPr>
              <w:t>.</w:t>
            </w:r>
            <w:r w:rsidRPr="000B62A1">
              <w:rPr>
                <w:color w:val="000000"/>
                <w:sz w:val="18"/>
                <w:szCs w:val="18"/>
              </w:rPr>
              <w:t xml:space="preserve">  Разглеждане на заявления и изготвяне на проекти на индивидуални административни актове спрямо поднадзорни лица, подлежащи на регистрационен режим</w:t>
            </w:r>
          </w:p>
          <w:p w14:paraId="451497E4" w14:textId="77777777" w:rsidR="00A23619" w:rsidRPr="000B62A1"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213D7CD" w14:textId="77777777" w:rsidR="00A23619" w:rsidRPr="000B62A1" w:rsidRDefault="00A23619" w:rsidP="00A23619">
            <w:pPr>
              <w:jc w:val="center"/>
              <w:rPr>
                <w:color w:val="000000"/>
                <w:sz w:val="20"/>
                <w:szCs w:val="20"/>
                <w:lang w:eastAsia="en-US"/>
              </w:rPr>
            </w:pPr>
            <w:r w:rsidRPr="000B62A1">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0E4AA260" w14:textId="77777777" w:rsidR="00A23619" w:rsidRPr="000B62A1" w:rsidRDefault="00B563DF" w:rsidP="00A23619">
            <w:pPr>
              <w:jc w:val="center"/>
              <w:rPr>
                <w:color w:val="000000"/>
                <w:sz w:val="20"/>
                <w:szCs w:val="20"/>
                <w:lang w:val="en-US" w:eastAsia="en-US"/>
              </w:rPr>
            </w:pPr>
            <w:r w:rsidRPr="000B62A1">
              <w:rPr>
                <w:color w:val="000000"/>
                <w:sz w:val="20"/>
                <w:szCs w:val="20"/>
                <w:lang w:val="en-US" w:eastAsia="en-US"/>
              </w:rPr>
              <w:t>8</w:t>
            </w:r>
          </w:p>
        </w:tc>
        <w:tc>
          <w:tcPr>
            <w:tcW w:w="1698" w:type="dxa"/>
            <w:tcBorders>
              <w:top w:val="nil"/>
              <w:left w:val="nil"/>
              <w:bottom w:val="single" w:sz="8" w:space="0" w:color="auto"/>
              <w:right w:val="single" w:sz="8" w:space="0" w:color="auto"/>
            </w:tcBorders>
            <w:shd w:val="clear" w:color="auto" w:fill="auto"/>
            <w:vAlign w:val="center"/>
          </w:tcPr>
          <w:p w14:paraId="6043FA9D" w14:textId="035DCEA4" w:rsidR="00A23619" w:rsidRPr="000B62A1" w:rsidRDefault="00057CB4" w:rsidP="00A23619">
            <w:pPr>
              <w:jc w:val="both"/>
              <w:rPr>
                <w:color w:val="000000"/>
                <w:sz w:val="20"/>
                <w:szCs w:val="20"/>
                <w:lang w:eastAsia="en-US"/>
              </w:rPr>
            </w:pPr>
            <w:r w:rsidRPr="000B62A1">
              <w:rPr>
                <w:color w:val="000000"/>
                <w:sz w:val="20"/>
                <w:szCs w:val="20"/>
                <w:lang w:eastAsia="en-US"/>
              </w:rPr>
              <w:t>16</w:t>
            </w:r>
          </w:p>
        </w:tc>
      </w:tr>
      <w:tr w:rsidR="00A23619" w:rsidRPr="0067298C" w14:paraId="79123540"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2C73608F" w14:textId="5FBB3D8E" w:rsidR="00A23619" w:rsidRPr="000B62A1" w:rsidRDefault="00A23619" w:rsidP="00A23619">
            <w:pPr>
              <w:rPr>
                <w:color w:val="000000"/>
                <w:sz w:val="18"/>
                <w:szCs w:val="18"/>
              </w:rPr>
            </w:pPr>
            <w:r w:rsidRPr="000B62A1">
              <w:rPr>
                <w:color w:val="000000"/>
                <w:sz w:val="18"/>
                <w:szCs w:val="18"/>
              </w:rPr>
              <w:t>6.3</w:t>
            </w:r>
            <w:r w:rsidR="00DD1C09" w:rsidRPr="000B62A1">
              <w:rPr>
                <w:color w:val="000000"/>
                <w:sz w:val="18"/>
                <w:szCs w:val="18"/>
                <w:lang w:val="en-US"/>
              </w:rPr>
              <w:t>.</w:t>
            </w:r>
            <w:r w:rsidRPr="000B62A1">
              <w:rPr>
                <w:color w:val="000000"/>
                <w:sz w:val="18"/>
                <w:szCs w:val="18"/>
              </w:rPr>
              <w:t xml:space="preserve"> Разглеждане на уведомления (нотификации) във връзка с трансгранично извършване на дейност по линията на единен европейски паспорт</w:t>
            </w:r>
          </w:p>
          <w:p w14:paraId="614C2923" w14:textId="77777777" w:rsidR="00A23619" w:rsidRPr="000B62A1"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1D2FFBA" w14:textId="77777777" w:rsidR="00A23619" w:rsidRPr="000B62A1" w:rsidRDefault="00A23619" w:rsidP="00A23619">
            <w:pPr>
              <w:jc w:val="center"/>
              <w:rPr>
                <w:color w:val="000000"/>
                <w:sz w:val="20"/>
                <w:szCs w:val="20"/>
                <w:lang w:eastAsia="en-US"/>
              </w:rPr>
            </w:pPr>
            <w:r w:rsidRPr="000B62A1">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56A95E82" w14:textId="77777777" w:rsidR="00A23619" w:rsidRPr="000B62A1" w:rsidRDefault="00B563DF" w:rsidP="00A23619">
            <w:pPr>
              <w:jc w:val="center"/>
              <w:rPr>
                <w:color w:val="000000"/>
                <w:sz w:val="20"/>
                <w:szCs w:val="20"/>
                <w:lang w:val="en-US" w:eastAsia="en-US"/>
              </w:rPr>
            </w:pPr>
            <w:r w:rsidRPr="000B62A1">
              <w:rPr>
                <w:color w:val="000000"/>
                <w:sz w:val="20"/>
                <w:szCs w:val="20"/>
                <w:lang w:val="en-US" w:eastAsia="en-US"/>
              </w:rPr>
              <w:t>113</w:t>
            </w:r>
          </w:p>
        </w:tc>
        <w:tc>
          <w:tcPr>
            <w:tcW w:w="1698" w:type="dxa"/>
            <w:tcBorders>
              <w:top w:val="nil"/>
              <w:left w:val="nil"/>
              <w:bottom w:val="single" w:sz="8" w:space="0" w:color="auto"/>
              <w:right w:val="single" w:sz="8" w:space="0" w:color="auto"/>
            </w:tcBorders>
            <w:shd w:val="clear" w:color="auto" w:fill="auto"/>
            <w:vAlign w:val="center"/>
          </w:tcPr>
          <w:p w14:paraId="3A9B7632" w14:textId="543E4DB5" w:rsidR="00A23619" w:rsidRPr="000B62A1" w:rsidRDefault="00D30E16" w:rsidP="00A23619">
            <w:pPr>
              <w:jc w:val="both"/>
              <w:rPr>
                <w:color w:val="000000"/>
                <w:sz w:val="20"/>
                <w:szCs w:val="20"/>
                <w:lang w:eastAsia="en-US"/>
              </w:rPr>
            </w:pPr>
            <w:r w:rsidRPr="000B62A1">
              <w:rPr>
                <w:color w:val="000000"/>
                <w:sz w:val="20"/>
                <w:szCs w:val="20"/>
                <w:lang w:eastAsia="en-US"/>
              </w:rPr>
              <w:t>300</w:t>
            </w:r>
          </w:p>
        </w:tc>
      </w:tr>
      <w:tr w:rsidR="00A23619" w:rsidRPr="0067298C" w14:paraId="56309CCC"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4A91D754" w14:textId="77777777" w:rsidR="00A23619" w:rsidRPr="003A754E" w:rsidRDefault="00A23619" w:rsidP="00A23619">
            <w:pPr>
              <w:rPr>
                <w:color w:val="000000"/>
                <w:sz w:val="18"/>
                <w:szCs w:val="18"/>
              </w:rPr>
            </w:pPr>
            <w:r w:rsidRPr="003A754E">
              <w:rPr>
                <w:color w:val="000000"/>
                <w:sz w:val="18"/>
                <w:szCs w:val="18"/>
              </w:rPr>
              <w:t xml:space="preserve">6.3.1. Разглеждане на уведомления от поднадзорни на КФН лица за извършване на трансгранична дейност в други държави членки на ЕС или на ЕИП;        </w:t>
            </w:r>
          </w:p>
          <w:p w14:paraId="57FE8DC0" w14:textId="77777777" w:rsidR="00A23619" w:rsidRPr="003A754E"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5B90EF97" w14:textId="77777777" w:rsidR="00A23619" w:rsidRPr="003A754E" w:rsidRDefault="00A23619" w:rsidP="00A23619">
            <w:pPr>
              <w:jc w:val="center"/>
              <w:rPr>
                <w:color w:val="000000"/>
                <w:sz w:val="20"/>
                <w:szCs w:val="20"/>
                <w:lang w:eastAsia="en-US"/>
              </w:rPr>
            </w:pPr>
            <w:r w:rsidRPr="003A754E">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624462D3" w14:textId="77777777" w:rsidR="00A23619" w:rsidRPr="003A754E" w:rsidRDefault="00B563DF" w:rsidP="00A23619">
            <w:pPr>
              <w:jc w:val="center"/>
              <w:rPr>
                <w:color w:val="000000"/>
                <w:sz w:val="20"/>
                <w:szCs w:val="20"/>
                <w:lang w:val="en-US" w:eastAsia="en-US"/>
              </w:rPr>
            </w:pPr>
            <w:r w:rsidRPr="003A754E">
              <w:rPr>
                <w:color w:val="000000"/>
                <w:sz w:val="20"/>
                <w:szCs w:val="20"/>
                <w:lang w:val="en-US" w:eastAsia="en-US"/>
              </w:rPr>
              <w:t>4</w:t>
            </w:r>
          </w:p>
        </w:tc>
        <w:tc>
          <w:tcPr>
            <w:tcW w:w="1698" w:type="dxa"/>
            <w:tcBorders>
              <w:top w:val="nil"/>
              <w:left w:val="nil"/>
              <w:bottom w:val="single" w:sz="8" w:space="0" w:color="auto"/>
              <w:right w:val="single" w:sz="8" w:space="0" w:color="auto"/>
            </w:tcBorders>
            <w:shd w:val="clear" w:color="auto" w:fill="auto"/>
            <w:vAlign w:val="center"/>
          </w:tcPr>
          <w:p w14:paraId="749012DD" w14:textId="5C77F2C0" w:rsidR="00A23619" w:rsidRPr="003A754E" w:rsidRDefault="007336C6" w:rsidP="00A23619">
            <w:pPr>
              <w:jc w:val="both"/>
              <w:rPr>
                <w:color w:val="000000"/>
                <w:sz w:val="20"/>
                <w:szCs w:val="20"/>
                <w:lang w:eastAsia="en-US"/>
              </w:rPr>
            </w:pPr>
            <w:r w:rsidRPr="003A754E">
              <w:rPr>
                <w:color w:val="000000"/>
                <w:sz w:val="20"/>
                <w:szCs w:val="20"/>
                <w:lang w:eastAsia="en-US"/>
              </w:rPr>
              <w:t>37</w:t>
            </w:r>
          </w:p>
        </w:tc>
      </w:tr>
      <w:tr w:rsidR="00A23619" w:rsidRPr="0067298C" w14:paraId="0C2B3744"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21FC2955" w14:textId="77777777" w:rsidR="00A23619" w:rsidRPr="003A754E" w:rsidRDefault="00A23619" w:rsidP="00A23619">
            <w:pPr>
              <w:rPr>
                <w:color w:val="000000"/>
                <w:sz w:val="18"/>
                <w:szCs w:val="18"/>
              </w:rPr>
            </w:pPr>
            <w:r w:rsidRPr="003A754E">
              <w:rPr>
                <w:color w:val="000000"/>
                <w:sz w:val="18"/>
                <w:szCs w:val="18"/>
              </w:rPr>
              <w:t>6.3.2. Разглеждане на уведомления от надзорни органи на други държави членки на ЕС или ЕИП относно намерението на техни поднадзорни лица да извършват трансгранична дейност на територията на България</w:t>
            </w:r>
          </w:p>
          <w:p w14:paraId="61CA78F2" w14:textId="77777777" w:rsidR="00A23619" w:rsidRPr="003A754E"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2F8EB84D" w14:textId="77777777" w:rsidR="00A23619" w:rsidRPr="003A754E" w:rsidRDefault="00A23619" w:rsidP="00A23619">
            <w:pPr>
              <w:jc w:val="center"/>
              <w:rPr>
                <w:color w:val="000000"/>
                <w:sz w:val="20"/>
                <w:szCs w:val="20"/>
                <w:lang w:eastAsia="en-US"/>
              </w:rPr>
            </w:pPr>
            <w:r w:rsidRPr="003A754E">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11413A64" w14:textId="77777777" w:rsidR="00A23619" w:rsidRPr="003A754E" w:rsidRDefault="00B563DF" w:rsidP="00A23619">
            <w:pPr>
              <w:jc w:val="center"/>
              <w:rPr>
                <w:color w:val="000000"/>
                <w:sz w:val="20"/>
                <w:szCs w:val="20"/>
                <w:lang w:val="en-US" w:eastAsia="en-US"/>
              </w:rPr>
            </w:pPr>
            <w:r w:rsidRPr="003A754E">
              <w:rPr>
                <w:color w:val="000000"/>
                <w:sz w:val="20"/>
                <w:szCs w:val="20"/>
                <w:lang w:val="en-US" w:eastAsia="en-US"/>
              </w:rPr>
              <w:t>109</w:t>
            </w:r>
          </w:p>
        </w:tc>
        <w:tc>
          <w:tcPr>
            <w:tcW w:w="1698" w:type="dxa"/>
            <w:tcBorders>
              <w:top w:val="nil"/>
              <w:left w:val="nil"/>
              <w:bottom w:val="single" w:sz="8" w:space="0" w:color="auto"/>
              <w:right w:val="single" w:sz="8" w:space="0" w:color="auto"/>
            </w:tcBorders>
            <w:shd w:val="clear" w:color="auto" w:fill="auto"/>
            <w:vAlign w:val="center"/>
          </w:tcPr>
          <w:p w14:paraId="0E69CEB2" w14:textId="70C20818" w:rsidR="00A23619" w:rsidRPr="003A754E" w:rsidRDefault="00E60E08" w:rsidP="00A23619">
            <w:pPr>
              <w:jc w:val="both"/>
              <w:rPr>
                <w:color w:val="000000"/>
                <w:sz w:val="20"/>
                <w:szCs w:val="20"/>
                <w:lang w:eastAsia="en-US"/>
              </w:rPr>
            </w:pPr>
            <w:r w:rsidRPr="003A754E">
              <w:rPr>
                <w:color w:val="000000"/>
                <w:sz w:val="20"/>
                <w:szCs w:val="20"/>
                <w:lang w:eastAsia="en-US"/>
              </w:rPr>
              <w:t>421</w:t>
            </w:r>
          </w:p>
        </w:tc>
      </w:tr>
      <w:tr w:rsidR="00A23619" w:rsidRPr="0067298C" w14:paraId="7EF3D413"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70F3F2CF" w14:textId="5E290A69" w:rsidR="00A23619" w:rsidRPr="003A754E" w:rsidRDefault="00A23619" w:rsidP="00A23619">
            <w:pPr>
              <w:rPr>
                <w:color w:val="000000"/>
                <w:sz w:val="18"/>
                <w:szCs w:val="18"/>
              </w:rPr>
            </w:pPr>
            <w:r w:rsidRPr="003A754E">
              <w:rPr>
                <w:color w:val="000000"/>
                <w:sz w:val="18"/>
                <w:szCs w:val="18"/>
              </w:rPr>
              <w:t>6.4</w:t>
            </w:r>
            <w:r w:rsidR="00DD1C09" w:rsidRPr="003A754E">
              <w:rPr>
                <w:color w:val="000000"/>
                <w:sz w:val="18"/>
                <w:szCs w:val="18"/>
                <w:lang w:val="en-US"/>
              </w:rPr>
              <w:t>.</w:t>
            </w:r>
            <w:r w:rsidRPr="003A754E">
              <w:rPr>
                <w:color w:val="000000"/>
                <w:sz w:val="18"/>
                <w:szCs w:val="18"/>
              </w:rPr>
              <w:t xml:space="preserve">  Разглеждане на документи, които не подлежат на одобрителен режим, но се проверяват от гледна точка на тяхното съответствие/привеждане в съответствие с регулаторните изисквания                                       </w:t>
            </w:r>
          </w:p>
          <w:p w14:paraId="59B6D780" w14:textId="77777777" w:rsidR="00A23619" w:rsidRPr="003A754E" w:rsidRDefault="00A23619" w:rsidP="00A23619">
            <w:pPr>
              <w:rPr>
                <w:b/>
                <w:bCs/>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56761D58" w14:textId="77777777" w:rsidR="00A23619" w:rsidRPr="003A754E" w:rsidRDefault="00A23619" w:rsidP="00A23619">
            <w:pPr>
              <w:jc w:val="center"/>
              <w:rPr>
                <w:color w:val="000000"/>
                <w:sz w:val="20"/>
                <w:szCs w:val="20"/>
                <w:lang w:eastAsia="en-US"/>
              </w:rPr>
            </w:pPr>
            <w:r w:rsidRPr="003A754E">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0C509CA0" w14:textId="77777777" w:rsidR="00A23619" w:rsidRPr="003A754E" w:rsidRDefault="00B563DF" w:rsidP="00A23619">
            <w:pPr>
              <w:jc w:val="center"/>
              <w:rPr>
                <w:color w:val="000000"/>
                <w:sz w:val="20"/>
                <w:szCs w:val="20"/>
                <w:lang w:val="en-US" w:eastAsia="en-US"/>
              </w:rPr>
            </w:pPr>
            <w:r w:rsidRPr="003A754E">
              <w:rPr>
                <w:color w:val="000000"/>
                <w:sz w:val="20"/>
                <w:szCs w:val="20"/>
                <w:lang w:val="en-US" w:eastAsia="en-US"/>
              </w:rPr>
              <w:t>3</w:t>
            </w:r>
          </w:p>
        </w:tc>
        <w:tc>
          <w:tcPr>
            <w:tcW w:w="1698" w:type="dxa"/>
            <w:tcBorders>
              <w:top w:val="nil"/>
              <w:left w:val="nil"/>
              <w:bottom w:val="single" w:sz="8" w:space="0" w:color="auto"/>
              <w:right w:val="single" w:sz="8" w:space="0" w:color="auto"/>
            </w:tcBorders>
            <w:shd w:val="clear" w:color="auto" w:fill="auto"/>
            <w:vAlign w:val="center"/>
          </w:tcPr>
          <w:p w14:paraId="0B956FEF" w14:textId="7E4D85AF" w:rsidR="00A23619" w:rsidRPr="003A754E" w:rsidRDefault="00E67799" w:rsidP="00A23619">
            <w:pPr>
              <w:jc w:val="both"/>
              <w:rPr>
                <w:color w:val="000000"/>
                <w:sz w:val="20"/>
                <w:szCs w:val="20"/>
                <w:lang w:eastAsia="en-US"/>
              </w:rPr>
            </w:pPr>
            <w:r w:rsidRPr="003A754E">
              <w:rPr>
                <w:color w:val="000000"/>
                <w:sz w:val="20"/>
                <w:szCs w:val="20"/>
                <w:lang w:eastAsia="en-US"/>
              </w:rPr>
              <w:t>66</w:t>
            </w:r>
          </w:p>
        </w:tc>
      </w:tr>
      <w:tr w:rsidR="00A23619" w:rsidRPr="00BF09A8" w14:paraId="45037FC5"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6B1BDC34" w14:textId="72411340" w:rsidR="00A23619" w:rsidRPr="003A754E" w:rsidRDefault="00A23619" w:rsidP="00A23619">
            <w:pPr>
              <w:rPr>
                <w:color w:val="000000"/>
                <w:sz w:val="18"/>
                <w:szCs w:val="18"/>
              </w:rPr>
            </w:pPr>
            <w:r w:rsidRPr="003A754E">
              <w:rPr>
                <w:color w:val="000000"/>
                <w:sz w:val="18"/>
                <w:szCs w:val="18"/>
              </w:rPr>
              <w:t>6.5</w:t>
            </w:r>
            <w:r w:rsidR="00DD1C09" w:rsidRPr="003A754E">
              <w:rPr>
                <w:color w:val="000000"/>
                <w:sz w:val="18"/>
                <w:szCs w:val="18"/>
                <w:lang w:val="en-US"/>
              </w:rPr>
              <w:t>.</w:t>
            </w:r>
            <w:r w:rsidRPr="003A754E">
              <w:rPr>
                <w:color w:val="000000"/>
                <w:sz w:val="18"/>
                <w:szCs w:val="18"/>
              </w:rPr>
              <w:t xml:space="preserve"> Одобряване и утвърждаване на биометрични таблици и технически лихвен процент</w:t>
            </w:r>
          </w:p>
          <w:p w14:paraId="26DBA81C" w14:textId="77777777" w:rsidR="00A23619" w:rsidRPr="003A754E"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53CCFF54" w14:textId="77777777" w:rsidR="00A23619" w:rsidRPr="003A754E" w:rsidRDefault="00A23619" w:rsidP="00A23619">
            <w:pPr>
              <w:jc w:val="center"/>
              <w:rPr>
                <w:color w:val="000000"/>
                <w:sz w:val="20"/>
                <w:szCs w:val="20"/>
                <w:lang w:eastAsia="en-US"/>
              </w:rPr>
            </w:pPr>
            <w:r w:rsidRPr="003A754E">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A6C2C74" w14:textId="77777777" w:rsidR="00A23619" w:rsidRPr="003A754E" w:rsidRDefault="00B563DF" w:rsidP="00A23619">
            <w:pPr>
              <w:jc w:val="center"/>
              <w:rPr>
                <w:color w:val="000000"/>
                <w:sz w:val="20"/>
                <w:szCs w:val="20"/>
                <w:lang w:val="en-US" w:eastAsia="en-US"/>
              </w:rPr>
            </w:pPr>
            <w:r w:rsidRPr="003A754E">
              <w:rPr>
                <w:color w:val="000000"/>
                <w:sz w:val="20"/>
                <w:szCs w:val="20"/>
                <w:lang w:val="en-US" w:eastAsia="en-US"/>
              </w:rPr>
              <w:t>2</w:t>
            </w:r>
          </w:p>
        </w:tc>
        <w:tc>
          <w:tcPr>
            <w:tcW w:w="1698" w:type="dxa"/>
            <w:tcBorders>
              <w:top w:val="nil"/>
              <w:left w:val="nil"/>
              <w:bottom w:val="single" w:sz="8" w:space="0" w:color="auto"/>
              <w:right w:val="single" w:sz="8" w:space="0" w:color="auto"/>
            </w:tcBorders>
            <w:shd w:val="clear" w:color="auto" w:fill="auto"/>
            <w:vAlign w:val="center"/>
          </w:tcPr>
          <w:p w14:paraId="22F25069" w14:textId="77777777" w:rsidR="00A23619" w:rsidRPr="003A754E" w:rsidRDefault="003F1981" w:rsidP="00A23619">
            <w:pPr>
              <w:jc w:val="both"/>
              <w:rPr>
                <w:color w:val="000000"/>
                <w:sz w:val="20"/>
                <w:szCs w:val="20"/>
                <w:lang w:eastAsia="en-US"/>
              </w:rPr>
            </w:pPr>
            <w:r w:rsidRPr="003A754E">
              <w:rPr>
                <w:color w:val="000000"/>
                <w:sz w:val="20"/>
                <w:szCs w:val="20"/>
                <w:lang w:eastAsia="en-US"/>
              </w:rPr>
              <w:t>0</w:t>
            </w:r>
          </w:p>
        </w:tc>
      </w:tr>
      <w:tr w:rsidR="00A23619" w:rsidRPr="0067298C" w14:paraId="38A02F15" w14:textId="77777777" w:rsidTr="00953EC4">
        <w:trPr>
          <w:gridAfter w:val="1"/>
          <w:wAfter w:w="1268" w:type="dxa"/>
          <w:trHeight w:val="690"/>
        </w:trPr>
        <w:tc>
          <w:tcPr>
            <w:tcW w:w="5948" w:type="dxa"/>
            <w:tcBorders>
              <w:top w:val="nil"/>
              <w:left w:val="single" w:sz="8" w:space="0" w:color="auto"/>
              <w:bottom w:val="single" w:sz="8" w:space="0" w:color="auto"/>
              <w:right w:val="single" w:sz="8" w:space="0" w:color="auto"/>
            </w:tcBorders>
            <w:shd w:val="clear" w:color="auto" w:fill="auto"/>
            <w:vAlign w:val="center"/>
          </w:tcPr>
          <w:p w14:paraId="3249882D" w14:textId="3233FD0D" w:rsidR="00A23619" w:rsidRPr="003A754E" w:rsidRDefault="00A23619" w:rsidP="00A23619">
            <w:pPr>
              <w:rPr>
                <w:color w:val="000000"/>
                <w:sz w:val="18"/>
                <w:szCs w:val="18"/>
              </w:rPr>
            </w:pPr>
            <w:r w:rsidRPr="003A754E">
              <w:rPr>
                <w:color w:val="000000"/>
                <w:sz w:val="18"/>
                <w:szCs w:val="18"/>
              </w:rPr>
              <w:t>6.6</w:t>
            </w:r>
            <w:r w:rsidR="00DD1C09" w:rsidRPr="003A754E">
              <w:rPr>
                <w:color w:val="000000"/>
                <w:sz w:val="18"/>
                <w:szCs w:val="18"/>
                <w:lang w:val="en-US"/>
              </w:rPr>
              <w:t>.</w:t>
            </w:r>
            <w:r w:rsidRPr="003A754E">
              <w:rPr>
                <w:color w:val="000000"/>
                <w:sz w:val="18"/>
                <w:szCs w:val="18"/>
              </w:rPr>
              <w:t xml:space="preserve">  Определяне на минимална доходност от управлението на активите на задължителните пенсионни фондове</w:t>
            </w:r>
          </w:p>
          <w:p w14:paraId="49F9F77F" w14:textId="77777777" w:rsidR="00A23619" w:rsidRPr="003A754E"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1598921D" w14:textId="77777777" w:rsidR="00A23619" w:rsidRPr="003A754E" w:rsidRDefault="00A23619" w:rsidP="00A23619">
            <w:pPr>
              <w:jc w:val="center"/>
              <w:rPr>
                <w:color w:val="000000"/>
                <w:sz w:val="20"/>
                <w:szCs w:val="20"/>
                <w:lang w:eastAsia="en-US"/>
              </w:rPr>
            </w:pPr>
            <w:r w:rsidRPr="003A754E">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192A273F" w14:textId="77777777" w:rsidR="00A23619" w:rsidRPr="003A754E" w:rsidRDefault="00B563DF" w:rsidP="00A23619">
            <w:pPr>
              <w:jc w:val="center"/>
              <w:rPr>
                <w:color w:val="000000"/>
                <w:sz w:val="20"/>
                <w:szCs w:val="20"/>
                <w:lang w:val="en-US" w:eastAsia="en-US"/>
              </w:rPr>
            </w:pPr>
            <w:r w:rsidRPr="003A754E">
              <w:rPr>
                <w:color w:val="000000"/>
                <w:sz w:val="20"/>
                <w:szCs w:val="20"/>
                <w:lang w:val="en-US" w:eastAsia="en-US"/>
              </w:rPr>
              <w:t>8</w:t>
            </w:r>
          </w:p>
        </w:tc>
        <w:tc>
          <w:tcPr>
            <w:tcW w:w="1698" w:type="dxa"/>
            <w:tcBorders>
              <w:top w:val="nil"/>
              <w:left w:val="nil"/>
              <w:bottom w:val="single" w:sz="8" w:space="0" w:color="auto"/>
              <w:right w:val="single" w:sz="8" w:space="0" w:color="auto"/>
            </w:tcBorders>
            <w:shd w:val="clear" w:color="auto" w:fill="auto"/>
            <w:vAlign w:val="center"/>
          </w:tcPr>
          <w:p w14:paraId="01306505" w14:textId="77777777" w:rsidR="00A23619" w:rsidRPr="003A754E" w:rsidRDefault="00877B87" w:rsidP="00A23619">
            <w:pPr>
              <w:jc w:val="both"/>
              <w:rPr>
                <w:color w:val="000000"/>
                <w:sz w:val="20"/>
                <w:szCs w:val="20"/>
                <w:lang w:eastAsia="en-US"/>
              </w:rPr>
            </w:pPr>
            <w:r w:rsidRPr="003A754E">
              <w:rPr>
                <w:color w:val="000000"/>
                <w:sz w:val="20"/>
                <w:szCs w:val="20"/>
                <w:lang w:eastAsia="en-US"/>
              </w:rPr>
              <w:t>4</w:t>
            </w:r>
          </w:p>
        </w:tc>
      </w:tr>
      <w:tr w:rsidR="00A23619" w:rsidRPr="0067298C" w14:paraId="284FF1AD"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743B104B" w14:textId="77777777" w:rsidR="00A23619" w:rsidRPr="00DD7DFD" w:rsidRDefault="00A23619" w:rsidP="00A23619">
            <w:pPr>
              <w:rPr>
                <w:b/>
                <w:bCs/>
                <w:color w:val="000000"/>
                <w:sz w:val="18"/>
                <w:szCs w:val="18"/>
              </w:rPr>
            </w:pPr>
            <w:r w:rsidRPr="00DD7DFD">
              <w:rPr>
                <w:b/>
                <w:bCs/>
                <w:color w:val="000000"/>
                <w:sz w:val="18"/>
                <w:szCs w:val="18"/>
              </w:rPr>
              <w:t>7.  Вписване в регистрите на КФН</w:t>
            </w:r>
          </w:p>
          <w:p w14:paraId="18ED067C"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581E72A0"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23204B14"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19849</w:t>
            </w:r>
          </w:p>
        </w:tc>
        <w:tc>
          <w:tcPr>
            <w:tcW w:w="1698" w:type="dxa"/>
            <w:tcBorders>
              <w:top w:val="nil"/>
              <w:left w:val="nil"/>
              <w:bottom w:val="single" w:sz="8" w:space="0" w:color="auto"/>
              <w:right w:val="single" w:sz="8" w:space="0" w:color="auto"/>
            </w:tcBorders>
            <w:shd w:val="clear" w:color="auto" w:fill="auto"/>
            <w:vAlign w:val="center"/>
          </w:tcPr>
          <w:p w14:paraId="28ED07C6" w14:textId="7A348FAB" w:rsidR="00A23619" w:rsidRPr="00DD7DFD" w:rsidRDefault="00635BEA" w:rsidP="00A23619">
            <w:pPr>
              <w:jc w:val="both"/>
              <w:rPr>
                <w:b/>
                <w:color w:val="000000"/>
                <w:sz w:val="20"/>
                <w:szCs w:val="20"/>
                <w:lang w:eastAsia="en-US"/>
              </w:rPr>
            </w:pPr>
            <w:r w:rsidRPr="00DD7DFD">
              <w:rPr>
                <w:b/>
                <w:color w:val="000000"/>
                <w:sz w:val="20"/>
                <w:szCs w:val="20"/>
                <w:lang w:eastAsia="en-US"/>
              </w:rPr>
              <w:t>5269</w:t>
            </w:r>
          </w:p>
        </w:tc>
      </w:tr>
      <w:tr w:rsidR="00A23619" w:rsidRPr="0067298C" w14:paraId="54FA3B75" w14:textId="77777777" w:rsidTr="00953EC4">
        <w:trPr>
          <w:gridAfter w:val="1"/>
          <w:wAfter w:w="1268" w:type="dxa"/>
          <w:trHeight w:val="435"/>
        </w:trPr>
        <w:tc>
          <w:tcPr>
            <w:tcW w:w="5948" w:type="dxa"/>
            <w:tcBorders>
              <w:top w:val="nil"/>
              <w:left w:val="single" w:sz="8" w:space="0" w:color="auto"/>
              <w:bottom w:val="single" w:sz="8" w:space="0" w:color="auto"/>
              <w:right w:val="single" w:sz="8" w:space="0" w:color="auto"/>
            </w:tcBorders>
            <w:shd w:val="clear" w:color="auto" w:fill="auto"/>
            <w:vAlign w:val="center"/>
          </w:tcPr>
          <w:p w14:paraId="1DF73CE9" w14:textId="5202F995" w:rsidR="00A23619" w:rsidRPr="00DD7DFD" w:rsidRDefault="00A23619" w:rsidP="00A23619">
            <w:pPr>
              <w:rPr>
                <w:color w:val="000000"/>
                <w:sz w:val="18"/>
                <w:szCs w:val="18"/>
              </w:rPr>
            </w:pPr>
            <w:r w:rsidRPr="00DD7DFD">
              <w:rPr>
                <w:color w:val="000000"/>
                <w:sz w:val="18"/>
                <w:szCs w:val="18"/>
              </w:rPr>
              <w:t>7.1</w:t>
            </w:r>
            <w:r w:rsidR="00DD1C09" w:rsidRPr="00DD7DFD">
              <w:rPr>
                <w:color w:val="000000"/>
                <w:sz w:val="18"/>
                <w:szCs w:val="18"/>
                <w:lang w:val="en-US"/>
              </w:rPr>
              <w:t>.</w:t>
            </w:r>
            <w:r w:rsidRPr="00DD7DFD">
              <w:rPr>
                <w:color w:val="000000"/>
                <w:sz w:val="18"/>
                <w:szCs w:val="18"/>
              </w:rPr>
              <w:t xml:space="preserve"> Изготвяне на проекти на разпореждания за подлежащи на вписване обстоятелства във водените от КФН регистри</w:t>
            </w:r>
          </w:p>
          <w:p w14:paraId="30E87FED" w14:textId="77777777" w:rsidR="00A23619" w:rsidRPr="00DD7DFD" w:rsidRDefault="00A23619" w:rsidP="00A23619">
            <w:pPr>
              <w:rPr>
                <w:b/>
                <w:bCs/>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6280734C"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4D42065"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1166</w:t>
            </w:r>
          </w:p>
        </w:tc>
        <w:tc>
          <w:tcPr>
            <w:tcW w:w="1698" w:type="dxa"/>
            <w:tcBorders>
              <w:top w:val="nil"/>
              <w:left w:val="nil"/>
              <w:bottom w:val="single" w:sz="8" w:space="0" w:color="auto"/>
              <w:right w:val="single" w:sz="8" w:space="0" w:color="auto"/>
            </w:tcBorders>
            <w:shd w:val="clear" w:color="auto" w:fill="auto"/>
            <w:vAlign w:val="center"/>
          </w:tcPr>
          <w:p w14:paraId="08EBB137" w14:textId="14BD868E" w:rsidR="00A23619" w:rsidRPr="00DD7DFD" w:rsidRDefault="00CD34DC" w:rsidP="00A23619">
            <w:pPr>
              <w:jc w:val="both"/>
              <w:rPr>
                <w:sz w:val="20"/>
                <w:szCs w:val="20"/>
                <w:lang w:eastAsia="en-US"/>
              </w:rPr>
            </w:pPr>
            <w:r w:rsidRPr="00DD7DFD">
              <w:rPr>
                <w:sz w:val="20"/>
                <w:szCs w:val="20"/>
                <w:lang w:eastAsia="en-US"/>
              </w:rPr>
              <w:t>240</w:t>
            </w:r>
          </w:p>
        </w:tc>
      </w:tr>
      <w:tr w:rsidR="00A23619" w:rsidRPr="0067298C" w14:paraId="3E900B5D"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1EC7E55A" w14:textId="663208F5" w:rsidR="00A23619" w:rsidRPr="00DD7DFD" w:rsidRDefault="00A23619" w:rsidP="00A23619">
            <w:pPr>
              <w:rPr>
                <w:color w:val="000000"/>
                <w:sz w:val="18"/>
                <w:szCs w:val="18"/>
              </w:rPr>
            </w:pPr>
            <w:r w:rsidRPr="00DD7DFD">
              <w:rPr>
                <w:color w:val="000000"/>
                <w:sz w:val="18"/>
                <w:szCs w:val="18"/>
              </w:rPr>
              <w:t>7.2</w:t>
            </w:r>
            <w:r w:rsidR="00DD1C09" w:rsidRPr="00DD7DFD">
              <w:rPr>
                <w:color w:val="000000"/>
                <w:sz w:val="18"/>
                <w:szCs w:val="18"/>
                <w:lang w:val="en-US"/>
              </w:rPr>
              <w:t>.</w:t>
            </w:r>
            <w:r w:rsidRPr="00DD7DFD">
              <w:rPr>
                <w:color w:val="000000"/>
                <w:sz w:val="18"/>
                <w:szCs w:val="18"/>
              </w:rPr>
              <w:t xml:space="preserve"> Вписване на обстоятелства в регистрите на КФН </w:t>
            </w:r>
          </w:p>
          <w:p w14:paraId="75B66C1C"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725E53C6"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27C0B876"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18683</w:t>
            </w:r>
          </w:p>
        </w:tc>
        <w:tc>
          <w:tcPr>
            <w:tcW w:w="1698" w:type="dxa"/>
            <w:tcBorders>
              <w:top w:val="nil"/>
              <w:left w:val="nil"/>
              <w:bottom w:val="single" w:sz="8" w:space="0" w:color="auto"/>
              <w:right w:val="single" w:sz="8" w:space="0" w:color="auto"/>
            </w:tcBorders>
            <w:shd w:val="clear" w:color="auto" w:fill="auto"/>
            <w:vAlign w:val="center"/>
          </w:tcPr>
          <w:p w14:paraId="27713F24" w14:textId="3184F338" w:rsidR="00A23619" w:rsidRPr="00DD7DFD" w:rsidRDefault="00696B52" w:rsidP="00A23619">
            <w:pPr>
              <w:jc w:val="both"/>
              <w:rPr>
                <w:sz w:val="20"/>
                <w:szCs w:val="20"/>
                <w:lang w:eastAsia="en-US"/>
              </w:rPr>
            </w:pPr>
            <w:r w:rsidRPr="00DD7DFD">
              <w:rPr>
                <w:sz w:val="20"/>
                <w:szCs w:val="20"/>
                <w:lang w:eastAsia="en-US"/>
              </w:rPr>
              <w:t>5029</w:t>
            </w:r>
          </w:p>
        </w:tc>
      </w:tr>
      <w:tr w:rsidR="00A23619" w:rsidRPr="0067298C" w14:paraId="0F2659B5"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3710CCF9" w14:textId="77777777" w:rsidR="00A23619" w:rsidRPr="00DD7DFD" w:rsidRDefault="00A23619" w:rsidP="00A23619">
            <w:pPr>
              <w:rPr>
                <w:b/>
                <w:bCs/>
                <w:color w:val="000000"/>
                <w:sz w:val="18"/>
                <w:szCs w:val="18"/>
              </w:rPr>
            </w:pPr>
            <w:r w:rsidRPr="00DD7DFD">
              <w:rPr>
                <w:b/>
                <w:bCs/>
                <w:color w:val="000000"/>
                <w:sz w:val="18"/>
                <w:szCs w:val="18"/>
              </w:rPr>
              <w:t xml:space="preserve">8. Извършване на дистанционни проверки за законосъобразно упражняване на дейността на поднадзорните на КФН лица </w:t>
            </w:r>
          </w:p>
          <w:p w14:paraId="1A942C4C"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1743028"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2168527D"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49752</w:t>
            </w:r>
          </w:p>
        </w:tc>
        <w:tc>
          <w:tcPr>
            <w:tcW w:w="1698" w:type="dxa"/>
            <w:tcBorders>
              <w:top w:val="nil"/>
              <w:left w:val="nil"/>
              <w:bottom w:val="single" w:sz="8" w:space="0" w:color="auto"/>
              <w:right w:val="single" w:sz="8" w:space="0" w:color="auto"/>
            </w:tcBorders>
            <w:shd w:val="clear" w:color="auto" w:fill="auto"/>
            <w:vAlign w:val="center"/>
          </w:tcPr>
          <w:p w14:paraId="3A3144BA" w14:textId="345CCC7A" w:rsidR="00A23619" w:rsidRPr="00DD7DFD" w:rsidRDefault="00447641" w:rsidP="00A23619">
            <w:pPr>
              <w:jc w:val="both"/>
              <w:rPr>
                <w:b/>
                <w:sz w:val="20"/>
                <w:szCs w:val="20"/>
                <w:lang w:eastAsia="en-US"/>
              </w:rPr>
            </w:pPr>
            <w:r>
              <w:rPr>
                <w:b/>
                <w:sz w:val="20"/>
                <w:szCs w:val="20"/>
                <w:lang w:eastAsia="en-US"/>
              </w:rPr>
              <w:t>27455</w:t>
            </w:r>
          </w:p>
        </w:tc>
      </w:tr>
      <w:tr w:rsidR="00A23619" w:rsidRPr="0067298C" w14:paraId="5EFB08C4" w14:textId="77777777" w:rsidTr="00953EC4">
        <w:trPr>
          <w:gridAfter w:val="1"/>
          <w:wAfter w:w="1268" w:type="dxa"/>
          <w:trHeight w:val="645"/>
        </w:trPr>
        <w:tc>
          <w:tcPr>
            <w:tcW w:w="5948" w:type="dxa"/>
            <w:tcBorders>
              <w:top w:val="nil"/>
              <w:left w:val="single" w:sz="8" w:space="0" w:color="auto"/>
              <w:bottom w:val="single" w:sz="8" w:space="0" w:color="auto"/>
              <w:right w:val="single" w:sz="8" w:space="0" w:color="auto"/>
            </w:tcBorders>
            <w:shd w:val="clear" w:color="auto" w:fill="auto"/>
            <w:vAlign w:val="center"/>
          </w:tcPr>
          <w:p w14:paraId="4D4C28D4" w14:textId="77777777" w:rsidR="00A23619" w:rsidRPr="00DD7DFD" w:rsidRDefault="00A23619" w:rsidP="00A23619">
            <w:pPr>
              <w:rPr>
                <w:b/>
                <w:bCs/>
                <w:sz w:val="18"/>
                <w:szCs w:val="18"/>
              </w:rPr>
            </w:pPr>
            <w:r w:rsidRPr="00DD7DFD">
              <w:rPr>
                <w:b/>
                <w:bCs/>
                <w:sz w:val="18"/>
                <w:szCs w:val="18"/>
              </w:rPr>
              <w:t>9. Извършване на анализ и оценка на данни, факти и обстоятелства с цел установяване законосъобразността на дейността на поднадзорните на КФН лица</w:t>
            </w:r>
          </w:p>
          <w:p w14:paraId="7DC73011" w14:textId="77777777" w:rsidR="00A23619" w:rsidRPr="00DD7DFD" w:rsidRDefault="00A23619" w:rsidP="00A23619">
            <w:pPr>
              <w:rPr>
                <w:b/>
                <w:bCs/>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5D8C0152" w14:textId="77777777" w:rsidR="00A23619" w:rsidRPr="00DD7DFD" w:rsidRDefault="00A23619" w:rsidP="00A23619">
            <w:pPr>
              <w:jc w:val="center"/>
              <w:rPr>
                <w:color w:val="000000"/>
                <w:sz w:val="20"/>
                <w:szCs w:val="20"/>
                <w:lang w:eastAsia="en-US"/>
              </w:rPr>
            </w:pPr>
            <w:r w:rsidRPr="00DD7DFD">
              <w:rPr>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5F1B9E73"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314</w:t>
            </w:r>
          </w:p>
        </w:tc>
        <w:tc>
          <w:tcPr>
            <w:tcW w:w="1698" w:type="dxa"/>
            <w:tcBorders>
              <w:top w:val="nil"/>
              <w:left w:val="nil"/>
              <w:bottom w:val="single" w:sz="8" w:space="0" w:color="auto"/>
              <w:right w:val="single" w:sz="8" w:space="0" w:color="auto"/>
            </w:tcBorders>
            <w:shd w:val="clear" w:color="auto" w:fill="auto"/>
            <w:vAlign w:val="center"/>
          </w:tcPr>
          <w:p w14:paraId="419A7EB0" w14:textId="36A3E851" w:rsidR="00A23619" w:rsidRPr="00DD7DFD" w:rsidRDefault="00BC1B97" w:rsidP="00A23619">
            <w:pPr>
              <w:jc w:val="both"/>
              <w:rPr>
                <w:b/>
                <w:sz w:val="20"/>
                <w:szCs w:val="20"/>
                <w:lang w:eastAsia="en-US"/>
              </w:rPr>
            </w:pPr>
            <w:r w:rsidRPr="00DD7DFD">
              <w:rPr>
                <w:b/>
                <w:sz w:val="20"/>
                <w:szCs w:val="20"/>
                <w:lang w:eastAsia="en-US"/>
              </w:rPr>
              <w:t>128</w:t>
            </w:r>
          </w:p>
        </w:tc>
      </w:tr>
      <w:tr w:rsidR="00A23619" w:rsidRPr="0067298C" w14:paraId="0A47A517"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5F8C3772" w14:textId="77777777" w:rsidR="00A23619" w:rsidRPr="00DD7DFD" w:rsidRDefault="00A23619" w:rsidP="00A23619">
            <w:pPr>
              <w:rPr>
                <w:b/>
                <w:bCs/>
                <w:sz w:val="18"/>
                <w:szCs w:val="18"/>
              </w:rPr>
            </w:pPr>
            <w:r w:rsidRPr="00DD7DFD">
              <w:rPr>
                <w:b/>
                <w:bCs/>
                <w:sz w:val="18"/>
                <w:szCs w:val="18"/>
              </w:rPr>
              <w:t xml:space="preserve">10. </w:t>
            </w:r>
            <w:r w:rsidRPr="00DD7DFD">
              <w:rPr>
                <w:b/>
                <w:bCs/>
                <w:sz w:val="18"/>
                <w:szCs w:val="18"/>
                <w:lang w:eastAsia="en-US"/>
              </w:rPr>
              <w:t>Установени административни нарушения</w:t>
            </w:r>
          </w:p>
          <w:p w14:paraId="2137EE00" w14:textId="77777777" w:rsidR="00A23619" w:rsidRPr="00DD7DFD" w:rsidRDefault="00A23619" w:rsidP="00A23619">
            <w:pPr>
              <w:rPr>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79B24AD1" w14:textId="77777777" w:rsidR="00A23619" w:rsidRPr="00DD7DFD" w:rsidRDefault="00A23619" w:rsidP="00A23619">
            <w:pPr>
              <w:jc w:val="center"/>
              <w:rPr>
                <w:color w:val="000000"/>
                <w:sz w:val="20"/>
                <w:szCs w:val="20"/>
                <w:lang w:eastAsia="en-US"/>
              </w:rPr>
            </w:pPr>
            <w:r w:rsidRPr="00DD7DFD">
              <w:rPr>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47ED2571"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756</w:t>
            </w:r>
          </w:p>
        </w:tc>
        <w:tc>
          <w:tcPr>
            <w:tcW w:w="1698" w:type="dxa"/>
            <w:tcBorders>
              <w:top w:val="nil"/>
              <w:left w:val="nil"/>
              <w:bottom w:val="single" w:sz="8" w:space="0" w:color="auto"/>
              <w:right w:val="single" w:sz="8" w:space="0" w:color="auto"/>
            </w:tcBorders>
            <w:shd w:val="clear" w:color="auto" w:fill="auto"/>
            <w:vAlign w:val="center"/>
          </w:tcPr>
          <w:p w14:paraId="6FC24115" w14:textId="4CF29BF1" w:rsidR="00A23619" w:rsidRPr="00DD7DFD" w:rsidRDefault="00E9626D" w:rsidP="00A23619">
            <w:pPr>
              <w:jc w:val="both"/>
              <w:rPr>
                <w:b/>
                <w:sz w:val="20"/>
                <w:szCs w:val="20"/>
                <w:lang w:eastAsia="en-US"/>
              </w:rPr>
            </w:pPr>
            <w:r w:rsidRPr="00DD7DFD">
              <w:rPr>
                <w:b/>
                <w:sz w:val="20"/>
                <w:szCs w:val="20"/>
                <w:lang w:eastAsia="en-US"/>
              </w:rPr>
              <w:t>177</w:t>
            </w:r>
          </w:p>
        </w:tc>
      </w:tr>
      <w:tr w:rsidR="00A23619" w:rsidRPr="0067298C" w14:paraId="280247F2" w14:textId="77777777" w:rsidTr="00953EC4">
        <w:trPr>
          <w:gridAfter w:val="1"/>
          <w:wAfter w:w="1268" w:type="dxa"/>
          <w:trHeight w:val="435"/>
        </w:trPr>
        <w:tc>
          <w:tcPr>
            <w:tcW w:w="5948" w:type="dxa"/>
            <w:tcBorders>
              <w:top w:val="nil"/>
              <w:left w:val="single" w:sz="8" w:space="0" w:color="auto"/>
              <w:bottom w:val="single" w:sz="8" w:space="0" w:color="auto"/>
              <w:right w:val="single" w:sz="8" w:space="0" w:color="auto"/>
            </w:tcBorders>
            <w:shd w:val="clear" w:color="auto" w:fill="auto"/>
            <w:vAlign w:val="center"/>
          </w:tcPr>
          <w:p w14:paraId="79950A8A" w14:textId="77777777" w:rsidR="00A23619" w:rsidRPr="00DD7DFD" w:rsidRDefault="00A23619" w:rsidP="00A23619">
            <w:pPr>
              <w:rPr>
                <w:b/>
                <w:bCs/>
                <w:sz w:val="18"/>
                <w:szCs w:val="18"/>
              </w:rPr>
            </w:pPr>
            <w:r w:rsidRPr="00DD7DFD">
              <w:rPr>
                <w:b/>
                <w:bCs/>
                <w:sz w:val="18"/>
                <w:szCs w:val="18"/>
              </w:rPr>
              <w:t xml:space="preserve">11. Предприети мерки във връзка със събиране на вземанията на КФН </w:t>
            </w:r>
          </w:p>
          <w:p w14:paraId="65C25042" w14:textId="77777777" w:rsidR="00A23619" w:rsidRPr="00DD7DFD" w:rsidRDefault="00A23619" w:rsidP="00A23619">
            <w:pPr>
              <w:rPr>
                <w:b/>
                <w:bCs/>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6A8DE531" w14:textId="77777777" w:rsidR="00A23619" w:rsidRPr="00DD7DFD" w:rsidRDefault="00A23619" w:rsidP="00A23619">
            <w:pPr>
              <w:jc w:val="center"/>
              <w:rPr>
                <w:color w:val="000000"/>
                <w:sz w:val="20"/>
                <w:szCs w:val="20"/>
                <w:lang w:eastAsia="en-US"/>
              </w:rPr>
            </w:pPr>
            <w:r w:rsidRPr="00DD7DFD">
              <w:rPr>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609E743F"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350</w:t>
            </w:r>
          </w:p>
        </w:tc>
        <w:tc>
          <w:tcPr>
            <w:tcW w:w="1698" w:type="dxa"/>
            <w:tcBorders>
              <w:top w:val="nil"/>
              <w:left w:val="nil"/>
              <w:bottom w:val="single" w:sz="8" w:space="0" w:color="auto"/>
              <w:right w:val="single" w:sz="8" w:space="0" w:color="auto"/>
            </w:tcBorders>
            <w:shd w:val="clear" w:color="auto" w:fill="auto"/>
            <w:vAlign w:val="center"/>
          </w:tcPr>
          <w:p w14:paraId="39DE80DC" w14:textId="0067120C" w:rsidR="00A23619" w:rsidRPr="00DD7DFD" w:rsidRDefault="00CF640E" w:rsidP="00A23619">
            <w:pPr>
              <w:jc w:val="both"/>
              <w:rPr>
                <w:b/>
                <w:sz w:val="20"/>
                <w:szCs w:val="20"/>
                <w:lang w:eastAsia="en-US"/>
              </w:rPr>
            </w:pPr>
            <w:r w:rsidRPr="00DD7DFD">
              <w:rPr>
                <w:b/>
                <w:sz w:val="20"/>
                <w:szCs w:val="20"/>
                <w:lang w:eastAsia="en-US"/>
              </w:rPr>
              <w:t>119</w:t>
            </w:r>
          </w:p>
        </w:tc>
      </w:tr>
      <w:tr w:rsidR="00A23619" w:rsidRPr="0067298C" w14:paraId="5FC4C075"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7A8EE873" w14:textId="77777777" w:rsidR="00A23619" w:rsidRPr="00DD7DFD" w:rsidRDefault="00A23619" w:rsidP="00A23619">
            <w:pPr>
              <w:rPr>
                <w:b/>
                <w:bCs/>
                <w:color w:val="000000"/>
                <w:sz w:val="18"/>
                <w:szCs w:val="18"/>
              </w:rPr>
            </w:pPr>
            <w:r w:rsidRPr="00DD7DFD">
              <w:rPr>
                <w:b/>
                <w:bCs/>
                <w:color w:val="000000"/>
                <w:sz w:val="18"/>
                <w:szCs w:val="18"/>
              </w:rPr>
              <w:lastRenderedPageBreak/>
              <w:t>12. Наложени административни наказания с наказателни постановления (НП)</w:t>
            </w:r>
          </w:p>
          <w:p w14:paraId="5778864D" w14:textId="77777777" w:rsidR="00A23619" w:rsidRPr="00DD7DFD" w:rsidRDefault="00A23619" w:rsidP="00A23619">
            <w:pPr>
              <w:rPr>
                <w:b/>
                <w:bCs/>
                <w:color w:val="000000"/>
                <w:sz w:val="20"/>
                <w:szCs w:val="20"/>
                <w:lang w:eastAsia="en-US"/>
              </w:rPr>
            </w:pPr>
          </w:p>
        </w:tc>
        <w:tc>
          <w:tcPr>
            <w:tcW w:w="1112" w:type="dxa"/>
            <w:tcBorders>
              <w:top w:val="nil"/>
              <w:left w:val="nil"/>
              <w:bottom w:val="single" w:sz="8" w:space="0" w:color="auto"/>
              <w:right w:val="single" w:sz="8" w:space="0" w:color="auto"/>
            </w:tcBorders>
            <w:shd w:val="clear" w:color="auto" w:fill="auto"/>
            <w:vAlign w:val="center"/>
            <w:hideMark/>
          </w:tcPr>
          <w:p w14:paraId="45C521FF"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36B60E4D"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478</w:t>
            </w:r>
          </w:p>
        </w:tc>
        <w:tc>
          <w:tcPr>
            <w:tcW w:w="1698" w:type="dxa"/>
            <w:tcBorders>
              <w:top w:val="nil"/>
              <w:left w:val="nil"/>
              <w:bottom w:val="single" w:sz="8" w:space="0" w:color="auto"/>
              <w:right w:val="single" w:sz="8" w:space="0" w:color="auto"/>
            </w:tcBorders>
            <w:shd w:val="clear" w:color="auto" w:fill="auto"/>
            <w:vAlign w:val="center"/>
          </w:tcPr>
          <w:p w14:paraId="014F7193" w14:textId="5E9645A8" w:rsidR="00A23619" w:rsidRPr="00DD7DFD" w:rsidRDefault="008B1131" w:rsidP="00E50C29">
            <w:pPr>
              <w:jc w:val="both"/>
              <w:rPr>
                <w:b/>
                <w:sz w:val="20"/>
                <w:szCs w:val="20"/>
                <w:lang w:eastAsia="en-US"/>
              </w:rPr>
            </w:pPr>
            <w:r w:rsidRPr="00DD7DFD">
              <w:rPr>
                <w:b/>
                <w:sz w:val="20"/>
                <w:szCs w:val="20"/>
                <w:lang w:eastAsia="en-US"/>
              </w:rPr>
              <w:t>12</w:t>
            </w:r>
            <w:r w:rsidR="00E50C29">
              <w:rPr>
                <w:b/>
                <w:sz w:val="20"/>
                <w:szCs w:val="20"/>
                <w:lang w:eastAsia="en-US"/>
              </w:rPr>
              <w:t>4</w:t>
            </w:r>
          </w:p>
        </w:tc>
      </w:tr>
      <w:tr w:rsidR="00A23619" w:rsidRPr="0067298C" w14:paraId="7E504BAA" w14:textId="77777777" w:rsidTr="00953EC4">
        <w:trPr>
          <w:gridAfter w:val="1"/>
          <w:wAfter w:w="1268" w:type="dxa"/>
          <w:trHeight w:val="435"/>
        </w:trPr>
        <w:tc>
          <w:tcPr>
            <w:tcW w:w="5948" w:type="dxa"/>
            <w:tcBorders>
              <w:top w:val="nil"/>
              <w:left w:val="single" w:sz="8" w:space="0" w:color="auto"/>
              <w:bottom w:val="single" w:sz="8" w:space="0" w:color="auto"/>
              <w:right w:val="single" w:sz="8" w:space="0" w:color="auto"/>
            </w:tcBorders>
            <w:shd w:val="clear" w:color="auto" w:fill="auto"/>
            <w:vAlign w:val="center"/>
          </w:tcPr>
          <w:p w14:paraId="1A184138" w14:textId="77777777" w:rsidR="00A23619" w:rsidRPr="00484DBC" w:rsidRDefault="00A23619" w:rsidP="00A23619">
            <w:pPr>
              <w:rPr>
                <w:bCs/>
                <w:color w:val="000000"/>
                <w:sz w:val="18"/>
                <w:szCs w:val="18"/>
              </w:rPr>
            </w:pPr>
            <w:r w:rsidRPr="00484DBC">
              <w:rPr>
                <w:bCs/>
                <w:sz w:val="20"/>
                <w:szCs w:val="20"/>
                <w:lang w:val="en-US"/>
              </w:rPr>
              <w:t xml:space="preserve">13. </w:t>
            </w:r>
            <w:r w:rsidRPr="00484DBC">
              <w:rPr>
                <w:bCs/>
                <w:color w:val="000000"/>
                <w:sz w:val="18"/>
                <w:szCs w:val="18"/>
                <w:lang w:eastAsia="en-US"/>
              </w:rPr>
              <w:t>Наложени административни наказания със споразумения</w:t>
            </w:r>
          </w:p>
        </w:tc>
        <w:tc>
          <w:tcPr>
            <w:tcW w:w="1112" w:type="dxa"/>
            <w:tcBorders>
              <w:top w:val="nil"/>
              <w:left w:val="nil"/>
              <w:bottom w:val="single" w:sz="8" w:space="0" w:color="auto"/>
              <w:right w:val="single" w:sz="8" w:space="0" w:color="auto"/>
            </w:tcBorders>
            <w:shd w:val="clear" w:color="auto" w:fill="auto"/>
            <w:vAlign w:val="center"/>
          </w:tcPr>
          <w:p w14:paraId="2F8AB1D3" w14:textId="77777777" w:rsidR="00A23619" w:rsidRPr="00484DBC" w:rsidRDefault="00A23619" w:rsidP="00A23619">
            <w:pPr>
              <w:jc w:val="center"/>
              <w:rPr>
                <w:color w:val="000000"/>
                <w:sz w:val="20"/>
                <w:szCs w:val="20"/>
                <w:lang w:eastAsia="en-US"/>
              </w:rPr>
            </w:pPr>
            <w:r w:rsidRPr="00484DBC">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6D4B322" w14:textId="77777777" w:rsidR="00A23619" w:rsidRPr="00484DBC" w:rsidRDefault="00B563DF" w:rsidP="00A23619">
            <w:pPr>
              <w:jc w:val="center"/>
              <w:rPr>
                <w:color w:val="000000"/>
                <w:sz w:val="20"/>
                <w:szCs w:val="20"/>
                <w:lang w:val="en-US" w:eastAsia="en-US"/>
              </w:rPr>
            </w:pPr>
            <w:r w:rsidRPr="00484DBC">
              <w:rPr>
                <w:color w:val="000000"/>
                <w:sz w:val="20"/>
                <w:szCs w:val="20"/>
                <w:lang w:val="en-US" w:eastAsia="en-US"/>
              </w:rPr>
              <w:t>81</w:t>
            </w:r>
          </w:p>
        </w:tc>
        <w:tc>
          <w:tcPr>
            <w:tcW w:w="1698" w:type="dxa"/>
            <w:tcBorders>
              <w:top w:val="nil"/>
              <w:left w:val="nil"/>
              <w:bottom w:val="single" w:sz="8" w:space="0" w:color="auto"/>
              <w:right w:val="single" w:sz="8" w:space="0" w:color="auto"/>
            </w:tcBorders>
            <w:shd w:val="clear" w:color="auto" w:fill="auto"/>
            <w:vAlign w:val="center"/>
          </w:tcPr>
          <w:p w14:paraId="58E90421" w14:textId="38542822" w:rsidR="00A23619" w:rsidRPr="00484DBC" w:rsidRDefault="00484DBC" w:rsidP="00A23619">
            <w:pPr>
              <w:jc w:val="both"/>
              <w:rPr>
                <w:sz w:val="20"/>
                <w:szCs w:val="20"/>
                <w:lang w:val="en-US" w:eastAsia="en-US"/>
              </w:rPr>
            </w:pPr>
            <w:r w:rsidRPr="00484DBC">
              <w:rPr>
                <w:sz w:val="20"/>
                <w:szCs w:val="20"/>
                <w:lang w:val="en-US" w:eastAsia="en-US"/>
              </w:rPr>
              <w:t>33</w:t>
            </w:r>
          </w:p>
        </w:tc>
      </w:tr>
      <w:tr w:rsidR="00A23619" w:rsidRPr="0067298C" w14:paraId="21BC077D" w14:textId="77777777" w:rsidTr="00953EC4">
        <w:trPr>
          <w:gridAfter w:val="1"/>
          <w:wAfter w:w="1268" w:type="dxa"/>
          <w:trHeight w:val="435"/>
        </w:trPr>
        <w:tc>
          <w:tcPr>
            <w:tcW w:w="5948" w:type="dxa"/>
            <w:tcBorders>
              <w:top w:val="nil"/>
              <w:left w:val="single" w:sz="8" w:space="0" w:color="auto"/>
              <w:bottom w:val="single" w:sz="8" w:space="0" w:color="auto"/>
              <w:right w:val="single" w:sz="8" w:space="0" w:color="auto"/>
            </w:tcBorders>
            <w:shd w:val="clear" w:color="auto" w:fill="auto"/>
            <w:vAlign w:val="center"/>
          </w:tcPr>
          <w:p w14:paraId="6973A540" w14:textId="77777777" w:rsidR="00A23619" w:rsidRPr="00DD7DFD" w:rsidRDefault="00A23619" w:rsidP="00A23619">
            <w:pPr>
              <w:rPr>
                <w:bCs/>
                <w:color w:val="000000"/>
                <w:sz w:val="18"/>
                <w:szCs w:val="18"/>
              </w:rPr>
            </w:pPr>
            <w:r w:rsidRPr="00DD7DFD">
              <w:rPr>
                <w:bCs/>
                <w:sz w:val="18"/>
                <w:szCs w:val="18"/>
              </w:rPr>
              <w:t>13.1. Мотивирани постановления по чл. 58г, ал. 13 от ЗАНН</w:t>
            </w:r>
          </w:p>
        </w:tc>
        <w:tc>
          <w:tcPr>
            <w:tcW w:w="1112" w:type="dxa"/>
            <w:tcBorders>
              <w:top w:val="nil"/>
              <w:left w:val="nil"/>
              <w:bottom w:val="single" w:sz="8" w:space="0" w:color="auto"/>
              <w:right w:val="single" w:sz="8" w:space="0" w:color="auto"/>
            </w:tcBorders>
            <w:shd w:val="clear" w:color="auto" w:fill="auto"/>
            <w:vAlign w:val="center"/>
          </w:tcPr>
          <w:p w14:paraId="1497890E"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14719AC8" w14:textId="77777777" w:rsidR="00A23619" w:rsidRPr="00484DBC" w:rsidRDefault="00B563DF" w:rsidP="00A23619">
            <w:pPr>
              <w:jc w:val="center"/>
              <w:rPr>
                <w:color w:val="000000"/>
                <w:sz w:val="20"/>
                <w:szCs w:val="20"/>
                <w:lang w:val="en-US" w:eastAsia="en-US"/>
              </w:rPr>
            </w:pPr>
            <w:r w:rsidRPr="00484DBC">
              <w:rPr>
                <w:color w:val="000000"/>
                <w:sz w:val="20"/>
                <w:szCs w:val="20"/>
                <w:lang w:val="en-US" w:eastAsia="en-US"/>
              </w:rPr>
              <w:t>2</w:t>
            </w:r>
          </w:p>
        </w:tc>
        <w:tc>
          <w:tcPr>
            <w:tcW w:w="1698" w:type="dxa"/>
            <w:tcBorders>
              <w:top w:val="nil"/>
              <w:left w:val="nil"/>
              <w:bottom w:val="single" w:sz="8" w:space="0" w:color="auto"/>
              <w:right w:val="single" w:sz="8" w:space="0" w:color="auto"/>
            </w:tcBorders>
            <w:shd w:val="clear" w:color="auto" w:fill="auto"/>
            <w:vAlign w:val="center"/>
          </w:tcPr>
          <w:p w14:paraId="654BA313" w14:textId="600A2287" w:rsidR="00A23619" w:rsidRPr="007A5E71" w:rsidRDefault="00150CF1" w:rsidP="00AE67E7">
            <w:pPr>
              <w:jc w:val="both"/>
              <w:rPr>
                <w:sz w:val="20"/>
                <w:szCs w:val="20"/>
                <w:lang w:val="en-US" w:eastAsia="en-US"/>
              </w:rPr>
            </w:pPr>
            <w:r>
              <w:rPr>
                <w:sz w:val="20"/>
                <w:szCs w:val="20"/>
                <w:lang w:eastAsia="en-US"/>
              </w:rPr>
              <w:t>0</w:t>
            </w:r>
            <w:r w:rsidR="007A5E71">
              <w:rPr>
                <w:sz w:val="20"/>
                <w:szCs w:val="20"/>
                <w:lang w:val="en-US" w:eastAsia="en-US"/>
              </w:rPr>
              <w:t xml:space="preserve"> </w:t>
            </w:r>
          </w:p>
        </w:tc>
      </w:tr>
      <w:tr w:rsidR="00A23619" w:rsidRPr="0067298C" w14:paraId="7BB4A3C2" w14:textId="77777777" w:rsidTr="00A526E7">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45781C5A" w14:textId="77777777" w:rsidR="00A23619" w:rsidRPr="00DD7DFD" w:rsidRDefault="00A23619" w:rsidP="00A23619">
            <w:pPr>
              <w:spacing w:line="276" w:lineRule="auto"/>
              <w:jc w:val="both"/>
              <w:rPr>
                <w:color w:val="000000"/>
                <w:sz w:val="20"/>
                <w:szCs w:val="20"/>
                <w:lang w:eastAsia="en-US"/>
              </w:rPr>
            </w:pPr>
            <w:r w:rsidRPr="00DD7DFD">
              <w:rPr>
                <w:bCs/>
                <w:sz w:val="18"/>
                <w:szCs w:val="18"/>
              </w:rPr>
              <w:t xml:space="preserve">13.2. Предупреждения по чл. 28 от ЗАНН </w:t>
            </w:r>
          </w:p>
        </w:tc>
        <w:tc>
          <w:tcPr>
            <w:tcW w:w="1112" w:type="dxa"/>
            <w:tcBorders>
              <w:top w:val="nil"/>
              <w:left w:val="nil"/>
              <w:bottom w:val="single" w:sz="8" w:space="0" w:color="auto"/>
              <w:right w:val="single" w:sz="8" w:space="0" w:color="auto"/>
            </w:tcBorders>
            <w:shd w:val="clear" w:color="auto" w:fill="auto"/>
            <w:hideMark/>
          </w:tcPr>
          <w:p w14:paraId="2BE48FA6"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A679CCE" w14:textId="77777777" w:rsidR="00A23619" w:rsidRPr="00484DBC" w:rsidRDefault="00B563DF" w:rsidP="00A23619">
            <w:pPr>
              <w:jc w:val="center"/>
              <w:rPr>
                <w:color w:val="000000"/>
                <w:sz w:val="20"/>
                <w:szCs w:val="20"/>
                <w:lang w:val="en-US" w:eastAsia="en-US"/>
              </w:rPr>
            </w:pPr>
            <w:r w:rsidRPr="00484DBC">
              <w:rPr>
                <w:color w:val="000000"/>
                <w:sz w:val="20"/>
                <w:szCs w:val="20"/>
                <w:lang w:val="en-US" w:eastAsia="en-US"/>
              </w:rPr>
              <w:t>86</w:t>
            </w:r>
          </w:p>
        </w:tc>
        <w:tc>
          <w:tcPr>
            <w:tcW w:w="1698" w:type="dxa"/>
            <w:tcBorders>
              <w:top w:val="nil"/>
              <w:left w:val="nil"/>
              <w:bottom w:val="single" w:sz="8" w:space="0" w:color="auto"/>
              <w:right w:val="single" w:sz="8" w:space="0" w:color="auto"/>
            </w:tcBorders>
            <w:shd w:val="clear" w:color="auto" w:fill="auto"/>
            <w:vAlign w:val="center"/>
          </w:tcPr>
          <w:p w14:paraId="73F7924E" w14:textId="4AA94544" w:rsidR="00A23619" w:rsidRPr="007A5E71" w:rsidRDefault="005921A9" w:rsidP="00AE67E7">
            <w:pPr>
              <w:jc w:val="both"/>
              <w:rPr>
                <w:sz w:val="20"/>
                <w:szCs w:val="20"/>
                <w:lang w:val="en-US" w:eastAsia="en-US"/>
              </w:rPr>
            </w:pPr>
            <w:r w:rsidRPr="00DD7DFD">
              <w:rPr>
                <w:sz w:val="20"/>
                <w:szCs w:val="20"/>
                <w:lang w:eastAsia="en-US"/>
              </w:rPr>
              <w:t>11</w:t>
            </w:r>
            <w:r w:rsidR="007A5E71">
              <w:rPr>
                <w:sz w:val="20"/>
                <w:szCs w:val="20"/>
                <w:lang w:val="en-US" w:eastAsia="en-US"/>
              </w:rPr>
              <w:t xml:space="preserve"> </w:t>
            </w:r>
          </w:p>
        </w:tc>
      </w:tr>
      <w:tr w:rsidR="00A23619" w:rsidRPr="0067298C" w14:paraId="00F3B2C8" w14:textId="77777777" w:rsidTr="00A526E7">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5BFB3931" w14:textId="77777777" w:rsidR="00A23619" w:rsidRPr="00DD7DFD" w:rsidRDefault="00A23619" w:rsidP="00A23619">
            <w:pPr>
              <w:rPr>
                <w:b/>
                <w:bCs/>
                <w:color w:val="000000"/>
                <w:sz w:val="20"/>
                <w:szCs w:val="20"/>
                <w:lang w:eastAsia="en-US"/>
              </w:rPr>
            </w:pPr>
            <w:r w:rsidRPr="00DD7DFD">
              <w:rPr>
                <w:bCs/>
                <w:sz w:val="18"/>
                <w:szCs w:val="18"/>
              </w:rPr>
              <w:t>13.3. Резолюции за прекратяване по чл. 54 от ЗАНН (РП)</w:t>
            </w:r>
          </w:p>
        </w:tc>
        <w:tc>
          <w:tcPr>
            <w:tcW w:w="1112" w:type="dxa"/>
            <w:tcBorders>
              <w:top w:val="nil"/>
              <w:left w:val="nil"/>
              <w:bottom w:val="single" w:sz="8" w:space="0" w:color="auto"/>
              <w:right w:val="single" w:sz="8" w:space="0" w:color="auto"/>
            </w:tcBorders>
            <w:shd w:val="clear" w:color="auto" w:fill="auto"/>
            <w:hideMark/>
          </w:tcPr>
          <w:p w14:paraId="4FCE0669"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2DD8BC6B" w14:textId="77777777" w:rsidR="00A23619" w:rsidRPr="00484DBC" w:rsidRDefault="00B563DF" w:rsidP="00A23619">
            <w:pPr>
              <w:jc w:val="center"/>
              <w:rPr>
                <w:color w:val="000000"/>
                <w:sz w:val="20"/>
                <w:szCs w:val="20"/>
                <w:lang w:val="en-US" w:eastAsia="en-US"/>
              </w:rPr>
            </w:pPr>
            <w:r w:rsidRPr="00484DBC">
              <w:rPr>
                <w:color w:val="000000"/>
                <w:sz w:val="20"/>
                <w:szCs w:val="20"/>
                <w:lang w:val="en-US" w:eastAsia="en-US"/>
              </w:rPr>
              <w:t>25</w:t>
            </w:r>
          </w:p>
        </w:tc>
        <w:tc>
          <w:tcPr>
            <w:tcW w:w="1698" w:type="dxa"/>
            <w:tcBorders>
              <w:top w:val="nil"/>
              <w:left w:val="nil"/>
              <w:bottom w:val="single" w:sz="8" w:space="0" w:color="auto"/>
              <w:right w:val="single" w:sz="8" w:space="0" w:color="auto"/>
            </w:tcBorders>
            <w:shd w:val="clear" w:color="auto" w:fill="auto"/>
            <w:vAlign w:val="center"/>
          </w:tcPr>
          <w:p w14:paraId="6EC11947" w14:textId="4C5BBDDA" w:rsidR="00A23619" w:rsidRPr="00DD7DFD" w:rsidRDefault="00A63545" w:rsidP="00A23619">
            <w:pPr>
              <w:jc w:val="both"/>
              <w:rPr>
                <w:sz w:val="20"/>
                <w:szCs w:val="20"/>
                <w:lang w:eastAsia="en-US"/>
              </w:rPr>
            </w:pPr>
            <w:r w:rsidRPr="00DD7DFD">
              <w:rPr>
                <w:sz w:val="20"/>
                <w:szCs w:val="20"/>
                <w:lang w:eastAsia="en-US"/>
              </w:rPr>
              <w:t>4</w:t>
            </w:r>
          </w:p>
        </w:tc>
      </w:tr>
      <w:tr w:rsidR="00A23619" w:rsidRPr="0067298C" w14:paraId="5D3DB9FF" w14:textId="77777777" w:rsidTr="00953EC4">
        <w:trPr>
          <w:gridAfter w:val="1"/>
          <w:wAfter w:w="1268" w:type="dxa"/>
          <w:trHeight w:val="435"/>
        </w:trPr>
        <w:tc>
          <w:tcPr>
            <w:tcW w:w="5948" w:type="dxa"/>
            <w:tcBorders>
              <w:top w:val="nil"/>
              <w:left w:val="single" w:sz="8" w:space="0" w:color="auto"/>
              <w:bottom w:val="single" w:sz="8" w:space="0" w:color="auto"/>
              <w:right w:val="single" w:sz="8" w:space="0" w:color="auto"/>
            </w:tcBorders>
            <w:shd w:val="clear" w:color="auto" w:fill="auto"/>
            <w:vAlign w:val="center"/>
          </w:tcPr>
          <w:p w14:paraId="201E4B0B" w14:textId="77777777" w:rsidR="00A23619" w:rsidRPr="00DD7DFD" w:rsidRDefault="00A23619" w:rsidP="00A23619">
            <w:pPr>
              <w:rPr>
                <w:b/>
                <w:bCs/>
                <w:color w:val="000000"/>
                <w:sz w:val="20"/>
                <w:szCs w:val="20"/>
                <w:lang w:eastAsia="en-US"/>
              </w:rPr>
            </w:pPr>
            <w:r w:rsidRPr="00DD7DFD">
              <w:rPr>
                <w:bCs/>
                <w:sz w:val="18"/>
                <w:szCs w:val="18"/>
              </w:rPr>
              <w:t>13.4. Изготвени становища по постъпили жалби срещу НП, РП и предупреждения</w:t>
            </w:r>
          </w:p>
        </w:tc>
        <w:tc>
          <w:tcPr>
            <w:tcW w:w="1112" w:type="dxa"/>
            <w:tcBorders>
              <w:top w:val="nil"/>
              <w:left w:val="nil"/>
              <w:bottom w:val="single" w:sz="8" w:space="0" w:color="auto"/>
              <w:right w:val="single" w:sz="8" w:space="0" w:color="auto"/>
            </w:tcBorders>
            <w:shd w:val="clear" w:color="auto" w:fill="auto"/>
            <w:vAlign w:val="center"/>
            <w:hideMark/>
          </w:tcPr>
          <w:p w14:paraId="4531BB2A"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1FE61B41" w14:textId="77777777" w:rsidR="00A23619" w:rsidRPr="00484DBC" w:rsidRDefault="00B563DF" w:rsidP="00A23619">
            <w:pPr>
              <w:jc w:val="center"/>
              <w:rPr>
                <w:color w:val="000000"/>
                <w:sz w:val="20"/>
                <w:szCs w:val="20"/>
                <w:lang w:val="en-US" w:eastAsia="en-US"/>
              </w:rPr>
            </w:pPr>
            <w:r w:rsidRPr="00484DBC">
              <w:rPr>
                <w:color w:val="000000"/>
                <w:sz w:val="20"/>
                <w:szCs w:val="20"/>
                <w:lang w:val="en-US" w:eastAsia="en-US"/>
              </w:rPr>
              <w:t>128</w:t>
            </w:r>
          </w:p>
        </w:tc>
        <w:tc>
          <w:tcPr>
            <w:tcW w:w="1698" w:type="dxa"/>
            <w:tcBorders>
              <w:top w:val="nil"/>
              <w:left w:val="nil"/>
              <w:bottom w:val="single" w:sz="8" w:space="0" w:color="auto"/>
              <w:right w:val="single" w:sz="8" w:space="0" w:color="auto"/>
            </w:tcBorders>
            <w:shd w:val="clear" w:color="auto" w:fill="auto"/>
            <w:vAlign w:val="center"/>
          </w:tcPr>
          <w:p w14:paraId="59B05871" w14:textId="6FC50F2F" w:rsidR="00A23619" w:rsidRPr="007A5E71" w:rsidRDefault="00D7759B" w:rsidP="00AE67E7">
            <w:pPr>
              <w:jc w:val="both"/>
              <w:rPr>
                <w:sz w:val="20"/>
                <w:szCs w:val="20"/>
                <w:lang w:val="en-US" w:eastAsia="en-US"/>
              </w:rPr>
            </w:pPr>
            <w:r w:rsidRPr="00DD7DFD">
              <w:rPr>
                <w:sz w:val="20"/>
                <w:szCs w:val="20"/>
                <w:lang w:eastAsia="en-US"/>
              </w:rPr>
              <w:t>2</w:t>
            </w:r>
            <w:r w:rsidR="007255D5" w:rsidRPr="00DD7DFD">
              <w:rPr>
                <w:sz w:val="20"/>
                <w:szCs w:val="20"/>
                <w:lang w:eastAsia="en-US"/>
              </w:rPr>
              <w:t>7</w:t>
            </w:r>
            <w:r w:rsidR="007A5E71">
              <w:rPr>
                <w:sz w:val="20"/>
                <w:szCs w:val="20"/>
                <w:lang w:val="en-US" w:eastAsia="en-US"/>
              </w:rPr>
              <w:t xml:space="preserve"> </w:t>
            </w:r>
          </w:p>
        </w:tc>
      </w:tr>
      <w:tr w:rsidR="00A23619" w:rsidRPr="0067298C" w14:paraId="0366ECB2"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24154866" w14:textId="77777777" w:rsidR="00A23619" w:rsidRPr="00DD7DFD" w:rsidRDefault="00A23619" w:rsidP="00A23619">
            <w:pPr>
              <w:rPr>
                <w:color w:val="000000"/>
                <w:sz w:val="20"/>
                <w:szCs w:val="20"/>
                <w:lang w:eastAsia="en-US"/>
              </w:rPr>
            </w:pPr>
            <w:r w:rsidRPr="00DD7DFD">
              <w:rPr>
                <w:b/>
                <w:bCs/>
                <w:color w:val="000000"/>
                <w:sz w:val="18"/>
                <w:szCs w:val="18"/>
                <w:lang w:eastAsia="en-US"/>
              </w:rPr>
              <w:t>14. Изготвени решения за прилагане на ПАМ</w:t>
            </w:r>
          </w:p>
        </w:tc>
        <w:tc>
          <w:tcPr>
            <w:tcW w:w="1112" w:type="dxa"/>
            <w:tcBorders>
              <w:top w:val="nil"/>
              <w:left w:val="nil"/>
              <w:bottom w:val="single" w:sz="8" w:space="0" w:color="auto"/>
              <w:right w:val="single" w:sz="8" w:space="0" w:color="auto"/>
            </w:tcBorders>
            <w:shd w:val="clear" w:color="auto" w:fill="auto"/>
            <w:vAlign w:val="center"/>
            <w:hideMark/>
          </w:tcPr>
          <w:p w14:paraId="5F8745F2"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63934D66"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60</w:t>
            </w:r>
          </w:p>
        </w:tc>
        <w:tc>
          <w:tcPr>
            <w:tcW w:w="1698" w:type="dxa"/>
            <w:tcBorders>
              <w:top w:val="nil"/>
              <w:left w:val="nil"/>
              <w:bottom w:val="single" w:sz="8" w:space="0" w:color="auto"/>
              <w:right w:val="single" w:sz="8" w:space="0" w:color="auto"/>
            </w:tcBorders>
            <w:shd w:val="clear" w:color="auto" w:fill="auto"/>
            <w:vAlign w:val="center"/>
          </w:tcPr>
          <w:p w14:paraId="250D1EE5" w14:textId="09FBECE7" w:rsidR="00A23619" w:rsidRPr="00DD7DFD" w:rsidRDefault="00B64459" w:rsidP="00A23619">
            <w:pPr>
              <w:jc w:val="both"/>
              <w:rPr>
                <w:b/>
                <w:sz w:val="20"/>
                <w:szCs w:val="20"/>
                <w:lang w:eastAsia="en-US"/>
              </w:rPr>
            </w:pPr>
            <w:r w:rsidRPr="00DD7DFD">
              <w:rPr>
                <w:b/>
                <w:sz w:val="20"/>
                <w:szCs w:val="20"/>
                <w:lang w:eastAsia="en-US"/>
              </w:rPr>
              <w:t>14</w:t>
            </w:r>
          </w:p>
        </w:tc>
      </w:tr>
      <w:tr w:rsidR="00A23619" w:rsidRPr="0067298C" w14:paraId="25FBD7CA" w14:textId="77777777" w:rsidTr="00953EC4">
        <w:trPr>
          <w:gridAfter w:val="1"/>
          <w:wAfter w:w="1268" w:type="dxa"/>
          <w:trHeight w:val="448"/>
        </w:trPr>
        <w:tc>
          <w:tcPr>
            <w:tcW w:w="5948" w:type="dxa"/>
            <w:tcBorders>
              <w:top w:val="nil"/>
              <w:left w:val="single" w:sz="8" w:space="0" w:color="auto"/>
              <w:bottom w:val="single" w:sz="8" w:space="0" w:color="auto"/>
              <w:right w:val="single" w:sz="8" w:space="0" w:color="auto"/>
            </w:tcBorders>
            <w:shd w:val="clear" w:color="auto" w:fill="auto"/>
            <w:vAlign w:val="center"/>
          </w:tcPr>
          <w:p w14:paraId="1E93104E" w14:textId="77777777" w:rsidR="00A23619" w:rsidRPr="00DD7DFD" w:rsidRDefault="00A23619" w:rsidP="00A23619">
            <w:pPr>
              <w:rPr>
                <w:b/>
                <w:bCs/>
                <w:color w:val="000000"/>
                <w:sz w:val="20"/>
                <w:szCs w:val="20"/>
                <w:lang w:eastAsia="en-US"/>
              </w:rPr>
            </w:pPr>
            <w:r w:rsidRPr="00DD7DFD">
              <w:rPr>
                <w:b/>
                <w:bCs/>
                <w:sz w:val="18"/>
                <w:szCs w:val="18"/>
                <w:lang w:eastAsia="en-US"/>
              </w:rPr>
              <w:t>15. Извършване на комплексна оценка и определяне на рисковия профил на поднадзорните лица на база оценка на количествени и качествени показатели</w:t>
            </w:r>
          </w:p>
        </w:tc>
        <w:tc>
          <w:tcPr>
            <w:tcW w:w="1112" w:type="dxa"/>
            <w:tcBorders>
              <w:top w:val="nil"/>
              <w:left w:val="nil"/>
              <w:bottom w:val="single" w:sz="8" w:space="0" w:color="auto"/>
              <w:right w:val="single" w:sz="8" w:space="0" w:color="auto"/>
            </w:tcBorders>
            <w:shd w:val="clear" w:color="auto" w:fill="auto"/>
            <w:vAlign w:val="center"/>
            <w:hideMark/>
          </w:tcPr>
          <w:p w14:paraId="0AE53730"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1682DE6B"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146</w:t>
            </w:r>
          </w:p>
        </w:tc>
        <w:tc>
          <w:tcPr>
            <w:tcW w:w="1698" w:type="dxa"/>
            <w:tcBorders>
              <w:top w:val="nil"/>
              <w:left w:val="nil"/>
              <w:bottom w:val="single" w:sz="8" w:space="0" w:color="auto"/>
              <w:right w:val="single" w:sz="8" w:space="0" w:color="auto"/>
            </w:tcBorders>
            <w:shd w:val="clear" w:color="auto" w:fill="auto"/>
            <w:vAlign w:val="center"/>
          </w:tcPr>
          <w:p w14:paraId="359B6844" w14:textId="66A6C0A1" w:rsidR="00A23619" w:rsidRPr="00DD7DFD" w:rsidRDefault="000E10B6" w:rsidP="00A23619">
            <w:pPr>
              <w:jc w:val="both"/>
              <w:rPr>
                <w:b/>
                <w:color w:val="000000"/>
                <w:sz w:val="20"/>
                <w:szCs w:val="20"/>
                <w:lang w:eastAsia="en-US"/>
              </w:rPr>
            </w:pPr>
            <w:r w:rsidRPr="00DD7DFD">
              <w:rPr>
                <w:b/>
                <w:color w:val="000000"/>
                <w:sz w:val="20"/>
                <w:szCs w:val="20"/>
                <w:lang w:eastAsia="en-US"/>
              </w:rPr>
              <w:t>18</w:t>
            </w:r>
          </w:p>
        </w:tc>
      </w:tr>
      <w:tr w:rsidR="00A23619" w:rsidRPr="0067298C" w14:paraId="278C3F24" w14:textId="77777777" w:rsidTr="00953EC4">
        <w:trPr>
          <w:gridAfter w:val="1"/>
          <w:wAfter w:w="1268" w:type="dxa"/>
          <w:trHeight w:val="435"/>
        </w:trPr>
        <w:tc>
          <w:tcPr>
            <w:tcW w:w="5948" w:type="dxa"/>
            <w:tcBorders>
              <w:top w:val="nil"/>
              <w:left w:val="single" w:sz="8" w:space="0" w:color="auto"/>
              <w:bottom w:val="single" w:sz="8" w:space="0" w:color="auto"/>
              <w:right w:val="single" w:sz="8" w:space="0" w:color="auto"/>
            </w:tcBorders>
            <w:shd w:val="clear" w:color="auto" w:fill="auto"/>
            <w:vAlign w:val="center"/>
          </w:tcPr>
          <w:p w14:paraId="4992271D" w14:textId="77777777" w:rsidR="00A23619" w:rsidRPr="00DD7DFD" w:rsidRDefault="00A23619" w:rsidP="00A23619">
            <w:pPr>
              <w:rPr>
                <w:b/>
                <w:bCs/>
                <w:color w:val="000000"/>
                <w:sz w:val="20"/>
                <w:szCs w:val="20"/>
                <w:lang w:eastAsia="en-US"/>
              </w:rPr>
            </w:pPr>
            <w:r w:rsidRPr="00DD7DFD">
              <w:rPr>
                <w:b/>
                <w:bCs/>
                <w:color w:val="000000"/>
                <w:sz w:val="18"/>
                <w:szCs w:val="18"/>
                <w:lang w:eastAsia="en-US"/>
              </w:rPr>
              <w:t xml:space="preserve">16. Извършване на проверки на място </w:t>
            </w:r>
          </w:p>
        </w:tc>
        <w:tc>
          <w:tcPr>
            <w:tcW w:w="1112" w:type="dxa"/>
            <w:tcBorders>
              <w:top w:val="nil"/>
              <w:left w:val="nil"/>
              <w:bottom w:val="single" w:sz="8" w:space="0" w:color="auto"/>
              <w:right w:val="single" w:sz="8" w:space="0" w:color="auto"/>
            </w:tcBorders>
            <w:shd w:val="clear" w:color="auto" w:fill="auto"/>
            <w:vAlign w:val="center"/>
            <w:hideMark/>
          </w:tcPr>
          <w:p w14:paraId="06F36F5C"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4403DE82"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104</w:t>
            </w:r>
          </w:p>
        </w:tc>
        <w:tc>
          <w:tcPr>
            <w:tcW w:w="1698" w:type="dxa"/>
            <w:tcBorders>
              <w:top w:val="nil"/>
              <w:left w:val="nil"/>
              <w:bottom w:val="single" w:sz="8" w:space="0" w:color="auto"/>
              <w:right w:val="single" w:sz="8" w:space="0" w:color="auto"/>
            </w:tcBorders>
            <w:shd w:val="clear" w:color="auto" w:fill="auto"/>
            <w:vAlign w:val="center"/>
          </w:tcPr>
          <w:p w14:paraId="637C0302" w14:textId="7E8ED064" w:rsidR="00A23619" w:rsidRPr="00DD7DFD" w:rsidRDefault="00D32BC4" w:rsidP="00A23619">
            <w:pPr>
              <w:jc w:val="both"/>
              <w:rPr>
                <w:b/>
                <w:color w:val="000000"/>
                <w:sz w:val="20"/>
                <w:szCs w:val="20"/>
                <w:lang w:eastAsia="en-US"/>
              </w:rPr>
            </w:pPr>
            <w:r w:rsidRPr="00DD7DFD">
              <w:rPr>
                <w:b/>
                <w:color w:val="000000"/>
                <w:sz w:val="20"/>
                <w:szCs w:val="20"/>
                <w:lang w:eastAsia="en-US"/>
              </w:rPr>
              <w:t>26</w:t>
            </w:r>
          </w:p>
        </w:tc>
      </w:tr>
      <w:tr w:rsidR="00A23619" w:rsidRPr="0067298C" w14:paraId="1158ED48"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4A5F12A2" w14:textId="77777777" w:rsidR="00A23619" w:rsidRPr="00DD7DFD" w:rsidRDefault="00A23619" w:rsidP="00A23619">
            <w:pPr>
              <w:rPr>
                <w:color w:val="000000"/>
                <w:sz w:val="20"/>
                <w:szCs w:val="20"/>
                <w:lang w:eastAsia="en-US"/>
              </w:rPr>
            </w:pPr>
            <w:r w:rsidRPr="00DD7DFD">
              <w:rPr>
                <w:b/>
                <w:bCs/>
                <w:color w:val="000000"/>
                <w:sz w:val="18"/>
                <w:szCs w:val="18"/>
                <w:lang w:eastAsia="en-US"/>
              </w:rPr>
              <w:t>17. Изготвяне на анализи на финансовите пазари и преглед на рисковете на небанковия финансов сектор и прогнози относно дейността на поднадзорните лица</w:t>
            </w:r>
          </w:p>
        </w:tc>
        <w:tc>
          <w:tcPr>
            <w:tcW w:w="1112" w:type="dxa"/>
            <w:tcBorders>
              <w:top w:val="nil"/>
              <w:left w:val="nil"/>
              <w:bottom w:val="single" w:sz="8" w:space="0" w:color="auto"/>
              <w:right w:val="single" w:sz="8" w:space="0" w:color="auto"/>
            </w:tcBorders>
            <w:shd w:val="clear" w:color="auto" w:fill="auto"/>
            <w:vAlign w:val="center"/>
            <w:hideMark/>
          </w:tcPr>
          <w:p w14:paraId="3C5AA06D"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7BC94BB0"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9</w:t>
            </w:r>
          </w:p>
        </w:tc>
        <w:tc>
          <w:tcPr>
            <w:tcW w:w="1698" w:type="dxa"/>
            <w:tcBorders>
              <w:top w:val="nil"/>
              <w:left w:val="nil"/>
              <w:bottom w:val="single" w:sz="8" w:space="0" w:color="auto"/>
              <w:right w:val="single" w:sz="8" w:space="0" w:color="auto"/>
            </w:tcBorders>
            <w:shd w:val="clear" w:color="auto" w:fill="auto"/>
            <w:vAlign w:val="center"/>
          </w:tcPr>
          <w:p w14:paraId="746993D3" w14:textId="77777777" w:rsidR="00A23619" w:rsidRPr="00DD7DFD" w:rsidRDefault="00877B87" w:rsidP="00A23619">
            <w:pPr>
              <w:jc w:val="both"/>
              <w:rPr>
                <w:b/>
                <w:color w:val="000000"/>
                <w:sz w:val="20"/>
                <w:szCs w:val="20"/>
                <w:lang w:eastAsia="en-US"/>
              </w:rPr>
            </w:pPr>
            <w:r w:rsidRPr="00DD7DFD">
              <w:rPr>
                <w:b/>
                <w:color w:val="000000"/>
                <w:sz w:val="20"/>
                <w:szCs w:val="20"/>
                <w:lang w:eastAsia="en-US"/>
              </w:rPr>
              <w:t>4</w:t>
            </w:r>
          </w:p>
        </w:tc>
      </w:tr>
      <w:tr w:rsidR="00A23619" w:rsidRPr="0067298C" w14:paraId="268852CF"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1B939EBA" w14:textId="77777777" w:rsidR="00A23619" w:rsidRPr="00DD7DFD" w:rsidRDefault="00A23619" w:rsidP="00A23619">
            <w:pPr>
              <w:rPr>
                <w:color w:val="000000"/>
                <w:sz w:val="20"/>
                <w:szCs w:val="20"/>
                <w:lang w:eastAsia="en-US"/>
              </w:rPr>
            </w:pPr>
            <w:r w:rsidRPr="00DD7DFD">
              <w:rPr>
                <w:b/>
                <w:bCs/>
                <w:sz w:val="18"/>
                <w:szCs w:val="18"/>
                <w:lang w:eastAsia="en-US"/>
              </w:rPr>
              <w:t>18. Разглеждане на сигнали, жалби, запитвания или медийни публикации</w:t>
            </w:r>
          </w:p>
        </w:tc>
        <w:tc>
          <w:tcPr>
            <w:tcW w:w="1112" w:type="dxa"/>
            <w:tcBorders>
              <w:top w:val="nil"/>
              <w:left w:val="nil"/>
              <w:bottom w:val="single" w:sz="8" w:space="0" w:color="auto"/>
              <w:right w:val="single" w:sz="8" w:space="0" w:color="auto"/>
            </w:tcBorders>
            <w:shd w:val="clear" w:color="auto" w:fill="auto"/>
            <w:vAlign w:val="center"/>
            <w:hideMark/>
          </w:tcPr>
          <w:p w14:paraId="093D088F"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057E1844"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1331</w:t>
            </w:r>
          </w:p>
        </w:tc>
        <w:tc>
          <w:tcPr>
            <w:tcW w:w="1698" w:type="dxa"/>
            <w:tcBorders>
              <w:top w:val="nil"/>
              <w:left w:val="nil"/>
              <w:bottom w:val="single" w:sz="8" w:space="0" w:color="auto"/>
              <w:right w:val="single" w:sz="8" w:space="0" w:color="auto"/>
            </w:tcBorders>
            <w:shd w:val="clear" w:color="auto" w:fill="auto"/>
            <w:vAlign w:val="center"/>
          </w:tcPr>
          <w:p w14:paraId="517592AA" w14:textId="3D040369" w:rsidR="00A23619" w:rsidRPr="00DD7DFD" w:rsidRDefault="00E50C29" w:rsidP="00A23619">
            <w:pPr>
              <w:jc w:val="both"/>
              <w:rPr>
                <w:b/>
                <w:color w:val="000000"/>
                <w:sz w:val="20"/>
                <w:szCs w:val="20"/>
                <w:lang w:eastAsia="en-US"/>
              </w:rPr>
            </w:pPr>
            <w:r>
              <w:rPr>
                <w:b/>
                <w:color w:val="000000"/>
                <w:sz w:val="20"/>
                <w:szCs w:val="20"/>
                <w:lang w:eastAsia="en-US"/>
              </w:rPr>
              <w:t>734</w:t>
            </w:r>
          </w:p>
        </w:tc>
      </w:tr>
      <w:tr w:rsidR="00A23619" w:rsidRPr="0067298C" w14:paraId="6BCF551F" w14:textId="77777777" w:rsidTr="00953EC4">
        <w:trPr>
          <w:gridAfter w:val="1"/>
          <w:wAfter w:w="1268" w:type="dxa"/>
          <w:trHeight w:val="750"/>
        </w:trPr>
        <w:tc>
          <w:tcPr>
            <w:tcW w:w="5948" w:type="dxa"/>
            <w:tcBorders>
              <w:top w:val="nil"/>
              <w:left w:val="single" w:sz="8" w:space="0" w:color="auto"/>
              <w:bottom w:val="single" w:sz="8" w:space="0" w:color="auto"/>
              <w:right w:val="single" w:sz="8" w:space="0" w:color="auto"/>
            </w:tcBorders>
            <w:shd w:val="clear" w:color="auto" w:fill="auto"/>
            <w:vAlign w:val="center"/>
          </w:tcPr>
          <w:p w14:paraId="56DD9AE0" w14:textId="77777777" w:rsidR="00A23619" w:rsidRPr="00DD7DFD" w:rsidRDefault="00A23619" w:rsidP="00A23619">
            <w:pPr>
              <w:rPr>
                <w:b/>
                <w:bCs/>
                <w:color w:val="000000"/>
                <w:sz w:val="20"/>
                <w:szCs w:val="20"/>
                <w:lang w:eastAsia="en-US"/>
              </w:rPr>
            </w:pPr>
            <w:r w:rsidRPr="00DD7DFD">
              <w:rPr>
                <w:b/>
                <w:bCs/>
                <w:color w:val="000000"/>
                <w:sz w:val="18"/>
                <w:szCs w:val="18"/>
                <w:lang w:eastAsia="en-US"/>
              </w:rPr>
              <w:t>19. Сътрудничество  с  институции, браншови организации и други. Проучване на пазара на финансовите иновации, даване на консултации чрез Innovation hub</w:t>
            </w:r>
          </w:p>
        </w:tc>
        <w:tc>
          <w:tcPr>
            <w:tcW w:w="1112" w:type="dxa"/>
            <w:tcBorders>
              <w:top w:val="nil"/>
              <w:left w:val="nil"/>
              <w:bottom w:val="single" w:sz="8" w:space="0" w:color="auto"/>
              <w:right w:val="single" w:sz="8" w:space="0" w:color="auto"/>
            </w:tcBorders>
            <w:shd w:val="clear" w:color="auto" w:fill="auto"/>
            <w:vAlign w:val="center"/>
            <w:hideMark/>
          </w:tcPr>
          <w:p w14:paraId="0E8B6EC0"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16247A65" w14:textId="7021F7A4" w:rsidR="00A23619" w:rsidRPr="00DD7DFD" w:rsidRDefault="003F0975" w:rsidP="00A23619">
            <w:pPr>
              <w:jc w:val="center"/>
              <w:rPr>
                <w:b/>
                <w:color w:val="000000"/>
                <w:sz w:val="20"/>
                <w:szCs w:val="20"/>
                <w:lang w:eastAsia="en-US"/>
              </w:rPr>
            </w:pPr>
            <w:r w:rsidRPr="00DD7DFD">
              <w:rPr>
                <w:b/>
                <w:color w:val="000000"/>
                <w:sz w:val="20"/>
                <w:szCs w:val="20"/>
                <w:lang w:eastAsia="en-US"/>
              </w:rPr>
              <w:t>9</w:t>
            </w:r>
          </w:p>
        </w:tc>
        <w:tc>
          <w:tcPr>
            <w:tcW w:w="1698" w:type="dxa"/>
            <w:tcBorders>
              <w:top w:val="nil"/>
              <w:left w:val="nil"/>
              <w:bottom w:val="single" w:sz="8" w:space="0" w:color="auto"/>
              <w:right w:val="single" w:sz="8" w:space="0" w:color="auto"/>
            </w:tcBorders>
            <w:shd w:val="clear" w:color="auto" w:fill="auto"/>
            <w:vAlign w:val="center"/>
          </w:tcPr>
          <w:p w14:paraId="1078227A" w14:textId="5FA58630" w:rsidR="00A23619" w:rsidRPr="00DD7DFD" w:rsidRDefault="003F0975" w:rsidP="00A23619">
            <w:pPr>
              <w:jc w:val="both"/>
              <w:rPr>
                <w:b/>
                <w:color w:val="000000"/>
                <w:sz w:val="20"/>
                <w:szCs w:val="20"/>
                <w:lang w:eastAsia="en-US"/>
              </w:rPr>
            </w:pPr>
            <w:r w:rsidRPr="00DD7DFD">
              <w:rPr>
                <w:b/>
                <w:color w:val="000000"/>
                <w:sz w:val="20"/>
                <w:szCs w:val="20"/>
                <w:lang w:eastAsia="en-US"/>
              </w:rPr>
              <w:t>25</w:t>
            </w:r>
          </w:p>
        </w:tc>
      </w:tr>
      <w:tr w:rsidR="00A23619" w:rsidRPr="0067298C" w14:paraId="03AC28EA"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0C0165F3" w14:textId="388197F3" w:rsidR="00A23619" w:rsidRPr="00DD7DFD" w:rsidRDefault="00A23619" w:rsidP="00A23619">
            <w:pPr>
              <w:rPr>
                <w:color w:val="000000"/>
                <w:sz w:val="20"/>
                <w:szCs w:val="20"/>
                <w:lang w:eastAsia="en-US"/>
              </w:rPr>
            </w:pPr>
            <w:r w:rsidRPr="00DD7DFD">
              <w:rPr>
                <w:color w:val="000000"/>
                <w:sz w:val="18"/>
                <w:szCs w:val="18"/>
                <w:lang w:eastAsia="en-US"/>
              </w:rPr>
              <w:t>19.1</w:t>
            </w:r>
            <w:r w:rsidR="00DD1C09" w:rsidRPr="00DD7DFD">
              <w:rPr>
                <w:color w:val="000000"/>
                <w:sz w:val="18"/>
                <w:szCs w:val="18"/>
                <w:lang w:val="en-US" w:eastAsia="en-US"/>
              </w:rPr>
              <w:t>.</w:t>
            </w:r>
            <w:r w:rsidRPr="00DD7DFD">
              <w:rPr>
                <w:color w:val="000000"/>
                <w:sz w:val="18"/>
                <w:szCs w:val="18"/>
                <w:lang w:eastAsia="en-US"/>
              </w:rPr>
              <w:t xml:space="preserve"> Консултации в Innovation hub </w:t>
            </w:r>
          </w:p>
        </w:tc>
        <w:tc>
          <w:tcPr>
            <w:tcW w:w="1112" w:type="dxa"/>
            <w:tcBorders>
              <w:top w:val="nil"/>
              <w:left w:val="nil"/>
              <w:bottom w:val="single" w:sz="8" w:space="0" w:color="auto"/>
              <w:right w:val="single" w:sz="8" w:space="0" w:color="auto"/>
            </w:tcBorders>
            <w:shd w:val="clear" w:color="auto" w:fill="auto"/>
            <w:vAlign w:val="center"/>
            <w:hideMark/>
          </w:tcPr>
          <w:p w14:paraId="2CB0CD1B"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15B956A2" w14:textId="57316475" w:rsidR="00A23619" w:rsidRPr="00DD7DFD" w:rsidRDefault="00C73A6B" w:rsidP="00A23619">
            <w:pPr>
              <w:jc w:val="center"/>
              <w:rPr>
                <w:color w:val="000000"/>
                <w:sz w:val="20"/>
                <w:szCs w:val="20"/>
                <w:lang w:eastAsia="en-US"/>
              </w:rPr>
            </w:pPr>
            <w:r w:rsidRPr="00DD7DFD">
              <w:rPr>
                <w:color w:val="000000"/>
                <w:sz w:val="20"/>
                <w:szCs w:val="20"/>
                <w:lang w:eastAsia="en-US"/>
              </w:rPr>
              <w:t>4</w:t>
            </w:r>
          </w:p>
        </w:tc>
        <w:tc>
          <w:tcPr>
            <w:tcW w:w="1698" w:type="dxa"/>
            <w:tcBorders>
              <w:top w:val="nil"/>
              <w:left w:val="nil"/>
              <w:bottom w:val="single" w:sz="8" w:space="0" w:color="auto"/>
              <w:right w:val="single" w:sz="8" w:space="0" w:color="auto"/>
            </w:tcBorders>
            <w:shd w:val="clear" w:color="auto" w:fill="auto"/>
            <w:vAlign w:val="center"/>
          </w:tcPr>
          <w:p w14:paraId="023D45D2" w14:textId="501DBCA4" w:rsidR="00A23619" w:rsidRPr="00DD7DFD" w:rsidRDefault="00C73A6B" w:rsidP="00A23619">
            <w:pPr>
              <w:jc w:val="both"/>
              <w:rPr>
                <w:color w:val="000000"/>
                <w:sz w:val="20"/>
                <w:szCs w:val="20"/>
                <w:lang w:eastAsia="en-US"/>
              </w:rPr>
            </w:pPr>
            <w:r w:rsidRPr="00DD7DFD">
              <w:rPr>
                <w:color w:val="000000"/>
                <w:sz w:val="20"/>
                <w:szCs w:val="20"/>
                <w:lang w:eastAsia="en-US"/>
              </w:rPr>
              <w:t>2</w:t>
            </w:r>
          </w:p>
        </w:tc>
      </w:tr>
      <w:tr w:rsidR="00A23619" w:rsidRPr="0067298C" w14:paraId="48D38AA8" w14:textId="77777777" w:rsidTr="00953EC4">
        <w:trPr>
          <w:gridAfter w:val="1"/>
          <w:wAfter w:w="1268" w:type="dxa"/>
          <w:trHeight w:val="465"/>
        </w:trPr>
        <w:tc>
          <w:tcPr>
            <w:tcW w:w="5948" w:type="dxa"/>
            <w:tcBorders>
              <w:top w:val="nil"/>
              <w:left w:val="single" w:sz="8" w:space="0" w:color="auto"/>
              <w:bottom w:val="single" w:sz="8" w:space="0" w:color="auto"/>
              <w:right w:val="single" w:sz="8" w:space="0" w:color="auto"/>
            </w:tcBorders>
            <w:shd w:val="clear" w:color="auto" w:fill="auto"/>
            <w:vAlign w:val="center"/>
          </w:tcPr>
          <w:p w14:paraId="7EAA3F25" w14:textId="08D23471" w:rsidR="00A23619" w:rsidRPr="00DD7DFD" w:rsidRDefault="00A23619" w:rsidP="00A23619">
            <w:pPr>
              <w:rPr>
                <w:color w:val="000000"/>
                <w:sz w:val="20"/>
                <w:szCs w:val="20"/>
                <w:lang w:eastAsia="en-US"/>
              </w:rPr>
            </w:pPr>
            <w:r w:rsidRPr="00DD7DFD">
              <w:rPr>
                <w:color w:val="000000"/>
                <w:sz w:val="18"/>
                <w:szCs w:val="18"/>
                <w:lang w:eastAsia="en-US"/>
              </w:rPr>
              <w:t>19.2</w:t>
            </w:r>
            <w:r w:rsidR="00DD1C09" w:rsidRPr="00DD7DFD">
              <w:rPr>
                <w:color w:val="000000"/>
                <w:sz w:val="18"/>
                <w:szCs w:val="18"/>
                <w:lang w:val="en-US" w:eastAsia="en-US"/>
              </w:rPr>
              <w:t>.</w:t>
            </w:r>
            <w:r w:rsidRPr="00DD7DFD">
              <w:rPr>
                <w:color w:val="000000"/>
                <w:sz w:val="18"/>
                <w:szCs w:val="18"/>
                <w:lang w:eastAsia="en-US"/>
              </w:rPr>
              <w:t xml:space="preserve"> Участие във форуми и срещи</w:t>
            </w:r>
          </w:p>
        </w:tc>
        <w:tc>
          <w:tcPr>
            <w:tcW w:w="1112" w:type="dxa"/>
            <w:tcBorders>
              <w:top w:val="nil"/>
              <w:left w:val="nil"/>
              <w:bottom w:val="single" w:sz="8" w:space="0" w:color="auto"/>
              <w:right w:val="single" w:sz="8" w:space="0" w:color="auto"/>
            </w:tcBorders>
            <w:shd w:val="clear" w:color="auto" w:fill="auto"/>
            <w:vAlign w:val="center"/>
            <w:hideMark/>
          </w:tcPr>
          <w:p w14:paraId="644570BB"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5702A20E"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4</w:t>
            </w:r>
          </w:p>
        </w:tc>
        <w:tc>
          <w:tcPr>
            <w:tcW w:w="1698" w:type="dxa"/>
            <w:tcBorders>
              <w:top w:val="nil"/>
              <w:left w:val="nil"/>
              <w:bottom w:val="single" w:sz="8" w:space="0" w:color="auto"/>
              <w:right w:val="single" w:sz="8" w:space="0" w:color="auto"/>
            </w:tcBorders>
            <w:shd w:val="clear" w:color="auto" w:fill="auto"/>
            <w:vAlign w:val="center"/>
          </w:tcPr>
          <w:p w14:paraId="1B0FD10C" w14:textId="0AD1CAA5" w:rsidR="00A23619" w:rsidRPr="00DD7DFD" w:rsidRDefault="00C30C23" w:rsidP="00A23619">
            <w:pPr>
              <w:jc w:val="both"/>
              <w:rPr>
                <w:color w:val="000000"/>
                <w:sz w:val="20"/>
                <w:szCs w:val="20"/>
                <w:lang w:eastAsia="en-US"/>
              </w:rPr>
            </w:pPr>
            <w:r w:rsidRPr="00DD7DFD">
              <w:rPr>
                <w:color w:val="000000"/>
                <w:sz w:val="20"/>
                <w:szCs w:val="20"/>
                <w:lang w:eastAsia="en-US"/>
              </w:rPr>
              <w:t>9</w:t>
            </w:r>
          </w:p>
        </w:tc>
      </w:tr>
      <w:tr w:rsidR="00A23619" w:rsidRPr="0067298C" w14:paraId="59BE2DA5" w14:textId="77777777" w:rsidTr="00953EC4">
        <w:trPr>
          <w:gridAfter w:val="1"/>
          <w:wAfter w:w="1268" w:type="dxa"/>
          <w:trHeight w:val="645"/>
        </w:trPr>
        <w:tc>
          <w:tcPr>
            <w:tcW w:w="5948" w:type="dxa"/>
            <w:tcBorders>
              <w:top w:val="nil"/>
              <w:left w:val="single" w:sz="8" w:space="0" w:color="auto"/>
              <w:bottom w:val="single" w:sz="8" w:space="0" w:color="auto"/>
              <w:right w:val="single" w:sz="8" w:space="0" w:color="auto"/>
            </w:tcBorders>
            <w:shd w:val="clear" w:color="auto" w:fill="auto"/>
            <w:vAlign w:val="center"/>
          </w:tcPr>
          <w:p w14:paraId="767B2BF0" w14:textId="1A56B81C" w:rsidR="00A23619" w:rsidRPr="00DD7DFD" w:rsidRDefault="00A23619" w:rsidP="00A23619">
            <w:pPr>
              <w:rPr>
                <w:bCs/>
                <w:color w:val="000000"/>
                <w:sz w:val="18"/>
                <w:szCs w:val="18"/>
                <w:lang w:val="ru-RU"/>
              </w:rPr>
            </w:pPr>
            <w:r w:rsidRPr="00DD7DFD">
              <w:rPr>
                <w:color w:val="000000"/>
                <w:sz w:val="18"/>
                <w:szCs w:val="18"/>
                <w:lang w:eastAsia="en-US"/>
              </w:rPr>
              <w:t>19.3</w:t>
            </w:r>
            <w:r w:rsidR="00DD1C09" w:rsidRPr="00DD7DFD">
              <w:rPr>
                <w:color w:val="000000"/>
                <w:sz w:val="18"/>
                <w:szCs w:val="18"/>
                <w:lang w:val="en-US" w:eastAsia="en-US"/>
              </w:rPr>
              <w:t>.</w:t>
            </w:r>
            <w:r w:rsidRPr="00DD7DFD">
              <w:rPr>
                <w:color w:val="000000"/>
                <w:sz w:val="18"/>
                <w:szCs w:val="18"/>
                <w:lang w:eastAsia="en-US"/>
              </w:rPr>
              <w:t xml:space="preserve"> Консултации по проучване на пазара на финансовите иновации</w:t>
            </w:r>
          </w:p>
        </w:tc>
        <w:tc>
          <w:tcPr>
            <w:tcW w:w="1112" w:type="dxa"/>
            <w:tcBorders>
              <w:top w:val="nil"/>
              <w:left w:val="nil"/>
              <w:bottom w:val="single" w:sz="8" w:space="0" w:color="auto"/>
              <w:right w:val="single" w:sz="8" w:space="0" w:color="auto"/>
            </w:tcBorders>
            <w:shd w:val="clear" w:color="auto" w:fill="auto"/>
            <w:vAlign w:val="center"/>
          </w:tcPr>
          <w:p w14:paraId="6E519F61"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4C5C3C8E"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1</w:t>
            </w:r>
          </w:p>
        </w:tc>
        <w:tc>
          <w:tcPr>
            <w:tcW w:w="1698" w:type="dxa"/>
            <w:tcBorders>
              <w:top w:val="nil"/>
              <w:left w:val="nil"/>
              <w:bottom w:val="single" w:sz="8" w:space="0" w:color="auto"/>
              <w:right w:val="single" w:sz="8" w:space="0" w:color="auto"/>
            </w:tcBorders>
            <w:shd w:val="clear" w:color="auto" w:fill="auto"/>
            <w:vAlign w:val="center"/>
          </w:tcPr>
          <w:p w14:paraId="098BF838" w14:textId="53983604" w:rsidR="00A23619" w:rsidRPr="00DD7DFD" w:rsidRDefault="00FE6C0C" w:rsidP="00A23619">
            <w:pPr>
              <w:jc w:val="both"/>
              <w:rPr>
                <w:color w:val="000000"/>
                <w:sz w:val="20"/>
                <w:szCs w:val="20"/>
                <w:lang w:eastAsia="en-US"/>
              </w:rPr>
            </w:pPr>
            <w:r w:rsidRPr="00DD7DFD">
              <w:rPr>
                <w:color w:val="000000"/>
                <w:sz w:val="20"/>
                <w:szCs w:val="20"/>
                <w:lang w:eastAsia="en-US"/>
              </w:rPr>
              <w:t>14</w:t>
            </w:r>
          </w:p>
        </w:tc>
      </w:tr>
      <w:tr w:rsidR="00A23619" w:rsidRPr="0067298C" w14:paraId="3CB5BE01" w14:textId="77777777" w:rsidTr="00953EC4">
        <w:trPr>
          <w:gridAfter w:val="1"/>
          <w:wAfter w:w="1268" w:type="dxa"/>
          <w:trHeight w:val="645"/>
        </w:trPr>
        <w:tc>
          <w:tcPr>
            <w:tcW w:w="5948" w:type="dxa"/>
            <w:tcBorders>
              <w:top w:val="nil"/>
              <w:left w:val="single" w:sz="8" w:space="0" w:color="auto"/>
              <w:bottom w:val="single" w:sz="8" w:space="0" w:color="auto"/>
              <w:right w:val="single" w:sz="8" w:space="0" w:color="auto"/>
            </w:tcBorders>
            <w:shd w:val="clear" w:color="auto" w:fill="auto"/>
            <w:vAlign w:val="center"/>
          </w:tcPr>
          <w:p w14:paraId="6FEA00B5" w14:textId="77777777" w:rsidR="00A23619" w:rsidRPr="00DD7DFD" w:rsidRDefault="00A23619" w:rsidP="00A23619">
            <w:pPr>
              <w:rPr>
                <w:b/>
                <w:bCs/>
                <w:color w:val="000000"/>
                <w:sz w:val="20"/>
                <w:szCs w:val="20"/>
                <w:lang w:eastAsia="en-US"/>
              </w:rPr>
            </w:pPr>
            <w:r w:rsidRPr="00DD7DFD">
              <w:rPr>
                <w:b/>
                <w:bCs/>
                <w:sz w:val="18"/>
                <w:szCs w:val="18"/>
                <w:lang w:eastAsia="en-US"/>
              </w:rPr>
              <w:t>20. Изготвяне и  публикуване на статистическа информация, анализи и публикации относно дейността на поднадзорните на КФН лица</w:t>
            </w:r>
          </w:p>
        </w:tc>
        <w:tc>
          <w:tcPr>
            <w:tcW w:w="1112" w:type="dxa"/>
            <w:tcBorders>
              <w:top w:val="nil"/>
              <w:left w:val="nil"/>
              <w:bottom w:val="single" w:sz="8" w:space="0" w:color="auto"/>
              <w:right w:val="single" w:sz="8" w:space="0" w:color="auto"/>
            </w:tcBorders>
            <w:shd w:val="clear" w:color="auto" w:fill="auto"/>
            <w:vAlign w:val="center"/>
            <w:hideMark/>
          </w:tcPr>
          <w:p w14:paraId="7F2A23ED"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0EB124D3" w14:textId="77777777" w:rsidR="00A23619" w:rsidRPr="00DD7DFD" w:rsidRDefault="00B563DF" w:rsidP="00A23619">
            <w:pPr>
              <w:jc w:val="center"/>
              <w:rPr>
                <w:b/>
                <w:color w:val="000000"/>
                <w:sz w:val="20"/>
                <w:szCs w:val="20"/>
                <w:lang w:val="en-US" w:eastAsia="en-US"/>
              </w:rPr>
            </w:pPr>
            <w:r w:rsidRPr="00DD7DFD">
              <w:rPr>
                <w:b/>
                <w:color w:val="000000"/>
                <w:sz w:val="20"/>
                <w:szCs w:val="20"/>
                <w:lang w:val="en-US" w:eastAsia="en-US"/>
              </w:rPr>
              <w:t>67</w:t>
            </w:r>
          </w:p>
        </w:tc>
        <w:tc>
          <w:tcPr>
            <w:tcW w:w="1698" w:type="dxa"/>
            <w:tcBorders>
              <w:top w:val="nil"/>
              <w:left w:val="nil"/>
              <w:bottom w:val="single" w:sz="8" w:space="0" w:color="auto"/>
              <w:right w:val="single" w:sz="8" w:space="0" w:color="auto"/>
            </w:tcBorders>
            <w:shd w:val="clear" w:color="auto" w:fill="auto"/>
            <w:vAlign w:val="center"/>
          </w:tcPr>
          <w:p w14:paraId="3CDE7185" w14:textId="2E6CDD7D" w:rsidR="00A23619" w:rsidRPr="00DD7DFD" w:rsidRDefault="00102633" w:rsidP="00877B87">
            <w:pPr>
              <w:jc w:val="both"/>
              <w:rPr>
                <w:b/>
                <w:color w:val="000000"/>
                <w:sz w:val="20"/>
                <w:szCs w:val="20"/>
                <w:lang w:eastAsia="en-US"/>
              </w:rPr>
            </w:pPr>
            <w:r w:rsidRPr="00DD7DFD">
              <w:rPr>
                <w:b/>
                <w:color w:val="000000"/>
                <w:sz w:val="20"/>
                <w:szCs w:val="20"/>
                <w:lang w:eastAsia="en-US"/>
              </w:rPr>
              <w:t>115</w:t>
            </w:r>
          </w:p>
        </w:tc>
      </w:tr>
      <w:tr w:rsidR="00A23619" w:rsidRPr="0067298C" w14:paraId="3FFFC8D1" w14:textId="77777777" w:rsidTr="00953EC4">
        <w:trPr>
          <w:gridAfter w:val="1"/>
          <w:wAfter w:w="1268" w:type="dxa"/>
          <w:trHeight w:val="330"/>
        </w:trPr>
        <w:tc>
          <w:tcPr>
            <w:tcW w:w="5948" w:type="dxa"/>
            <w:tcBorders>
              <w:top w:val="nil"/>
              <w:left w:val="single" w:sz="8" w:space="0" w:color="auto"/>
              <w:bottom w:val="single" w:sz="8" w:space="0" w:color="auto"/>
              <w:right w:val="single" w:sz="8" w:space="0" w:color="auto"/>
            </w:tcBorders>
            <w:shd w:val="clear" w:color="auto" w:fill="auto"/>
            <w:vAlign w:val="center"/>
          </w:tcPr>
          <w:p w14:paraId="2346F92B" w14:textId="77777777" w:rsidR="00A23619" w:rsidRPr="00DD7DFD" w:rsidRDefault="00A23619" w:rsidP="00A23619">
            <w:pPr>
              <w:rPr>
                <w:color w:val="000000"/>
                <w:sz w:val="20"/>
                <w:szCs w:val="20"/>
                <w:lang w:eastAsia="en-US"/>
              </w:rPr>
            </w:pPr>
            <w:r w:rsidRPr="00DD7DFD">
              <w:rPr>
                <w:b/>
                <w:bCs/>
                <w:color w:val="000000"/>
                <w:sz w:val="18"/>
                <w:szCs w:val="18"/>
                <w:lang w:eastAsia="en-US"/>
              </w:rPr>
              <w:t>21. Дейности по възстановяване и преструктуриране на инвестиционни посредници</w:t>
            </w:r>
          </w:p>
        </w:tc>
        <w:tc>
          <w:tcPr>
            <w:tcW w:w="1112" w:type="dxa"/>
            <w:tcBorders>
              <w:top w:val="nil"/>
              <w:left w:val="nil"/>
              <w:bottom w:val="single" w:sz="8" w:space="0" w:color="auto"/>
              <w:right w:val="single" w:sz="8" w:space="0" w:color="auto"/>
            </w:tcBorders>
            <w:shd w:val="clear" w:color="auto" w:fill="auto"/>
            <w:vAlign w:val="center"/>
            <w:hideMark/>
          </w:tcPr>
          <w:p w14:paraId="74D1A110"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8" w:space="0" w:color="auto"/>
              <w:right w:val="single" w:sz="8" w:space="0" w:color="auto"/>
            </w:tcBorders>
            <w:shd w:val="clear" w:color="auto" w:fill="auto"/>
            <w:vAlign w:val="center"/>
          </w:tcPr>
          <w:p w14:paraId="291CD6BA" w14:textId="4C43E8E1" w:rsidR="00A23619" w:rsidRPr="00DD7DFD" w:rsidRDefault="0083160D" w:rsidP="00A23619">
            <w:pPr>
              <w:jc w:val="center"/>
              <w:rPr>
                <w:b/>
                <w:color w:val="000000"/>
                <w:sz w:val="20"/>
                <w:szCs w:val="20"/>
                <w:lang w:val="en-US" w:eastAsia="en-US"/>
              </w:rPr>
            </w:pPr>
            <w:r w:rsidRPr="00DD7DFD">
              <w:rPr>
                <w:b/>
                <w:color w:val="000000"/>
                <w:sz w:val="20"/>
                <w:szCs w:val="20"/>
                <w:lang w:eastAsia="en-US"/>
              </w:rPr>
              <w:t>5</w:t>
            </w:r>
            <w:r w:rsidR="00B563DF" w:rsidRPr="00DD7DFD">
              <w:rPr>
                <w:b/>
                <w:color w:val="000000"/>
                <w:sz w:val="20"/>
                <w:szCs w:val="20"/>
                <w:lang w:val="en-US" w:eastAsia="en-US"/>
              </w:rPr>
              <w:t>7</w:t>
            </w:r>
          </w:p>
        </w:tc>
        <w:tc>
          <w:tcPr>
            <w:tcW w:w="1698" w:type="dxa"/>
            <w:tcBorders>
              <w:top w:val="nil"/>
              <w:left w:val="nil"/>
              <w:bottom w:val="single" w:sz="8" w:space="0" w:color="auto"/>
              <w:right w:val="single" w:sz="8" w:space="0" w:color="auto"/>
            </w:tcBorders>
            <w:shd w:val="clear" w:color="auto" w:fill="auto"/>
            <w:vAlign w:val="center"/>
          </w:tcPr>
          <w:p w14:paraId="52667769" w14:textId="1FBF7255" w:rsidR="00A23619" w:rsidRPr="00DD7DFD" w:rsidRDefault="0083160D" w:rsidP="00A23619">
            <w:pPr>
              <w:jc w:val="both"/>
              <w:rPr>
                <w:b/>
                <w:color w:val="000000"/>
                <w:sz w:val="20"/>
                <w:szCs w:val="20"/>
                <w:lang w:eastAsia="en-US"/>
              </w:rPr>
            </w:pPr>
            <w:r w:rsidRPr="00DD7DFD">
              <w:rPr>
                <w:b/>
                <w:color w:val="000000"/>
                <w:sz w:val="20"/>
                <w:szCs w:val="20"/>
                <w:lang w:eastAsia="en-US"/>
              </w:rPr>
              <w:t>31</w:t>
            </w:r>
          </w:p>
        </w:tc>
      </w:tr>
      <w:tr w:rsidR="00A23619" w:rsidRPr="0067298C" w14:paraId="2E670180" w14:textId="77777777" w:rsidTr="00953EC4">
        <w:trPr>
          <w:gridAfter w:val="1"/>
          <w:wAfter w:w="1268" w:type="dxa"/>
          <w:trHeight w:val="330"/>
        </w:trPr>
        <w:tc>
          <w:tcPr>
            <w:tcW w:w="5948" w:type="dxa"/>
            <w:tcBorders>
              <w:top w:val="nil"/>
              <w:left w:val="single" w:sz="8" w:space="0" w:color="auto"/>
              <w:bottom w:val="single" w:sz="4" w:space="0" w:color="auto"/>
              <w:right w:val="single" w:sz="8" w:space="0" w:color="auto"/>
            </w:tcBorders>
            <w:shd w:val="clear" w:color="auto" w:fill="auto"/>
            <w:vAlign w:val="center"/>
          </w:tcPr>
          <w:p w14:paraId="52C7D350" w14:textId="77777777" w:rsidR="00A23619" w:rsidRPr="00DD7DFD" w:rsidRDefault="00A23619" w:rsidP="00A23619">
            <w:pPr>
              <w:rPr>
                <w:b/>
                <w:bCs/>
                <w:color w:val="000000"/>
                <w:sz w:val="20"/>
                <w:szCs w:val="20"/>
                <w:lang w:eastAsia="en-US"/>
              </w:rPr>
            </w:pPr>
            <w:r w:rsidRPr="00DD7DFD">
              <w:rPr>
                <w:color w:val="000000"/>
                <w:sz w:val="18"/>
                <w:szCs w:val="18"/>
                <w:lang w:eastAsia="en-US"/>
              </w:rPr>
              <w:t>21.1. Преглед на плановете за възстановяване на инвестиционните посредници както и на коригираните планове за възстановяване на инвестиционните посредници</w:t>
            </w:r>
          </w:p>
        </w:tc>
        <w:tc>
          <w:tcPr>
            <w:tcW w:w="1112" w:type="dxa"/>
            <w:tcBorders>
              <w:top w:val="nil"/>
              <w:left w:val="nil"/>
              <w:bottom w:val="single" w:sz="4" w:space="0" w:color="auto"/>
              <w:right w:val="single" w:sz="8" w:space="0" w:color="auto"/>
            </w:tcBorders>
            <w:shd w:val="clear" w:color="auto" w:fill="auto"/>
            <w:vAlign w:val="center"/>
            <w:hideMark/>
          </w:tcPr>
          <w:p w14:paraId="570298A6"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nil"/>
              <w:left w:val="nil"/>
              <w:bottom w:val="single" w:sz="4" w:space="0" w:color="auto"/>
              <w:right w:val="single" w:sz="8" w:space="0" w:color="auto"/>
            </w:tcBorders>
            <w:shd w:val="clear" w:color="auto" w:fill="auto"/>
            <w:vAlign w:val="center"/>
          </w:tcPr>
          <w:p w14:paraId="19A70A6C" w14:textId="18C2E35C" w:rsidR="00A23619" w:rsidRPr="00DD7DFD" w:rsidRDefault="00AD08DD" w:rsidP="00A23619">
            <w:pPr>
              <w:jc w:val="center"/>
              <w:rPr>
                <w:color w:val="000000"/>
                <w:sz w:val="20"/>
                <w:szCs w:val="20"/>
                <w:lang w:eastAsia="en-US"/>
              </w:rPr>
            </w:pPr>
            <w:r w:rsidRPr="00DD7DFD">
              <w:rPr>
                <w:color w:val="000000"/>
                <w:sz w:val="20"/>
                <w:szCs w:val="20"/>
                <w:lang w:eastAsia="en-US"/>
              </w:rPr>
              <w:t>19</w:t>
            </w:r>
          </w:p>
        </w:tc>
        <w:tc>
          <w:tcPr>
            <w:tcW w:w="1698" w:type="dxa"/>
            <w:tcBorders>
              <w:top w:val="nil"/>
              <w:left w:val="nil"/>
              <w:bottom w:val="single" w:sz="4" w:space="0" w:color="auto"/>
              <w:right w:val="single" w:sz="8" w:space="0" w:color="auto"/>
            </w:tcBorders>
            <w:shd w:val="clear" w:color="auto" w:fill="auto"/>
            <w:vAlign w:val="center"/>
          </w:tcPr>
          <w:p w14:paraId="38479D36" w14:textId="77777777" w:rsidR="00A23619" w:rsidRPr="00DD7DFD" w:rsidRDefault="00751CE4" w:rsidP="00A23619">
            <w:pPr>
              <w:jc w:val="both"/>
              <w:rPr>
                <w:color w:val="000000"/>
                <w:sz w:val="20"/>
                <w:szCs w:val="20"/>
                <w:lang w:eastAsia="en-US"/>
              </w:rPr>
            </w:pPr>
            <w:r w:rsidRPr="00DD7DFD">
              <w:rPr>
                <w:color w:val="000000"/>
                <w:sz w:val="20"/>
                <w:szCs w:val="20"/>
                <w:lang w:eastAsia="en-US"/>
              </w:rPr>
              <w:t>6</w:t>
            </w:r>
          </w:p>
        </w:tc>
      </w:tr>
      <w:tr w:rsidR="00A23619" w:rsidRPr="0067298C" w14:paraId="78B81044" w14:textId="77777777" w:rsidTr="00953EC4">
        <w:trPr>
          <w:gridAfter w:val="1"/>
          <w:wAfter w:w="1268" w:type="dxa"/>
          <w:trHeight w:val="465"/>
        </w:trPr>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40B16005" w14:textId="4025BD53" w:rsidR="00A23619" w:rsidRPr="00DD7DFD" w:rsidRDefault="00A23619" w:rsidP="00A23619">
            <w:pPr>
              <w:rPr>
                <w:color w:val="000000"/>
                <w:sz w:val="20"/>
                <w:szCs w:val="20"/>
                <w:lang w:eastAsia="en-US"/>
              </w:rPr>
            </w:pPr>
            <w:r w:rsidRPr="00DD7DFD">
              <w:rPr>
                <w:color w:val="000000"/>
                <w:sz w:val="18"/>
                <w:szCs w:val="18"/>
                <w:lang w:eastAsia="en-US"/>
              </w:rPr>
              <w:t>21.2</w:t>
            </w:r>
            <w:r w:rsidR="0085461E" w:rsidRPr="00DD7DFD">
              <w:rPr>
                <w:color w:val="000000"/>
                <w:sz w:val="18"/>
                <w:szCs w:val="18"/>
                <w:lang w:val="en-US" w:eastAsia="en-US"/>
              </w:rPr>
              <w:t>.</w:t>
            </w:r>
            <w:r w:rsidRPr="00DD7DFD">
              <w:rPr>
                <w:color w:val="000000"/>
                <w:sz w:val="18"/>
                <w:szCs w:val="18"/>
                <w:lang w:eastAsia="en-US"/>
              </w:rPr>
              <w:t xml:space="preserve"> Изготвяне на планове за преструктуриране</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D7575"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4FFAF2" w14:textId="0943C347" w:rsidR="00A23619" w:rsidRPr="00DD7DFD" w:rsidRDefault="00AD08DD" w:rsidP="00A23619">
            <w:pPr>
              <w:jc w:val="center"/>
              <w:rPr>
                <w:color w:val="000000"/>
                <w:sz w:val="20"/>
                <w:szCs w:val="20"/>
                <w:lang w:val="en-US" w:eastAsia="en-US"/>
              </w:rPr>
            </w:pPr>
            <w:r w:rsidRPr="00DD7DFD">
              <w:rPr>
                <w:color w:val="000000"/>
                <w:sz w:val="20"/>
                <w:szCs w:val="20"/>
                <w:lang w:val="en-US" w:eastAsia="en-US"/>
              </w:rPr>
              <w:t>19</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15AF00D" w14:textId="23902DFC" w:rsidR="00A23619" w:rsidRPr="00DD7DFD" w:rsidRDefault="00AD08DD" w:rsidP="00A23619">
            <w:pPr>
              <w:jc w:val="both"/>
              <w:rPr>
                <w:color w:val="000000"/>
                <w:sz w:val="20"/>
                <w:szCs w:val="20"/>
                <w:lang w:eastAsia="en-US"/>
              </w:rPr>
            </w:pPr>
            <w:r w:rsidRPr="00DD7DFD">
              <w:rPr>
                <w:color w:val="000000"/>
                <w:sz w:val="20"/>
                <w:szCs w:val="20"/>
                <w:lang w:eastAsia="en-US"/>
              </w:rPr>
              <w:t>6</w:t>
            </w:r>
          </w:p>
        </w:tc>
      </w:tr>
      <w:tr w:rsidR="00A23619" w:rsidRPr="0067298C" w14:paraId="62C1F24C" w14:textId="77777777" w:rsidTr="00A526E7">
        <w:trPr>
          <w:trHeight w:val="465"/>
        </w:trPr>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4854EFF9" w14:textId="77777777" w:rsidR="00A23619" w:rsidRPr="00DD7DFD" w:rsidRDefault="00A23619" w:rsidP="00A23619">
            <w:pPr>
              <w:rPr>
                <w:b/>
                <w:bCs/>
                <w:color w:val="000000"/>
                <w:sz w:val="18"/>
                <w:szCs w:val="18"/>
                <w:lang w:eastAsia="en-US"/>
              </w:rPr>
            </w:pPr>
            <w:r w:rsidRPr="00DD7DFD">
              <w:rPr>
                <w:color w:val="000000"/>
                <w:sz w:val="18"/>
                <w:szCs w:val="18"/>
                <w:lang w:eastAsia="en-US"/>
              </w:rPr>
              <w:t>21.3.  Определяне на годишни вноски на инвестиционните посредници в ФПИП</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D86F341" w14:textId="77777777" w:rsidR="00A23619" w:rsidRPr="00DD7DFD" w:rsidRDefault="00A23619" w:rsidP="00A23619">
            <w:pPr>
              <w:jc w:val="center"/>
              <w:rPr>
                <w:color w:val="000000"/>
                <w:sz w:val="20"/>
                <w:szCs w:val="20"/>
                <w:lang w:eastAsia="en-US"/>
              </w:rPr>
            </w:pPr>
            <w:r w:rsidRPr="00DD7DFD">
              <w:rPr>
                <w:color w:val="000000"/>
                <w:sz w:val="20"/>
                <w:szCs w:val="20"/>
                <w:lang w:eastAsia="en-US"/>
              </w:rPr>
              <w:t>Брой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D2EEF9D" w14:textId="77777777" w:rsidR="00A23619" w:rsidRPr="00DD7DFD" w:rsidRDefault="00B563DF" w:rsidP="00A23619">
            <w:pPr>
              <w:jc w:val="center"/>
              <w:rPr>
                <w:color w:val="000000"/>
                <w:sz w:val="20"/>
                <w:szCs w:val="20"/>
                <w:lang w:val="en-US" w:eastAsia="en-US"/>
              </w:rPr>
            </w:pPr>
            <w:r w:rsidRPr="00DD7DFD">
              <w:rPr>
                <w:color w:val="000000"/>
                <w:sz w:val="20"/>
                <w:szCs w:val="20"/>
                <w:lang w:val="en-US" w:eastAsia="en-US"/>
              </w:rPr>
              <w:t>19</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CAB1C32" w14:textId="77777777" w:rsidR="00A23619" w:rsidRPr="00DD7DFD" w:rsidRDefault="00751CE4" w:rsidP="00A23619">
            <w:pPr>
              <w:jc w:val="both"/>
              <w:rPr>
                <w:color w:val="000000"/>
                <w:sz w:val="20"/>
                <w:szCs w:val="20"/>
                <w:lang w:eastAsia="en-US"/>
              </w:rPr>
            </w:pPr>
            <w:r w:rsidRPr="00DD7DFD">
              <w:rPr>
                <w:color w:val="000000"/>
                <w:sz w:val="20"/>
                <w:szCs w:val="20"/>
                <w:lang w:eastAsia="en-US"/>
              </w:rPr>
              <w:t>19</w:t>
            </w:r>
          </w:p>
        </w:tc>
        <w:tc>
          <w:tcPr>
            <w:tcW w:w="1268" w:type="dxa"/>
            <w:vAlign w:val="bottom"/>
          </w:tcPr>
          <w:p w14:paraId="5B6592EA" w14:textId="77777777" w:rsidR="00A23619" w:rsidRPr="0067298C" w:rsidRDefault="00A23619" w:rsidP="00A23619">
            <w:pPr>
              <w:spacing w:after="160" w:line="259" w:lineRule="auto"/>
            </w:pPr>
          </w:p>
        </w:tc>
      </w:tr>
      <w:tr w:rsidR="00A23619" w:rsidRPr="0067298C" w14:paraId="2FAFBC30" w14:textId="77777777" w:rsidTr="00A526E7">
        <w:trPr>
          <w:trHeight w:val="465"/>
        </w:trPr>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45793EE7" w14:textId="77777777" w:rsidR="00A23619" w:rsidRPr="00DD7DFD" w:rsidRDefault="00A23619" w:rsidP="00A23619">
            <w:pPr>
              <w:rPr>
                <w:b/>
                <w:bCs/>
                <w:color w:val="000000"/>
                <w:sz w:val="18"/>
                <w:szCs w:val="18"/>
                <w:lang w:eastAsia="en-US"/>
              </w:rPr>
            </w:pPr>
            <w:r w:rsidRPr="00DD7DFD">
              <w:rPr>
                <w:b/>
                <w:bCs/>
                <w:color w:val="000000"/>
                <w:sz w:val="18"/>
                <w:szCs w:val="18"/>
                <w:lang w:eastAsia="en-US"/>
              </w:rPr>
              <w:t xml:space="preserve">22. Периодично отчитане дейността на КФН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76EEFF8" w14:textId="77777777" w:rsidR="00A23619" w:rsidRPr="00DD7DFD" w:rsidRDefault="00A23619" w:rsidP="00A23619">
            <w:pPr>
              <w:jc w:val="center"/>
              <w:rPr>
                <w:color w:val="000000"/>
                <w:sz w:val="18"/>
                <w:szCs w:val="18"/>
                <w:lang w:eastAsia="en-US"/>
              </w:rPr>
            </w:pPr>
            <w:r w:rsidRPr="00DD7DFD">
              <w:rPr>
                <w:color w:val="000000"/>
                <w:sz w:val="20"/>
                <w:szCs w:val="20"/>
                <w:lang w:eastAsia="en-US"/>
              </w:rPr>
              <w:t>Брой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8E4F1" w14:textId="77777777" w:rsidR="00A23619" w:rsidRPr="00DD7DFD" w:rsidRDefault="00B563DF" w:rsidP="00A23619">
            <w:pPr>
              <w:jc w:val="center"/>
              <w:rPr>
                <w:b/>
                <w:bCs/>
                <w:sz w:val="18"/>
                <w:szCs w:val="18"/>
                <w:lang w:val="en-US"/>
              </w:rPr>
            </w:pPr>
            <w:r w:rsidRPr="00DD7DFD">
              <w:rPr>
                <w:b/>
                <w:bCs/>
                <w:sz w:val="18"/>
                <w:szCs w:val="18"/>
                <w:lang w:val="en-US"/>
              </w:rPr>
              <w:t>13</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873E850" w14:textId="1D81CA2E" w:rsidR="00A23619" w:rsidRPr="00DD7DFD" w:rsidRDefault="00DD7DFD" w:rsidP="00A23619">
            <w:pPr>
              <w:jc w:val="both"/>
              <w:rPr>
                <w:b/>
                <w:bCs/>
                <w:sz w:val="18"/>
                <w:szCs w:val="18"/>
                <w:lang w:val="en-US"/>
              </w:rPr>
            </w:pPr>
            <w:r>
              <w:rPr>
                <w:b/>
                <w:bCs/>
                <w:sz w:val="18"/>
                <w:szCs w:val="18"/>
              </w:rPr>
              <w:t>7</w:t>
            </w:r>
          </w:p>
        </w:tc>
        <w:tc>
          <w:tcPr>
            <w:tcW w:w="1268" w:type="dxa"/>
            <w:vAlign w:val="bottom"/>
          </w:tcPr>
          <w:p w14:paraId="21A41B15" w14:textId="77777777" w:rsidR="00A23619" w:rsidRPr="00321044" w:rsidRDefault="00A23619" w:rsidP="00A23619">
            <w:pPr>
              <w:spacing w:after="160" w:line="259" w:lineRule="auto"/>
              <w:rPr>
                <w:b/>
                <w:bCs/>
                <w:sz w:val="18"/>
                <w:szCs w:val="18"/>
                <w:lang w:val="en-US"/>
              </w:rPr>
            </w:pPr>
          </w:p>
        </w:tc>
      </w:tr>
      <w:tr w:rsidR="00A23619" w:rsidRPr="0067298C" w14:paraId="40508C47" w14:textId="77777777" w:rsidTr="00953EC4">
        <w:trPr>
          <w:trHeight w:val="465"/>
        </w:trPr>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03D342D3" w14:textId="77777777" w:rsidR="00A23619" w:rsidRPr="00DD7DFD" w:rsidRDefault="00A23619" w:rsidP="00A23619">
            <w:pPr>
              <w:rPr>
                <w:color w:val="000000"/>
                <w:sz w:val="18"/>
                <w:szCs w:val="18"/>
                <w:lang w:eastAsia="en-US"/>
              </w:rPr>
            </w:pPr>
            <w:r w:rsidRPr="00DD7DFD">
              <w:rPr>
                <w:b/>
                <w:bCs/>
                <w:color w:val="000000"/>
                <w:sz w:val="18"/>
                <w:szCs w:val="18"/>
                <w:lang w:eastAsia="en-US"/>
              </w:rPr>
              <w:t>23. Организиране и участие в семинари, информационни кампании, образователни програми относно въпроси, свързани с функционирането на небанковия финансов сектор</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AB753C5" w14:textId="77777777" w:rsidR="00A23619" w:rsidRPr="00DD7DFD" w:rsidRDefault="00A23619" w:rsidP="00A23619">
            <w:pPr>
              <w:jc w:val="center"/>
              <w:rPr>
                <w:color w:val="000000"/>
                <w:sz w:val="18"/>
                <w:szCs w:val="18"/>
                <w:lang w:eastAsia="en-US"/>
              </w:rPr>
            </w:pPr>
            <w:r w:rsidRPr="00DD7DFD">
              <w:rPr>
                <w:color w:val="000000"/>
                <w:sz w:val="18"/>
                <w:szCs w:val="18"/>
                <w:lang w:eastAsia="en-US"/>
              </w:rPr>
              <w:t>Брой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14:paraId="46159278" w14:textId="77777777" w:rsidR="00A23619" w:rsidRPr="00DD7DFD" w:rsidRDefault="00B563DF" w:rsidP="00A23619">
            <w:pPr>
              <w:jc w:val="center"/>
              <w:rPr>
                <w:b/>
                <w:bCs/>
                <w:sz w:val="18"/>
                <w:szCs w:val="18"/>
                <w:lang w:val="en-US"/>
              </w:rPr>
            </w:pPr>
            <w:r w:rsidRPr="00DD7DFD">
              <w:rPr>
                <w:b/>
                <w:bCs/>
                <w:sz w:val="18"/>
                <w:szCs w:val="18"/>
                <w:lang w:val="en-US"/>
              </w:rPr>
              <w:t>15</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bottom"/>
          </w:tcPr>
          <w:p w14:paraId="44A0E0A2" w14:textId="17FB9D7E" w:rsidR="00A23619" w:rsidRPr="00DD7DFD" w:rsidRDefault="007C6BD5" w:rsidP="00A23619">
            <w:pPr>
              <w:jc w:val="both"/>
              <w:rPr>
                <w:b/>
                <w:bCs/>
                <w:sz w:val="18"/>
                <w:szCs w:val="18"/>
              </w:rPr>
            </w:pPr>
            <w:r w:rsidRPr="00DD7DFD">
              <w:rPr>
                <w:b/>
                <w:bCs/>
                <w:sz w:val="18"/>
                <w:szCs w:val="18"/>
              </w:rPr>
              <w:t>8</w:t>
            </w:r>
          </w:p>
        </w:tc>
        <w:tc>
          <w:tcPr>
            <w:tcW w:w="1268" w:type="dxa"/>
            <w:vAlign w:val="bottom"/>
          </w:tcPr>
          <w:p w14:paraId="6AD674ED" w14:textId="77777777" w:rsidR="00A23619" w:rsidRPr="00776AC7" w:rsidRDefault="00A23619" w:rsidP="00A23619">
            <w:pPr>
              <w:spacing w:after="160" w:line="259" w:lineRule="auto"/>
              <w:rPr>
                <w:bCs/>
                <w:sz w:val="18"/>
                <w:szCs w:val="18"/>
                <w:lang w:val="en-US"/>
              </w:rPr>
            </w:pPr>
          </w:p>
        </w:tc>
      </w:tr>
      <w:tr w:rsidR="00C94E41" w:rsidRPr="0067298C" w14:paraId="522BDDA3" w14:textId="77777777" w:rsidTr="00953EC4">
        <w:trPr>
          <w:trHeight w:val="465"/>
        </w:trPr>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6D225416" w14:textId="0BD07C69" w:rsidR="00C94E41" w:rsidRPr="00DD7DFD" w:rsidRDefault="00C94E41" w:rsidP="00C94E41">
            <w:pPr>
              <w:spacing w:line="276" w:lineRule="auto"/>
              <w:rPr>
                <w:color w:val="000000"/>
                <w:sz w:val="18"/>
                <w:szCs w:val="18"/>
                <w:lang w:eastAsia="en-US"/>
              </w:rPr>
            </w:pPr>
            <w:r w:rsidRPr="00DD7DFD">
              <w:rPr>
                <w:color w:val="000000"/>
                <w:sz w:val="18"/>
                <w:szCs w:val="18"/>
                <w:lang w:eastAsia="en-US"/>
              </w:rPr>
              <w:t>23.1</w:t>
            </w:r>
            <w:r w:rsidR="00D439D2" w:rsidRPr="00DD7DFD">
              <w:rPr>
                <w:color w:val="000000"/>
                <w:sz w:val="18"/>
                <w:szCs w:val="18"/>
                <w:lang w:val="en-US" w:eastAsia="en-US"/>
              </w:rPr>
              <w:t>.</w:t>
            </w:r>
            <w:r w:rsidRPr="00DD7DFD">
              <w:rPr>
                <w:color w:val="000000"/>
                <w:sz w:val="18"/>
                <w:szCs w:val="18"/>
                <w:lang w:eastAsia="en-US"/>
              </w:rPr>
              <w:t xml:space="preserve"> Проведени семинари</w:t>
            </w:r>
          </w:p>
          <w:p w14:paraId="5900B718" w14:textId="77777777" w:rsidR="00C94E41" w:rsidRPr="00DD7DFD" w:rsidRDefault="00C94E41" w:rsidP="00C94E41">
            <w:pPr>
              <w:rPr>
                <w:b/>
                <w:bCs/>
                <w:color w:val="000000"/>
                <w:sz w:val="18"/>
                <w:szCs w:val="18"/>
                <w:lang w:eastAsia="en-US"/>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B7CEB2A" w14:textId="77777777" w:rsidR="00C94E41" w:rsidRPr="00DD7DFD" w:rsidRDefault="00C94E41" w:rsidP="00C94E41">
            <w:pPr>
              <w:jc w:val="center"/>
              <w:rPr>
                <w:color w:val="000000"/>
                <w:sz w:val="18"/>
                <w:szCs w:val="18"/>
                <w:lang w:eastAsia="en-US"/>
              </w:rPr>
            </w:pPr>
            <w:r w:rsidRPr="00DD7DFD">
              <w:rPr>
                <w:color w:val="000000"/>
                <w:sz w:val="18"/>
                <w:szCs w:val="18"/>
                <w:lang w:eastAsia="en-US"/>
              </w:rPr>
              <w:t>Брой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14:paraId="52565CC2" w14:textId="582388FB" w:rsidR="00C94E41" w:rsidRPr="00DD7DFD" w:rsidRDefault="00672350" w:rsidP="00C94E41">
            <w:pPr>
              <w:jc w:val="center"/>
              <w:rPr>
                <w:bCs/>
                <w:sz w:val="18"/>
                <w:szCs w:val="18"/>
                <w:lang w:val="en-US"/>
              </w:rPr>
            </w:pPr>
            <w:r w:rsidRPr="00DD7DFD">
              <w:rPr>
                <w:bCs/>
                <w:sz w:val="18"/>
                <w:szCs w:val="18"/>
                <w:lang w:val="en-US"/>
              </w:rPr>
              <w:t>3</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bottom"/>
          </w:tcPr>
          <w:p w14:paraId="563168A6" w14:textId="464B7EC2" w:rsidR="00C94E41" w:rsidRPr="00DD7DFD" w:rsidRDefault="00672350" w:rsidP="00C94E41">
            <w:pPr>
              <w:jc w:val="both"/>
              <w:rPr>
                <w:bCs/>
                <w:sz w:val="18"/>
                <w:szCs w:val="18"/>
              </w:rPr>
            </w:pPr>
            <w:r w:rsidRPr="00DD7DFD">
              <w:rPr>
                <w:bCs/>
                <w:sz w:val="18"/>
                <w:szCs w:val="18"/>
              </w:rPr>
              <w:t>2</w:t>
            </w:r>
          </w:p>
        </w:tc>
        <w:tc>
          <w:tcPr>
            <w:tcW w:w="1268" w:type="dxa"/>
            <w:vAlign w:val="bottom"/>
          </w:tcPr>
          <w:p w14:paraId="408890E8" w14:textId="77777777" w:rsidR="00C94E41" w:rsidRPr="00776AC7" w:rsidRDefault="00C94E41" w:rsidP="00C94E41">
            <w:pPr>
              <w:spacing w:after="160" w:line="259" w:lineRule="auto"/>
              <w:rPr>
                <w:bCs/>
                <w:sz w:val="18"/>
                <w:szCs w:val="18"/>
                <w:lang w:val="en-US"/>
              </w:rPr>
            </w:pPr>
          </w:p>
        </w:tc>
      </w:tr>
      <w:tr w:rsidR="00C94E41" w:rsidRPr="0067298C" w14:paraId="31B1631B" w14:textId="77777777" w:rsidTr="00953EC4">
        <w:trPr>
          <w:trHeight w:val="465"/>
        </w:trPr>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77E28962" w14:textId="7CCF5A7A" w:rsidR="00C94E41" w:rsidRPr="00DD7DFD" w:rsidRDefault="00C94E41" w:rsidP="00C94E41">
            <w:pPr>
              <w:spacing w:line="276" w:lineRule="auto"/>
              <w:rPr>
                <w:color w:val="000000"/>
                <w:sz w:val="18"/>
                <w:szCs w:val="18"/>
                <w:lang w:eastAsia="en-US"/>
              </w:rPr>
            </w:pPr>
            <w:r w:rsidRPr="00DD7DFD">
              <w:rPr>
                <w:color w:val="000000"/>
                <w:sz w:val="18"/>
                <w:szCs w:val="18"/>
                <w:lang w:eastAsia="en-US"/>
              </w:rPr>
              <w:t>23.2</w:t>
            </w:r>
            <w:r w:rsidR="00D439D2" w:rsidRPr="00DD7DFD">
              <w:rPr>
                <w:color w:val="000000"/>
                <w:sz w:val="18"/>
                <w:szCs w:val="18"/>
                <w:lang w:val="en-US" w:eastAsia="en-US"/>
              </w:rPr>
              <w:t>.</w:t>
            </w:r>
            <w:r w:rsidRPr="00DD7DFD">
              <w:rPr>
                <w:color w:val="000000"/>
                <w:sz w:val="18"/>
                <w:szCs w:val="18"/>
                <w:lang w:eastAsia="en-US"/>
              </w:rPr>
              <w:t xml:space="preserve"> Изготвени информационни образователни материали</w:t>
            </w:r>
          </w:p>
          <w:p w14:paraId="48BD6645" w14:textId="77777777" w:rsidR="00C94E41" w:rsidRPr="00DD7DFD" w:rsidRDefault="00C94E41" w:rsidP="00C94E41">
            <w:pPr>
              <w:spacing w:line="276" w:lineRule="auto"/>
              <w:rPr>
                <w:color w:val="000000"/>
                <w:sz w:val="18"/>
                <w:szCs w:val="18"/>
                <w:lang w:eastAsia="en-US"/>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5092DAD" w14:textId="77777777" w:rsidR="00C94E41" w:rsidRPr="00DD7DFD" w:rsidRDefault="00C94E41" w:rsidP="00C94E41">
            <w:pPr>
              <w:jc w:val="center"/>
              <w:rPr>
                <w:color w:val="000000"/>
                <w:sz w:val="18"/>
                <w:szCs w:val="18"/>
                <w:lang w:eastAsia="en-US"/>
              </w:rPr>
            </w:pPr>
            <w:r w:rsidRPr="00DD7DFD">
              <w:rPr>
                <w:color w:val="000000"/>
                <w:sz w:val="18"/>
                <w:szCs w:val="18"/>
                <w:lang w:eastAsia="en-US"/>
              </w:rPr>
              <w:t>Брой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14:paraId="6C29F9B2" w14:textId="0A16637B" w:rsidR="00C94E41" w:rsidRPr="00DD7DFD" w:rsidRDefault="00672350" w:rsidP="00C94E41">
            <w:pPr>
              <w:jc w:val="center"/>
              <w:rPr>
                <w:bCs/>
                <w:sz w:val="18"/>
                <w:szCs w:val="18"/>
                <w:lang w:val="en-US"/>
              </w:rPr>
            </w:pPr>
            <w:r w:rsidRPr="00DD7DFD">
              <w:rPr>
                <w:bCs/>
                <w:sz w:val="18"/>
                <w:szCs w:val="18"/>
                <w:lang w:val="en-US"/>
              </w:rPr>
              <w:t>12</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bottom"/>
          </w:tcPr>
          <w:p w14:paraId="215D162E" w14:textId="6D7FCAA4" w:rsidR="00C94E41" w:rsidRPr="00DD7DFD" w:rsidRDefault="00672350" w:rsidP="00C94E41">
            <w:pPr>
              <w:jc w:val="both"/>
              <w:rPr>
                <w:bCs/>
                <w:sz w:val="18"/>
                <w:szCs w:val="18"/>
              </w:rPr>
            </w:pPr>
            <w:r w:rsidRPr="00DD7DFD">
              <w:rPr>
                <w:bCs/>
                <w:sz w:val="18"/>
                <w:szCs w:val="18"/>
              </w:rPr>
              <w:t>6</w:t>
            </w:r>
          </w:p>
        </w:tc>
        <w:tc>
          <w:tcPr>
            <w:tcW w:w="1268" w:type="dxa"/>
            <w:vAlign w:val="bottom"/>
          </w:tcPr>
          <w:p w14:paraId="0B28A793" w14:textId="77777777" w:rsidR="00C94E41" w:rsidRPr="00776AC7" w:rsidRDefault="00C94E41" w:rsidP="00C94E41">
            <w:pPr>
              <w:spacing w:after="160" w:line="259" w:lineRule="auto"/>
              <w:rPr>
                <w:bCs/>
                <w:sz w:val="18"/>
                <w:szCs w:val="18"/>
                <w:lang w:val="en-US"/>
              </w:rPr>
            </w:pPr>
          </w:p>
        </w:tc>
      </w:tr>
    </w:tbl>
    <w:p w14:paraId="7D33DF31" w14:textId="77777777" w:rsidR="00800E57" w:rsidRPr="0067298C" w:rsidRDefault="00800E57" w:rsidP="00A035B2">
      <w:pPr>
        <w:pStyle w:val="Subtitle"/>
        <w:spacing w:after="0" w:line="240" w:lineRule="auto"/>
        <w:ind w:left="720" w:right="-28"/>
        <w:jc w:val="both"/>
        <w:rPr>
          <w:rFonts w:cs="Times New Roman"/>
          <w:bCs/>
          <w:color w:val="000000"/>
          <w:sz w:val="20"/>
          <w:szCs w:val="20"/>
        </w:rPr>
      </w:pPr>
    </w:p>
    <w:p w14:paraId="4A065994" w14:textId="77777777" w:rsidR="00800E57" w:rsidRPr="00B164E6" w:rsidRDefault="00800E57" w:rsidP="005A1317">
      <w:pPr>
        <w:pStyle w:val="Heading2"/>
        <w:jc w:val="both"/>
      </w:pPr>
      <w:bookmarkStart w:id="76" w:name="_Toc206148627"/>
      <w:r w:rsidRPr="00B164E6">
        <w:lastRenderedPageBreak/>
        <w:t>г) Описание на факторите и причините, оказали въздействие върху непостигането на планира</w:t>
      </w:r>
      <w:r w:rsidR="00036EFB" w:rsidRPr="00B164E6">
        <w:t>ните/заявените целеви стойности</w:t>
      </w:r>
      <w:bookmarkEnd w:id="76"/>
    </w:p>
    <w:p w14:paraId="70A7697D" w14:textId="77777777" w:rsidR="00C94E41" w:rsidRPr="00287218" w:rsidRDefault="00C94E41" w:rsidP="005A1317">
      <w:pPr>
        <w:pStyle w:val="Heading2"/>
        <w:jc w:val="both"/>
        <w:rPr>
          <w:b w:val="0"/>
          <w:color w:val="auto"/>
          <w:sz w:val="24"/>
          <w:szCs w:val="24"/>
        </w:rPr>
      </w:pPr>
      <w:r>
        <w:rPr>
          <w:b w:val="0"/>
          <w:color w:val="auto"/>
          <w:sz w:val="24"/>
          <w:szCs w:val="24"/>
        </w:rPr>
        <w:tab/>
      </w:r>
      <w:bookmarkStart w:id="77" w:name="_Toc206148628"/>
      <w:r w:rsidRPr="00287218">
        <w:rPr>
          <w:b w:val="0"/>
          <w:color w:val="auto"/>
          <w:sz w:val="24"/>
          <w:szCs w:val="24"/>
        </w:rPr>
        <w:t>За периода, при изпълнението на поставените цели не са идентифицирани фактори и причини, влияещи върху неизпълнението им.</w:t>
      </w:r>
      <w:bookmarkEnd w:id="77"/>
    </w:p>
    <w:p w14:paraId="6186E1BC" w14:textId="77777777" w:rsidR="00800E57" w:rsidRPr="00ED1E5F" w:rsidRDefault="00800E57" w:rsidP="005A1317">
      <w:pPr>
        <w:pStyle w:val="Heading2"/>
        <w:jc w:val="both"/>
      </w:pPr>
      <w:bookmarkStart w:id="78" w:name="_Toc206148629"/>
      <w:r w:rsidRPr="00287218">
        <w:t>д) Отчет на р</w:t>
      </w:r>
      <w:r w:rsidRPr="00ED1E5F">
        <w:t>азходите по бюджетна програма „Подобряване на регулацията и надзора на небанковия финансов сектор“</w:t>
      </w:r>
      <w:bookmarkEnd w:id="78"/>
    </w:p>
    <w:p w14:paraId="0E8ED6EC" w14:textId="77777777" w:rsidR="000961D7" w:rsidRPr="00ED1E5F" w:rsidRDefault="000961D7" w:rsidP="00B177C8">
      <w:pPr>
        <w:pStyle w:val="Subtitle"/>
        <w:spacing w:after="0" w:line="276" w:lineRule="auto"/>
        <w:ind w:left="720" w:right="-28"/>
        <w:jc w:val="both"/>
        <w:rPr>
          <w:color w:val="000000"/>
          <w:sz w:val="24"/>
        </w:rPr>
      </w:pPr>
    </w:p>
    <w:p w14:paraId="18D7C53F" w14:textId="77777777" w:rsidR="007D22B4" w:rsidRPr="00ED1E5F" w:rsidRDefault="007D22B4" w:rsidP="00C04351">
      <w:pPr>
        <w:jc w:val="both"/>
      </w:pPr>
      <w:r w:rsidRPr="00ED1E5F">
        <w:rPr>
          <w:b/>
        </w:rPr>
        <w:t>Приложение № 7</w:t>
      </w:r>
      <w:r w:rsidRPr="00ED1E5F">
        <w:t xml:space="preserve"> – Отчет на разходите по бюджетните програми с разпределение на ведомствени и администрирани разходи</w:t>
      </w:r>
    </w:p>
    <w:tbl>
      <w:tblPr>
        <w:tblW w:w="9719" w:type="dxa"/>
        <w:tblLook w:val="04A0" w:firstRow="1" w:lastRow="0" w:firstColumn="1" w:lastColumn="0" w:noHBand="0" w:noVBand="1"/>
      </w:tblPr>
      <w:tblGrid>
        <w:gridCol w:w="645"/>
        <w:gridCol w:w="5162"/>
        <w:gridCol w:w="1418"/>
        <w:gridCol w:w="1350"/>
        <w:gridCol w:w="1144"/>
      </w:tblGrid>
      <w:tr w:rsidR="00CD75D4" w:rsidRPr="00ED1E5F" w14:paraId="00FFA787" w14:textId="77777777" w:rsidTr="00010E75">
        <w:trPr>
          <w:trHeight w:val="1369"/>
        </w:trPr>
        <w:tc>
          <w:tcPr>
            <w:tcW w:w="645" w:type="dxa"/>
            <w:tcBorders>
              <w:top w:val="single" w:sz="4" w:space="0" w:color="auto"/>
              <w:left w:val="single" w:sz="4" w:space="0" w:color="auto"/>
              <w:bottom w:val="single" w:sz="4" w:space="0" w:color="auto"/>
              <w:right w:val="single" w:sz="4" w:space="0" w:color="auto"/>
            </w:tcBorders>
            <w:shd w:val="clear" w:color="D9D9D9" w:fill="E6E6E6"/>
            <w:noWrap/>
            <w:vAlign w:val="center"/>
            <w:hideMark/>
          </w:tcPr>
          <w:p w14:paraId="7080DC2D" w14:textId="77777777" w:rsidR="00CD75D4" w:rsidRPr="00ED1E5F" w:rsidRDefault="00CD75D4" w:rsidP="00CD75D4">
            <w:pPr>
              <w:spacing w:line="276" w:lineRule="auto"/>
              <w:jc w:val="center"/>
              <w:rPr>
                <w:b/>
                <w:bCs/>
                <w:sz w:val="20"/>
                <w:szCs w:val="20"/>
                <w:lang w:eastAsia="en-US"/>
              </w:rPr>
            </w:pPr>
            <w:r w:rsidRPr="00ED1E5F">
              <w:rPr>
                <w:b/>
                <w:bCs/>
                <w:sz w:val="20"/>
                <w:szCs w:val="20"/>
                <w:lang w:eastAsia="en-US"/>
              </w:rPr>
              <w:t>№</w:t>
            </w:r>
          </w:p>
        </w:tc>
        <w:tc>
          <w:tcPr>
            <w:tcW w:w="5162" w:type="dxa"/>
            <w:tcBorders>
              <w:top w:val="single" w:sz="4" w:space="0" w:color="auto"/>
              <w:left w:val="nil"/>
              <w:bottom w:val="single" w:sz="4" w:space="0" w:color="auto"/>
              <w:right w:val="single" w:sz="4" w:space="0" w:color="auto"/>
            </w:tcBorders>
            <w:shd w:val="clear" w:color="D9D9D9" w:fill="E6E6E6"/>
            <w:vAlign w:val="center"/>
            <w:hideMark/>
          </w:tcPr>
          <w:p w14:paraId="1A8BA0F6" w14:textId="7E2DA1CA" w:rsidR="00CD75D4" w:rsidRPr="00ED1E5F" w:rsidRDefault="00CD75D4" w:rsidP="00CD75D4">
            <w:pPr>
              <w:spacing w:line="276" w:lineRule="auto"/>
              <w:jc w:val="center"/>
              <w:rPr>
                <w:b/>
                <w:bCs/>
                <w:sz w:val="20"/>
                <w:szCs w:val="20"/>
                <w:lang w:eastAsia="en-US"/>
              </w:rPr>
            </w:pPr>
            <w:r w:rsidRPr="00ED1E5F">
              <w:rPr>
                <w:b/>
                <w:bCs/>
                <w:sz w:val="20"/>
                <w:szCs w:val="20"/>
                <w:lang w:eastAsia="en-US"/>
              </w:rPr>
              <w:t>4700.01.01 Бюджетна програма „Подобряване на регулацията и надзор</w:t>
            </w:r>
            <w:r w:rsidR="002B1969" w:rsidRPr="00ED1E5F">
              <w:rPr>
                <w:b/>
                <w:bCs/>
                <w:sz w:val="20"/>
                <w:szCs w:val="20"/>
                <w:lang w:eastAsia="en-US"/>
              </w:rPr>
              <w:t>а на небанковия финансов сектор“</w:t>
            </w:r>
            <w:r w:rsidRPr="00ED1E5F">
              <w:rPr>
                <w:b/>
                <w:bCs/>
                <w:sz w:val="20"/>
                <w:szCs w:val="20"/>
                <w:lang w:eastAsia="en-US"/>
              </w:rPr>
              <w:br/>
              <w:t>(в лева)</w:t>
            </w:r>
          </w:p>
        </w:tc>
        <w:tc>
          <w:tcPr>
            <w:tcW w:w="1418" w:type="dxa"/>
            <w:tcBorders>
              <w:top w:val="single" w:sz="4" w:space="0" w:color="auto"/>
              <w:left w:val="nil"/>
              <w:bottom w:val="single" w:sz="4" w:space="0" w:color="auto"/>
              <w:right w:val="single" w:sz="4" w:space="0" w:color="auto"/>
            </w:tcBorders>
            <w:shd w:val="clear" w:color="D9D9D9" w:fill="E6E6E6"/>
            <w:vAlign w:val="center"/>
            <w:hideMark/>
          </w:tcPr>
          <w:p w14:paraId="79AAC585" w14:textId="77777777" w:rsidR="00CD75D4" w:rsidRPr="00ED1E5F" w:rsidRDefault="00CD75D4" w:rsidP="00CD75D4">
            <w:pPr>
              <w:spacing w:line="276" w:lineRule="auto"/>
              <w:jc w:val="center"/>
              <w:rPr>
                <w:b/>
                <w:bCs/>
                <w:sz w:val="20"/>
                <w:szCs w:val="20"/>
                <w:lang w:eastAsia="en-US"/>
              </w:rPr>
            </w:pPr>
            <w:r w:rsidRPr="00ED1E5F">
              <w:rPr>
                <w:b/>
                <w:bCs/>
                <w:sz w:val="20"/>
                <w:szCs w:val="20"/>
                <w:lang w:eastAsia="en-US"/>
              </w:rPr>
              <w:t>Закон</w:t>
            </w:r>
          </w:p>
        </w:tc>
        <w:tc>
          <w:tcPr>
            <w:tcW w:w="1350" w:type="dxa"/>
            <w:tcBorders>
              <w:top w:val="single" w:sz="4" w:space="0" w:color="auto"/>
              <w:left w:val="nil"/>
              <w:bottom w:val="single" w:sz="4" w:space="0" w:color="auto"/>
              <w:right w:val="single" w:sz="4" w:space="0" w:color="auto"/>
            </w:tcBorders>
            <w:shd w:val="clear" w:color="D9D9D9" w:fill="E6E6E6"/>
            <w:vAlign w:val="center"/>
            <w:hideMark/>
          </w:tcPr>
          <w:p w14:paraId="27687C73" w14:textId="77777777" w:rsidR="00CD75D4" w:rsidRPr="00ED1E5F" w:rsidRDefault="00CD75D4" w:rsidP="00CD75D4">
            <w:pPr>
              <w:spacing w:line="276" w:lineRule="auto"/>
              <w:jc w:val="center"/>
              <w:rPr>
                <w:b/>
                <w:bCs/>
                <w:sz w:val="20"/>
                <w:szCs w:val="20"/>
                <w:lang w:eastAsia="en-US"/>
              </w:rPr>
            </w:pPr>
            <w:r w:rsidRPr="00ED1E5F">
              <w:rPr>
                <w:b/>
                <w:bCs/>
                <w:sz w:val="20"/>
                <w:szCs w:val="20"/>
                <w:lang w:eastAsia="en-US"/>
              </w:rPr>
              <w:t>Уточнен план</w:t>
            </w:r>
          </w:p>
        </w:tc>
        <w:tc>
          <w:tcPr>
            <w:tcW w:w="1144" w:type="dxa"/>
            <w:tcBorders>
              <w:top w:val="single" w:sz="4" w:space="0" w:color="auto"/>
              <w:left w:val="nil"/>
              <w:bottom w:val="single" w:sz="4" w:space="0" w:color="auto"/>
              <w:right w:val="single" w:sz="4" w:space="0" w:color="auto"/>
            </w:tcBorders>
            <w:shd w:val="clear" w:color="D9D9D9" w:fill="E6E6E6"/>
            <w:vAlign w:val="center"/>
            <w:hideMark/>
          </w:tcPr>
          <w:p w14:paraId="6E7B0870" w14:textId="77777777" w:rsidR="00CD75D4" w:rsidRPr="00ED1E5F" w:rsidRDefault="00CD75D4" w:rsidP="00CD75D4">
            <w:pPr>
              <w:spacing w:line="276" w:lineRule="auto"/>
              <w:jc w:val="center"/>
              <w:rPr>
                <w:b/>
                <w:bCs/>
                <w:sz w:val="20"/>
                <w:szCs w:val="20"/>
                <w:lang w:eastAsia="en-US"/>
              </w:rPr>
            </w:pPr>
            <w:r w:rsidRPr="00ED1E5F">
              <w:rPr>
                <w:b/>
                <w:bCs/>
                <w:sz w:val="20"/>
                <w:szCs w:val="20"/>
                <w:lang w:eastAsia="en-US"/>
              </w:rPr>
              <w:t>Отчет</w:t>
            </w:r>
          </w:p>
        </w:tc>
      </w:tr>
      <w:tr w:rsidR="00CD75D4" w:rsidRPr="00ED1E5F" w14:paraId="7CD1EA21" w14:textId="77777777" w:rsidTr="00010E75">
        <w:trPr>
          <w:trHeight w:val="376"/>
        </w:trPr>
        <w:tc>
          <w:tcPr>
            <w:tcW w:w="645" w:type="dxa"/>
            <w:tcBorders>
              <w:top w:val="nil"/>
              <w:left w:val="single" w:sz="4" w:space="0" w:color="auto"/>
              <w:bottom w:val="single" w:sz="4" w:space="0" w:color="auto"/>
              <w:right w:val="single" w:sz="4" w:space="0" w:color="auto"/>
            </w:tcBorders>
            <w:shd w:val="clear" w:color="D9D9D9" w:fill="E6E6E6"/>
            <w:noWrap/>
            <w:vAlign w:val="bottom"/>
            <w:hideMark/>
          </w:tcPr>
          <w:p w14:paraId="6ACA9CD0" w14:textId="77777777" w:rsidR="00CD75D4" w:rsidRPr="00ED1E5F" w:rsidRDefault="00CD75D4" w:rsidP="00CD75D4">
            <w:pPr>
              <w:spacing w:line="276" w:lineRule="auto"/>
              <w:jc w:val="both"/>
              <w:rPr>
                <w:b/>
                <w:bCs/>
                <w:sz w:val="20"/>
                <w:szCs w:val="20"/>
                <w:lang w:eastAsia="en-US"/>
              </w:rPr>
            </w:pPr>
            <w:r w:rsidRPr="00ED1E5F">
              <w:rPr>
                <w:b/>
                <w:bCs/>
                <w:sz w:val="20"/>
                <w:szCs w:val="20"/>
                <w:lang w:eastAsia="en-US"/>
              </w:rPr>
              <w:t>І.</w:t>
            </w:r>
          </w:p>
        </w:tc>
        <w:tc>
          <w:tcPr>
            <w:tcW w:w="5162" w:type="dxa"/>
            <w:tcBorders>
              <w:top w:val="nil"/>
              <w:left w:val="nil"/>
              <w:bottom w:val="single" w:sz="4" w:space="0" w:color="auto"/>
              <w:right w:val="single" w:sz="4" w:space="0" w:color="auto"/>
            </w:tcBorders>
            <w:shd w:val="clear" w:color="D9D9D9" w:fill="E6E6E6"/>
            <w:noWrap/>
            <w:vAlign w:val="bottom"/>
            <w:hideMark/>
          </w:tcPr>
          <w:p w14:paraId="79EECF4C" w14:textId="77777777" w:rsidR="00CD75D4" w:rsidRPr="00ED1E5F" w:rsidRDefault="00CD75D4" w:rsidP="00CD75D4">
            <w:pPr>
              <w:spacing w:line="276" w:lineRule="auto"/>
              <w:rPr>
                <w:b/>
                <w:bCs/>
                <w:sz w:val="20"/>
                <w:szCs w:val="20"/>
                <w:lang w:eastAsia="en-US"/>
              </w:rPr>
            </w:pPr>
            <w:r w:rsidRPr="00ED1E5F">
              <w:rPr>
                <w:b/>
                <w:bCs/>
                <w:sz w:val="20"/>
                <w:szCs w:val="20"/>
                <w:lang w:eastAsia="en-US"/>
              </w:rPr>
              <w:t>Общо ведомствени разходи:</w:t>
            </w:r>
          </w:p>
        </w:tc>
        <w:tc>
          <w:tcPr>
            <w:tcW w:w="1418" w:type="dxa"/>
            <w:tcBorders>
              <w:top w:val="nil"/>
              <w:left w:val="nil"/>
              <w:bottom w:val="single" w:sz="4" w:space="0" w:color="auto"/>
              <w:right w:val="single" w:sz="4" w:space="0" w:color="auto"/>
            </w:tcBorders>
            <w:shd w:val="clear" w:color="D9D9D9" w:fill="E6E6E6"/>
            <w:noWrap/>
            <w:vAlign w:val="bottom"/>
            <w:hideMark/>
          </w:tcPr>
          <w:p w14:paraId="59938607" w14:textId="77777777" w:rsidR="00CD75D4" w:rsidRPr="00ED1E5F" w:rsidRDefault="00CD75D4" w:rsidP="00CD75D4">
            <w:pPr>
              <w:spacing w:line="276" w:lineRule="auto"/>
              <w:jc w:val="right"/>
              <w:rPr>
                <w:b/>
                <w:bCs/>
                <w:sz w:val="20"/>
                <w:szCs w:val="20"/>
                <w:lang w:val="en-US" w:eastAsia="en-US"/>
              </w:rPr>
            </w:pPr>
            <w:r w:rsidRPr="00ED1E5F">
              <w:rPr>
                <w:b/>
                <w:bCs/>
                <w:sz w:val="20"/>
                <w:szCs w:val="20"/>
              </w:rPr>
              <w:t>28 038 300</w:t>
            </w:r>
          </w:p>
        </w:tc>
        <w:tc>
          <w:tcPr>
            <w:tcW w:w="1350" w:type="dxa"/>
            <w:tcBorders>
              <w:top w:val="nil"/>
              <w:left w:val="nil"/>
              <w:bottom w:val="single" w:sz="4" w:space="0" w:color="auto"/>
              <w:right w:val="single" w:sz="4" w:space="0" w:color="auto"/>
            </w:tcBorders>
            <w:shd w:val="clear" w:color="D9D9D9" w:fill="E6E6E6"/>
            <w:noWrap/>
            <w:vAlign w:val="bottom"/>
            <w:hideMark/>
          </w:tcPr>
          <w:p w14:paraId="0B899848" w14:textId="77777777" w:rsidR="00CD75D4" w:rsidRPr="00ED1E5F" w:rsidRDefault="00CD75D4" w:rsidP="00CD75D4">
            <w:pPr>
              <w:spacing w:line="276" w:lineRule="auto"/>
              <w:jc w:val="right"/>
              <w:rPr>
                <w:b/>
                <w:bCs/>
                <w:sz w:val="20"/>
                <w:szCs w:val="20"/>
                <w:lang w:val="en-US" w:eastAsia="en-US"/>
              </w:rPr>
            </w:pPr>
            <w:r w:rsidRPr="00ED1E5F">
              <w:rPr>
                <w:b/>
                <w:bCs/>
                <w:sz w:val="20"/>
                <w:szCs w:val="20"/>
                <w:lang w:eastAsia="en-US"/>
              </w:rPr>
              <w:t>28 038 300</w:t>
            </w:r>
          </w:p>
        </w:tc>
        <w:tc>
          <w:tcPr>
            <w:tcW w:w="1144" w:type="dxa"/>
            <w:tcBorders>
              <w:top w:val="nil"/>
              <w:left w:val="nil"/>
              <w:bottom w:val="single" w:sz="4" w:space="0" w:color="auto"/>
              <w:right w:val="single" w:sz="4" w:space="0" w:color="auto"/>
            </w:tcBorders>
            <w:shd w:val="clear" w:color="D9D9D9" w:fill="E6E6E6"/>
            <w:noWrap/>
            <w:vAlign w:val="bottom"/>
            <w:hideMark/>
          </w:tcPr>
          <w:p w14:paraId="38A3BE8D" w14:textId="77777777" w:rsidR="00CD75D4" w:rsidRPr="00ED1E5F" w:rsidRDefault="00CD75D4" w:rsidP="00CD75D4">
            <w:pPr>
              <w:spacing w:line="276" w:lineRule="auto"/>
              <w:jc w:val="right"/>
              <w:rPr>
                <w:b/>
                <w:bCs/>
                <w:sz w:val="20"/>
                <w:szCs w:val="20"/>
                <w:lang w:eastAsia="en-US"/>
              </w:rPr>
            </w:pPr>
            <w:r w:rsidRPr="00ED1E5F">
              <w:rPr>
                <w:b/>
                <w:bCs/>
                <w:sz w:val="20"/>
                <w:szCs w:val="20"/>
              </w:rPr>
              <w:t>10 889 386</w:t>
            </w:r>
          </w:p>
        </w:tc>
      </w:tr>
      <w:tr w:rsidR="00CD75D4" w:rsidRPr="00ED1E5F" w14:paraId="2BB4738C" w14:textId="77777777" w:rsidTr="00010E75">
        <w:trPr>
          <w:trHeight w:val="25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C0FFC10"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2C459FE5" w14:textId="77777777" w:rsidR="00CD75D4" w:rsidRPr="00ED1E5F" w:rsidRDefault="00CD75D4" w:rsidP="00CD75D4">
            <w:pPr>
              <w:spacing w:line="276" w:lineRule="auto"/>
              <w:rPr>
                <w:sz w:val="20"/>
                <w:szCs w:val="20"/>
                <w:lang w:eastAsia="en-US"/>
              </w:rPr>
            </w:pPr>
            <w:r w:rsidRPr="00ED1E5F">
              <w:rPr>
                <w:sz w:val="20"/>
                <w:szCs w:val="20"/>
                <w:lang w:eastAsia="en-US"/>
              </w:rPr>
              <w:t xml:space="preserve">   Персонал</w:t>
            </w:r>
          </w:p>
        </w:tc>
        <w:tc>
          <w:tcPr>
            <w:tcW w:w="1418" w:type="dxa"/>
            <w:tcBorders>
              <w:top w:val="nil"/>
              <w:left w:val="nil"/>
              <w:bottom w:val="single" w:sz="4" w:space="0" w:color="auto"/>
              <w:right w:val="single" w:sz="4" w:space="0" w:color="auto"/>
            </w:tcBorders>
            <w:shd w:val="clear" w:color="auto" w:fill="auto"/>
            <w:noWrap/>
            <w:vAlign w:val="center"/>
            <w:hideMark/>
          </w:tcPr>
          <w:p w14:paraId="0613E2DF" w14:textId="77777777" w:rsidR="00CD75D4" w:rsidRPr="00ED1E5F" w:rsidRDefault="00CD75D4" w:rsidP="00CD75D4">
            <w:pPr>
              <w:spacing w:line="276" w:lineRule="auto"/>
              <w:jc w:val="right"/>
              <w:rPr>
                <w:sz w:val="20"/>
                <w:szCs w:val="20"/>
                <w:lang w:eastAsia="en-US"/>
              </w:rPr>
            </w:pPr>
            <w:r w:rsidRPr="00ED1E5F">
              <w:rPr>
                <w:color w:val="000000"/>
                <w:sz w:val="20"/>
                <w:szCs w:val="20"/>
              </w:rPr>
              <w:t>18 816 400</w:t>
            </w:r>
          </w:p>
        </w:tc>
        <w:tc>
          <w:tcPr>
            <w:tcW w:w="1350" w:type="dxa"/>
            <w:tcBorders>
              <w:top w:val="nil"/>
              <w:left w:val="nil"/>
              <w:bottom w:val="single" w:sz="4" w:space="0" w:color="auto"/>
              <w:right w:val="single" w:sz="4" w:space="0" w:color="auto"/>
            </w:tcBorders>
            <w:shd w:val="clear" w:color="auto" w:fill="auto"/>
            <w:noWrap/>
            <w:vAlign w:val="center"/>
            <w:hideMark/>
          </w:tcPr>
          <w:p w14:paraId="43F32DD9" w14:textId="77777777" w:rsidR="00CD75D4" w:rsidRPr="00ED1E5F" w:rsidRDefault="00CD75D4" w:rsidP="00CD75D4">
            <w:pPr>
              <w:spacing w:line="276" w:lineRule="auto"/>
              <w:jc w:val="right"/>
              <w:rPr>
                <w:sz w:val="20"/>
                <w:szCs w:val="20"/>
                <w:lang w:eastAsia="en-US"/>
              </w:rPr>
            </w:pPr>
            <w:r w:rsidRPr="00ED1E5F">
              <w:rPr>
                <w:color w:val="000000"/>
                <w:sz w:val="20"/>
                <w:szCs w:val="20"/>
              </w:rPr>
              <w:t>18 816 400</w:t>
            </w:r>
          </w:p>
        </w:tc>
        <w:tc>
          <w:tcPr>
            <w:tcW w:w="1144" w:type="dxa"/>
            <w:tcBorders>
              <w:top w:val="nil"/>
              <w:left w:val="nil"/>
              <w:bottom w:val="single" w:sz="4" w:space="0" w:color="auto"/>
              <w:right w:val="single" w:sz="4" w:space="0" w:color="auto"/>
            </w:tcBorders>
            <w:shd w:val="clear" w:color="auto" w:fill="auto"/>
            <w:noWrap/>
            <w:vAlign w:val="center"/>
            <w:hideMark/>
          </w:tcPr>
          <w:p w14:paraId="6332B772" w14:textId="77777777" w:rsidR="00CD75D4" w:rsidRPr="00ED1E5F" w:rsidRDefault="00CD75D4" w:rsidP="00CD75D4">
            <w:pPr>
              <w:spacing w:line="276" w:lineRule="auto"/>
              <w:jc w:val="right"/>
              <w:rPr>
                <w:sz w:val="20"/>
                <w:szCs w:val="20"/>
                <w:lang w:eastAsia="en-US"/>
              </w:rPr>
            </w:pPr>
            <w:r w:rsidRPr="00ED1E5F">
              <w:rPr>
                <w:color w:val="000000"/>
                <w:sz w:val="20"/>
                <w:szCs w:val="20"/>
                <w:lang w:val="en-US"/>
              </w:rPr>
              <w:t>7 </w:t>
            </w:r>
            <w:r w:rsidRPr="00ED1E5F">
              <w:rPr>
                <w:color w:val="000000"/>
                <w:sz w:val="20"/>
                <w:szCs w:val="20"/>
              </w:rPr>
              <w:t>288 299</w:t>
            </w:r>
          </w:p>
        </w:tc>
      </w:tr>
      <w:tr w:rsidR="00CD75D4" w:rsidRPr="00ED1E5F" w14:paraId="24984BBF" w14:textId="77777777" w:rsidTr="00010E75">
        <w:trPr>
          <w:trHeight w:val="276"/>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4C18140"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4E88415A" w14:textId="77777777" w:rsidR="00CD75D4" w:rsidRPr="00ED1E5F" w:rsidRDefault="00CD75D4" w:rsidP="00CD75D4">
            <w:pPr>
              <w:spacing w:line="276" w:lineRule="auto"/>
              <w:rPr>
                <w:sz w:val="20"/>
                <w:szCs w:val="20"/>
                <w:lang w:eastAsia="en-US"/>
              </w:rPr>
            </w:pPr>
            <w:r w:rsidRPr="00ED1E5F">
              <w:rPr>
                <w:sz w:val="20"/>
                <w:szCs w:val="20"/>
                <w:lang w:eastAsia="en-US"/>
              </w:rPr>
              <w:t xml:space="preserve">   Издръжка</w:t>
            </w:r>
          </w:p>
        </w:tc>
        <w:tc>
          <w:tcPr>
            <w:tcW w:w="1418" w:type="dxa"/>
            <w:tcBorders>
              <w:top w:val="nil"/>
              <w:left w:val="nil"/>
              <w:bottom w:val="single" w:sz="4" w:space="0" w:color="auto"/>
              <w:right w:val="single" w:sz="4" w:space="0" w:color="auto"/>
            </w:tcBorders>
            <w:shd w:val="clear" w:color="auto" w:fill="auto"/>
            <w:noWrap/>
            <w:vAlign w:val="center"/>
            <w:hideMark/>
          </w:tcPr>
          <w:p w14:paraId="5C3FF003" w14:textId="77777777" w:rsidR="00CD75D4" w:rsidRPr="00ED1E5F" w:rsidRDefault="00CD75D4" w:rsidP="00CD75D4">
            <w:pPr>
              <w:spacing w:line="276" w:lineRule="auto"/>
              <w:jc w:val="right"/>
              <w:rPr>
                <w:sz w:val="20"/>
                <w:szCs w:val="20"/>
                <w:lang w:eastAsia="en-US"/>
              </w:rPr>
            </w:pPr>
            <w:r w:rsidRPr="00ED1E5F">
              <w:rPr>
                <w:color w:val="000000"/>
                <w:sz w:val="20"/>
                <w:szCs w:val="20"/>
              </w:rPr>
              <w:t>6 435 400</w:t>
            </w:r>
          </w:p>
        </w:tc>
        <w:tc>
          <w:tcPr>
            <w:tcW w:w="1350" w:type="dxa"/>
            <w:tcBorders>
              <w:top w:val="nil"/>
              <w:left w:val="nil"/>
              <w:bottom w:val="single" w:sz="4" w:space="0" w:color="auto"/>
              <w:right w:val="single" w:sz="4" w:space="0" w:color="auto"/>
            </w:tcBorders>
            <w:shd w:val="clear" w:color="auto" w:fill="auto"/>
            <w:noWrap/>
            <w:vAlign w:val="center"/>
            <w:hideMark/>
          </w:tcPr>
          <w:p w14:paraId="1BE78686" w14:textId="77777777" w:rsidR="00CD75D4" w:rsidRPr="00ED1E5F" w:rsidRDefault="00CD75D4" w:rsidP="00CD75D4">
            <w:pPr>
              <w:spacing w:line="276" w:lineRule="auto"/>
              <w:jc w:val="right"/>
              <w:rPr>
                <w:sz w:val="20"/>
                <w:szCs w:val="20"/>
                <w:lang w:eastAsia="en-US"/>
              </w:rPr>
            </w:pPr>
            <w:r w:rsidRPr="00ED1E5F">
              <w:rPr>
                <w:color w:val="000000"/>
                <w:sz w:val="20"/>
                <w:szCs w:val="20"/>
              </w:rPr>
              <w:t>6 435 400</w:t>
            </w:r>
          </w:p>
        </w:tc>
        <w:tc>
          <w:tcPr>
            <w:tcW w:w="1144" w:type="dxa"/>
            <w:tcBorders>
              <w:top w:val="nil"/>
              <w:left w:val="nil"/>
              <w:bottom w:val="single" w:sz="4" w:space="0" w:color="auto"/>
              <w:right w:val="single" w:sz="4" w:space="0" w:color="auto"/>
            </w:tcBorders>
            <w:shd w:val="clear" w:color="auto" w:fill="auto"/>
            <w:noWrap/>
            <w:vAlign w:val="center"/>
            <w:hideMark/>
          </w:tcPr>
          <w:p w14:paraId="1C207795" w14:textId="77777777" w:rsidR="00CD75D4" w:rsidRPr="00ED1E5F" w:rsidRDefault="00CD75D4" w:rsidP="00CD75D4">
            <w:pPr>
              <w:spacing w:line="276" w:lineRule="auto"/>
              <w:jc w:val="right"/>
              <w:rPr>
                <w:sz w:val="20"/>
                <w:szCs w:val="20"/>
                <w:lang w:eastAsia="en-US"/>
              </w:rPr>
            </w:pPr>
            <w:r w:rsidRPr="00ED1E5F">
              <w:rPr>
                <w:sz w:val="20"/>
                <w:szCs w:val="20"/>
                <w:lang w:eastAsia="en-US"/>
              </w:rPr>
              <w:t>3 436 711</w:t>
            </w:r>
          </w:p>
        </w:tc>
      </w:tr>
      <w:tr w:rsidR="00CD75D4" w:rsidRPr="00ED1E5F" w14:paraId="234F5580" w14:textId="77777777" w:rsidTr="00010E75">
        <w:trPr>
          <w:trHeight w:val="281"/>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19EB635"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40C0BE3C" w14:textId="77777777" w:rsidR="00CD75D4" w:rsidRPr="00ED1E5F" w:rsidRDefault="00CD75D4" w:rsidP="00CD75D4">
            <w:pPr>
              <w:spacing w:line="276" w:lineRule="auto"/>
              <w:rPr>
                <w:sz w:val="20"/>
                <w:szCs w:val="20"/>
                <w:lang w:eastAsia="en-US"/>
              </w:rPr>
            </w:pPr>
            <w:r w:rsidRPr="00ED1E5F">
              <w:rPr>
                <w:sz w:val="20"/>
                <w:szCs w:val="20"/>
                <w:lang w:eastAsia="en-US"/>
              </w:rPr>
              <w:t xml:space="preserve">   Капиталови разходи</w:t>
            </w:r>
          </w:p>
        </w:tc>
        <w:tc>
          <w:tcPr>
            <w:tcW w:w="1418" w:type="dxa"/>
            <w:tcBorders>
              <w:top w:val="nil"/>
              <w:left w:val="nil"/>
              <w:bottom w:val="single" w:sz="4" w:space="0" w:color="auto"/>
              <w:right w:val="single" w:sz="4" w:space="0" w:color="auto"/>
            </w:tcBorders>
            <w:shd w:val="clear" w:color="auto" w:fill="auto"/>
            <w:noWrap/>
            <w:vAlign w:val="center"/>
            <w:hideMark/>
          </w:tcPr>
          <w:p w14:paraId="3D4ED95E" w14:textId="77777777" w:rsidR="00CD75D4" w:rsidRPr="00ED1E5F" w:rsidRDefault="00CD75D4" w:rsidP="00CD75D4">
            <w:pPr>
              <w:spacing w:line="276" w:lineRule="auto"/>
              <w:jc w:val="right"/>
              <w:rPr>
                <w:sz w:val="20"/>
                <w:szCs w:val="20"/>
                <w:lang w:eastAsia="en-US"/>
              </w:rPr>
            </w:pPr>
            <w:r w:rsidRPr="00ED1E5F">
              <w:rPr>
                <w:color w:val="000000"/>
                <w:sz w:val="20"/>
                <w:szCs w:val="20"/>
              </w:rPr>
              <w:t>2 786 500</w:t>
            </w:r>
          </w:p>
        </w:tc>
        <w:tc>
          <w:tcPr>
            <w:tcW w:w="1350" w:type="dxa"/>
            <w:tcBorders>
              <w:top w:val="nil"/>
              <w:left w:val="nil"/>
              <w:bottom w:val="single" w:sz="4" w:space="0" w:color="auto"/>
              <w:right w:val="single" w:sz="4" w:space="0" w:color="auto"/>
            </w:tcBorders>
            <w:shd w:val="clear" w:color="auto" w:fill="auto"/>
            <w:noWrap/>
            <w:vAlign w:val="center"/>
            <w:hideMark/>
          </w:tcPr>
          <w:p w14:paraId="14F5BABA" w14:textId="77777777" w:rsidR="00CD75D4" w:rsidRPr="00ED1E5F" w:rsidRDefault="00CD75D4" w:rsidP="00CD75D4">
            <w:pPr>
              <w:spacing w:line="276" w:lineRule="auto"/>
              <w:jc w:val="right"/>
              <w:rPr>
                <w:sz w:val="20"/>
                <w:szCs w:val="20"/>
                <w:lang w:eastAsia="en-US"/>
              </w:rPr>
            </w:pPr>
            <w:r w:rsidRPr="00ED1E5F">
              <w:rPr>
                <w:sz w:val="20"/>
                <w:szCs w:val="20"/>
                <w:lang w:eastAsia="en-US"/>
              </w:rPr>
              <w:t>2 786 500</w:t>
            </w:r>
          </w:p>
        </w:tc>
        <w:tc>
          <w:tcPr>
            <w:tcW w:w="1144" w:type="dxa"/>
            <w:tcBorders>
              <w:top w:val="nil"/>
              <w:left w:val="nil"/>
              <w:bottom w:val="single" w:sz="4" w:space="0" w:color="auto"/>
              <w:right w:val="single" w:sz="4" w:space="0" w:color="auto"/>
            </w:tcBorders>
            <w:shd w:val="clear" w:color="auto" w:fill="auto"/>
            <w:noWrap/>
            <w:vAlign w:val="center"/>
            <w:hideMark/>
          </w:tcPr>
          <w:p w14:paraId="3209214D" w14:textId="77777777" w:rsidR="00CD75D4" w:rsidRPr="00ED1E5F" w:rsidRDefault="00CD75D4" w:rsidP="00CD75D4">
            <w:pPr>
              <w:spacing w:line="276" w:lineRule="auto"/>
              <w:jc w:val="right"/>
              <w:rPr>
                <w:sz w:val="20"/>
                <w:szCs w:val="20"/>
                <w:lang w:eastAsia="en-US"/>
              </w:rPr>
            </w:pPr>
            <w:r w:rsidRPr="00ED1E5F">
              <w:rPr>
                <w:sz w:val="20"/>
                <w:szCs w:val="20"/>
                <w:lang w:eastAsia="en-US"/>
              </w:rPr>
              <w:t>164 376</w:t>
            </w:r>
          </w:p>
        </w:tc>
      </w:tr>
      <w:tr w:rsidR="00CD75D4" w:rsidRPr="00ED1E5F" w14:paraId="100F2550" w14:textId="77777777" w:rsidTr="00010E75">
        <w:trPr>
          <w:trHeight w:val="271"/>
        </w:trPr>
        <w:tc>
          <w:tcPr>
            <w:tcW w:w="645" w:type="dxa"/>
            <w:tcBorders>
              <w:top w:val="nil"/>
              <w:left w:val="single" w:sz="4" w:space="0" w:color="auto"/>
              <w:bottom w:val="single" w:sz="4" w:space="0" w:color="auto"/>
              <w:right w:val="single" w:sz="4" w:space="0" w:color="auto"/>
            </w:tcBorders>
            <w:shd w:val="clear" w:color="D9D9D9" w:fill="E6E6E6"/>
            <w:noWrap/>
            <w:vAlign w:val="bottom"/>
            <w:hideMark/>
          </w:tcPr>
          <w:p w14:paraId="358FD0C3" w14:textId="77777777" w:rsidR="00CD75D4" w:rsidRPr="00ED1E5F" w:rsidRDefault="00CD75D4" w:rsidP="00CD75D4">
            <w:pPr>
              <w:spacing w:line="276" w:lineRule="auto"/>
              <w:jc w:val="both"/>
              <w:rPr>
                <w:b/>
                <w:bCs/>
                <w:sz w:val="20"/>
                <w:szCs w:val="20"/>
                <w:lang w:eastAsia="en-US"/>
              </w:rPr>
            </w:pPr>
            <w:r w:rsidRPr="00ED1E5F">
              <w:rPr>
                <w:b/>
                <w:bCs/>
                <w:sz w:val="20"/>
                <w:szCs w:val="20"/>
                <w:lang w:eastAsia="en-US"/>
              </w:rPr>
              <w:t>1</w:t>
            </w:r>
          </w:p>
        </w:tc>
        <w:tc>
          <w:tcPr>
            <w:tcW w:w="5162" w:type="dxa"/>
            <w:tcBorders>
              <w:top w:val="nil"/>
              <w:left w:val="nil"/>
              <w:bottom w:val="single" w:sz="4" w:space="0" w:color="auto"/>
              <w:right w:val="single" w:sz="4" w:space="0" w:color="auto"/>
            </w:tcBorders>
            <w:shd w:val="clear" w:color="D9D9D9" w:fill="E6E6E6"/>
            <w:noWrap/>
            <w:vAlign w:val="bottom"/>
            <w:hideMark/>
          </w:tcPr>
          <w:p w14:paraId="6948AAB2" w14:textId="77777777" w:rsidR="00CD75D4" w:rsidRPr="00ED1E5F" w:rsidRDefault="00CD75D4" w:rsidP="00CD75D4">
            <w:pPr>
              <w:spacing w:line="276" w:lineRule="auto"/>
              <w:ind w:firstLineChars="200" w:firstLine="400"/>
              <w:rPr>
                <w:b/>
                <w:bCs/>
                <w:sz w:val="20"/>
                <w:szCs w:val="20"/>
                <w:lang w:eastAsia="en-US"/>
              </w:rPr>
            </w:pPr>
            <w:r w:rsidRPr="00ED1E5F">
              <w:rPr>
                <w:b/>
                <w:bCs/>
                <w:sz w:val="20"/>
                <w:szCs w:val="20"/>
                <w:lang w:eastAsia="en-US"/>
              </w:rPr>
              <w:t>Ведомствени разходи по бюджета на ПРБ:</w:t>
            </w:r>
          </w:p>
        </w:tc>
        <w:tc>
          <w:tcPr>
            <w:tcW w:w="1418" w:type="dxa"/>
            <w:tcBorders>
              <w:top w:val="nil"/>
              <w:left w:val="nil"/>
              <w:bottom w:val="single" w:sz="4" w:space="0" w:color="auto"/>
              <w:right w:val="single" w:sz="4" w:space="0" w:color="auto"/>
            </w:tcBorders>
            <w:shd w:val="clear" w:color="D9D9D9" w:fill="E6E6E6"/>
            <w:noWrap/>
            <w:vAlign w:val="bottom"/>
            <w:hideMark/>
          </w:tcPr>
          <w:p w14:paraId="23C9510C" w14:textId="77777777" w:rsidR="00CD75D4" w:rsidRPr="00ED1E5F" w:rsidRDefault="00CD75D4" w:rsidP="00CD75D4">
            <w:pPr>
              <w:spacing w:line="276" w:lineRule="auto"/>
              <w:jc w:val="right"/>
              <w:rPr>
                <w:b/>
                <w:bCs/>
                <w:sz w:val="20"/>
                <w:szCs w:val="20"/>
                <w:lang w:eastAsia="en-US"/>
              </w:rPr>
            </w:pPr>
            <w:r w:rsidRPr="00ED1E5F">
              <w:rPr>
                <w:b/>
                <w:bCs/>
                <w:sz w:val="20"/>
                <w:szCs w:val="20"/>
              </w:rPr>
              <w:t>28 038 300</w:t>
            </w:r>
          </w:p>
        </w:tc>
        <w:tc>
          <w:tcPr>
            <w:tcW w:w="1350" w:type="dxa"/>
            <w:tcBorders>
              <w:top w:val="nil"/>
              <w:left w:val="nil"/>
              <w:bottom w:val="single" w:sz="4" w:space="0" w:color="auto"/>
              <w:right w:val="single" w:sz="4" w:space="0" w:color="auto"/>
            </w:tcBorders>
            <w:shd w:val="clear" w:color="D9D9D9" w:fill="E6E6E6"/>
            <w:noWrap/>
            <w:vAlign w:val="bottom"/>
            <w:hideMark/>
          </w:tcPr>
          <w:p w14:paraId="7D36FFCA" w14:textId="77777777" w:rsidR="00CD75D4" w:rsidRPr="00ED1E5F" w:rsidRDefault="00CD75D4" w:rsidP="00CD75D4">
            <w:pPr>
              <w:spacing w:line="276" w:lineRule="auto"/>
              <w:jc w:val="right"/>
              <w:rPr>
                <w:b/>
                <w:bCs/>
                <w:sz w:val="20"/>
                <w:szCs w:val="20"/>
                <w:lang w:eastAsia="en-US"/>
              </w:rPr>
            </w:pPr>
            <w:r w:rsidRPr="00ED1E5F">
              <w:rPr>
                <w:b/>
                <w:bCs/>
                <w:sz w:val="20"/>
                <w:szCs w:val="20"/>
                <w:lang w:eastAsia="en-US"/>
              </w:rPr>
              <w:t>28 038 300</w:t>
            </w:r>
          </w:p>
        </w:tc>
        <w:tc>
          <w:tcPr>
            <w:tcW w:w="1144" w:type="dxa"/>
            <w:tcBorders>
              <w:top w:val="nil"/>
              <w:left w:val="nil"/>
              <w:bottom w:val="single" w:sz="4" w:space="0" w:color="auto"/>
              <w:right w:val="single" w:sz="4" w:space="0" w:color="auto"/>
            </w:tcBorders>
            <w:shd w:val="clear" w:color="D9D9D9" w:fill="E6E6E6"/>
            <w:noWrap/>
            <w:vAlign w:val="bottom"/>
            <w:hideMark/>
          </w:tcPr>
          <w:p w14:paraId="41FFDEB2" w14:textId="77777777" w:rsidR="00CD75D4" w:rsidRPr="00ED1E5F" w:rsidRDefault="00CD75D4" w:rsidP="00CD75D4">
            <w:pPr>
              <w:spacing w:line="276" w:lineRule="auto"/>
              <w:jc w:val="right"/>
              <w:rPr>
                <w:b/>
                <w:bCs/>
                <w:sz w:val="20"/>
                <w:szCs w:val="20"/>
                <w:lang w:eastAsia="en-US"/>
              </w:rPr>
            </w:pPr>
            <w:r w:rsidRPr="00ED1E5F">
              <w:rPr>
                <w:b/>
                <w:bCs/>
                <w:sz w:val="20"/>
                <w:szCs w:val="20"/>
              </w:rPr>
              <w:t>10 889 386</w:t>
            </w:r>
          </w:p>
        </w:tc>
      </w:tr>
      <w:tr w:rsidR="00CD75D4" w:rsidRPr="00ED1E5F" w14:paraId="54B701E3" w14:textId="77777777" w:rsidTr="00010E75">
        <w:trPr>
          <w:trHeight w:val="261"/>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0172EF4"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047105A9" w14:textId="77777777" w:rsidR="00CD75D4" w:rsidRPr="00ED1E5F" w:rsidRDefault="00CD75D4" w:rsidP="00CD75D4">
            <w:pPr>
              <w:spacing w:line="276" w:lineRule="auto"/>
              <w:ind w:firstLineChars="200" w:firstLine="400"/>
              <w:rPr>
                <w:sz w:val="20"/>
                <w:szCs w:val="20"/>
                <w:lang w:eastAsia="en-US"/>
              </w:rPr>
            </w:pPr>
            <w:r w:rsidRPr="00ED1E5F">
              <w:rPr>
                <w:sz w:val="20"/>
                <w:szCs w:val="20"/>
                <w:lang w:eastAsia="en-US"/>
              </w:rPr>
              <w:t xml:space="preserve">   Персонал</w:t>
            </w:r>
          </w:p>
        </w:tc>
        <w:tc>
          <w:tcPr>
            <w:tcW w:w="1418" w:type="dxa"/>
            <w:tcBorders>
              <w:top w:val="nil"/>
              <w:left w:val="nil"/>
              <w:bottom w:val="single" w:sz="4" w:space="0" w:color="auto"/>
              <w:right w:val="single" w:sz="4" w:space="0" w:color="auto"/>
            </w:tcBorders>
            <w:shd w:val="clear" w:color="auto" w:fill="auto"/>
            <w:noWrap/>
            <w:vAlign w:val="center"/>
            <w:hideMark/>
          </w:tcPr>
          <w:p w14:paraId="7EF2CEA7" w14:textId="77777777" w:rsidR="00CD75D4" w:rsidRPr="00ED1E5F" w:rsidRDefault="00CD75D4" w:rsidP="00CD75D4">
            <w:pPr>
              <w:spacing w:line="276" w:lineRule="auto"/>
              <w:jc w:val="right"/>
              <w:rPr>
                <w:sz w:val="20"/>
                <w:szCs w:val="20"/>
                <w:lang w:eastAsia="en-US"/>
              </w:rPr>
            </w:pPr>
            <w:r w:rsidRPr="00ED1E5F">
              <w:rPr>
                <w:color w:val="000000"/>
                <w:sz w:val="20"/>
                <w:szCs w:val="20"/>
              </w:rPr>
              <w:t>18 816 400</w:t>
            </w:r>
          </w:p>
        </w:tc>
        <w:tc>
          <w:tcPr>
            <w:tcW w:w="1350" w:type="dxa"/>
            <w:tcBorders>
              <w:top w:val="nil"/>
              <w:left w:val="nil"/>
              <w:bottom w:val="single" w:sz="4" w:space="0" w:color="auto"/>
              <w:right w:val="single" w:sz="4" w:space="0" w:color="auto"/>
            </w:tcBorders>
            <w:shd w:val="clear" w:color="auto" w:fill="auto"/>
            <w:noWrap/>
            <w:vAlign w:val="center"/>
            <w:hideMark/>
          </w:tcPr>
          <w:p w14:paraId="43EEC797" w14:textId="77777777" w:rsidR="00CD75D4" w:rsidRPr="00ED1E5F" w:rsidRDefault="00CD75D4" w:rsidP="00CD75D4">
            <w:pPr>
              <w:spacing w:line="276" w:lineRule="auto"/>
              <w:jc w:val="right"/>
              <w:rPr>
                <w:sz w:val="20"/>
                <w:szCs w:val="20"/>
                <w:lang w:eastAsia="en-US"/>
              </w:rPr>
            </w:pPr>
            <w:r w:rsidRPr="00ED1E5F">
              <w:rPr>
                <w:color w:val="000000"/>
                <w:sz w:val="20"/>
                <w:szCs w:val="20"/>
              </w:rPr>
              <w:t>18 816 400</w:t>
            </w:r>
          </w:p>
        </w:tc>
        <w:tc>
          <w:tcPr>
            <w:tcW w:w="1144" w:type="dxa"/>
            <w:tcBorders>
              <w:top w:val="nil"/>
              <w:left w:val="nil"/>
              <w:bottom w:val="single" w:sz="4" w:space="0" w:color="auto"/>
              <w:right w:val="single" w:sz="4" w:space="0" w:color="auto"/>
            </w:tcBorders>
            <w:shd w:val="clear" w:color="auto" w:fill="auto"/>
            <w:noWrap/>
            <w:vAlign w:val="center"/>
            <w:hideMark/>
          </w:tcPr>
          <w:p w14:paraId="3A6BCD7D" w14:textId="77777777" w:rsidR="00CD75D4" w:rsidRPr="00ED1E5F" w:rsidRDefault="00CD75D4" w:rsidP="00CD75D4">
            <w:pPr>
              <w:spacing w:line="276" w:lineRule="auto"/>
              <w:jc w:val="right"/>
              <w:rPr>
                <w:sz w:val="20"/>
                <w:szCs w:val="20"/>
                <w:lang w:eastAsia="en-US"/>
              </w:rPr>
            </w:pPr>
            <w:r w:rsidRPr="00ED1E5F">
              <w:rPr>
                <w:color w:val="000000"/>
                <w:sz w:val="20"/>
                <w:szCs w:val="20"/>
              </w:rPr>
              <w:t>7 288 299</w:t>
            </w:r>
          </w:p>
        </w:tc>
      </w:tr>
      <w:tr w:rsidR="00CD75D4" w:rsidRPr="00ED1E5F" w14:paraId="40279303" w14:textId="77777777" w:rsidTr="00010E75">
        <w:trPr>
          <w:trHeight w:val="294"/>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BD03444"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4D71BD2A" w14:textId="77777777" w:rsidR="00CD75D4" w:rsidRPr="00ED1E5F" w:rsidRDefault="00CD75D4" w:rsidP="00CD75D4">
            <w:pPr>
              <w:spacing w:line="276" w:lineRule="auto"/>
              <w:ind w:firstLineChars="200" w:firstLine="400"/>
              <w:rPr>
                <w:sz w:val="20"/>
                <w:szCs w:val="20"/>
                <w:lang w:eastAsia="en-US"/>
              </w:rPr>
            </w:pPr>
            <w:r w:rsidRPr="00ED1E5F">
              <w:rPr>
                <w:sz w:val="20"/>
                <w:szCs w:val="20"/>
                <w:lang w:eastAsia="en-US"/>
              </w:rPr>
              <w:t xml:space="preserve">   Издръжка</w:t>
            </w:r>
          </w:p>
        </w:tc>
        <w:tc>
          <w:tcPr>
            <w:tcW w:w="1418" w:type="dxa"/>
            <w:tcBorders>
              <w:top w:val="nil"/>
              <w:left w:val="nil"/>
              <w:bottom w:val="single" w:sz="4" w:space="0" w:color="auto"/>
              <w:right w:val="single" w:sz="4" w:space="0" w:color="auto"/>
            </w:tcBorders>
            <w:shd w:val="clear" w:color="auto" w:fill="auto"/>
            <w:noWrap/>
            <w:vAlign w:val="center"/>
            <w:hideMark/>
          </w:tcPr>
          <w:p w14:paraId="1F72D165" w14:textId="77777777" w:rsidR="00CD75D4" w:rsidRPr="00ED1E5F" w:rsidRDefault="00CD75D4" w:rsidP="00CD75D4">
            <w:pPr>
              <w:spacing w:line="276" w:lineRule="auto"/>
              <w:jc w:val="right"/>
              <w:rPr>
                <w:sz w:val="20"/>
                <w:szCs w:val="20"/>
                <w:lang w:eastAsia="en-US"/>
              </w:rPr>
            </w:pPr>
            <w:r w:rsidRPr="00ED1E5F">
              <w:rPr>
                <w:color w:val="000000"/>
                <w:sz w:val="20"/>
                <w:szCs w:val="20"/>
              </w:rPr>
              <w:t>6 435 400</w:t>
            </w:r>
          </w:p>
        </w:tc>
        <w:tc>
          <w:tcPr>
            <w:tcW w:w="1350" w:type="dxa"/>
            <w:tcBorders>
              <w:top w:val="nil"/>
              <w:left w:val="nil"/>
              <w:bottom w:val="single" w:sz="4" w:space="0" w:color="auto"/>
              <w:right w:val="single" w:sz="4" w:space="0" w:color="auto"/>
            </w:tcBorders>
            <w:shd w:val="clear" w:color="auto" w:fill="auto"/>
            <w:noWrap/>
            <w:vAlign w:val="center"/>
            <w:hideMark/>
          </w:tcPr>
          <w:p w14:paraId="12D7E111" w14:textId="77777777" w:rsidR="00CD75D4" w:rsidRPr="00ED1E5F" w:rsidRDefault="00CD75D4" w:rsidP="00CD75D4">
            <w:pPr>
              <w:spacing w:line="276" w:lineRule="auto"/>
              <w:jc w:val="right"/>
              <w:rPr>
                <w:sz w:val="20"/>
                <w:szCs w:val="20"/>
                <w:lang w:eastAsia="en-US"/>
              </w:rPr>
            </w:pPr>
            <w:r w:rsidRPr="00ED1E5F">
              <w:rPr>
                <w:color w:val="000000"/>
                <w:sz w:val="20"/>
                <w:szCs w:val="20"/>
              </w:rPr>
              <w:t>6 435 400</w:t>
            </w:r>
          </w:p>
        </w:tc>
        <w:tc>
          <w:tcPr>
            <w:tcW w:w="1144" w:type="dxa"/>
            <w:tcBorders>
              <w:top w:val="nil"/>
              <w:left w:val="nil"/>
              <w:bottom w:val="single" w:sz="4" w:space="0" w:color="auto"/>
              <w:right w:val="single" w:sz="4" w:space="0" w:color="auto"/>
            </w:tcBorders>
            <w:shd w:val="clear" w:color="auto" w:fill="auto"/>
            <w:noWrap/>
            <w:vAlign w:val="center"/>
            <w:hideMark/>
          </w:tcPr>
          <w:p w14:paraId="7EE206B0" w14:textId="77777777" w:rsidR="00CD75D4" w:rsidRPr="00ED1E5F" w:rsidRDefault="00CD75D4" w:rsidP="00CD75D4">
            <w:pPr>
              <w:spacing w:line="276" w:lineRule="auto"/>
              <w:jc w:val="right"/>
              <w:rPr>
                <w:sz w:val="20"/>
                <w:szCs w:val="20"/>
                <w:lang w:eastAsia="en-US"/>
              </w:rPr>
            </w:pPr>
            <w:r w:rsidRPr="00ED1E5F">
              <w:rPr>
                <w:sz w:val="20"/>
                <w:szCs w:val="20"/>
                <w:lang w:eastAsia="en-US"/>
              </w:rPr>
              <w:t>3 436 711</w:t>
            </w:r>
          </w:p>
        </w:tc>
      </w:tr>
      <w:tr w:rsidR="00CD75D4" w:rsidRPr="00ED1E5F" w14:paraId="5C25F3CD" w14:textId="77777777" w:rsidTr="00010E75">
        <w:trPr>
          <w:trHeight w:val="26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93FA458"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29909E09" w14:textId="77777777" w:rsidR="00CD75D4" w:rsidRPr="00ED1E5F" w:rsidRDefault="00CD75D4" w:rsidP="00CD75D4">
            <w:pPr>
              <w:spacing w:line="276" w:lineRule="auto"/>
              <w:ind w:firstLineChars="200" w:firstLine="400"/>
              <w:rPr>
                <w:sz w:val="20"/>
                <w:szCs w:val="20"/>
                <w:lang w:eastAsia="en-US"/>
              </w:rPr>
            </w:pPr>
            <w:r w:rsidRPr="00ED1E5F">
              <w:rPr>
                <w:sz w:val="20"/>
                <w:szCs w:val="20"/>
                <w:lang w:eastAsia="en-US"/>
              </w:rPr>
              <w:t xml:space="preserve">   Капиталови разходи</w:t>
            </w:r>
          </w:p>
        </w:tc>
        <w:tc>
          <w:tcPr>
            <w:tcW w:w="1418" w:type="dxa"/>
            <w:tcBorders>
              <w:top w:val="nil"/>
              <w:left w:val="nil"/>
              <w:bottom w:val="single" w:sz="4" w:space="0" w:color="auto"/>
              <w:right w:val="single" w:sz="4" w:space="0" w:color="auto"/>
            </w:tcBorders>
            <w:shd w:val="clear" w:color="auto" w:fill="auto"/>
            <w:noWrap/>
            <w:vAlign w:val="center"/>
            <w:hideMark/>
          </w:tcPr>
          <w:p w14:paraId="2C0B7F7C" w14:textId="77777777" w:rsidR="00CD75D4" w:rsidRPr="00ED1E5F" w:rsidRDefault="00CD75D4" w:rsidP="00CD75D4">
            <w:pPr>
              <w:spacing w:line="276" w:lineRule="auto"/>
              <w:jc w:val="right"/>
              <w:rPr>
                <w:sz w:val="20"/>
                <w:szCs w:val="20"/>
                <w:lang w:val="en-US" w:eastAsia="en-US"/>
              </w:rPr>
            </w:pPr>
            <w:r w:rsidRPr="00ED1E5F">
              <w:rPr>
                <w:color w:val="000000"/>
                <w:sz w:val="20"/>
                <w:szCs w:val="20"/>
              </w:rPr>
              <w:t>2 786 500</w:t>
            </w:r>
          </w:p>
        </w:tc>
        <w:tc>
          <w:tcPr>
            <w:tcW w:w="1350" w:type="dxa"/>
            <w:tcBorders>
              <w:top w:val="nil"/>
              <w:left w:val="nil"/>
              <w:bottom w:val="single" w:sz="4" w:space="0" w:color="auto"/>
              <w:right w:val="single" w:sz="4" w:space="0" w:color="auto"/>
            </w:tcBorders>
            <w:shd w:val="clear" w:color="auto" w:fill="auto"/>
            <w:noWrap/>
            <w:vAlign w:val="center"/>
            <w:hideMark/>
          </w:tcPr>
          <w:p w14:paraId="50268513" w14:textId="77777777" w:rsidR="00CD75D4" w:rsidRPr="00ED1E5F" w:rsidRDefault="00CD75D4" w:rsidP="00CD75D4">
            <w:pPr>
              <w:spacing w:line="276" w:lineRule="auto"/>
              <w:jc w:val="right"/>
              <w:rPr>
                <w:sz w:val="20"/>
                <w:szCs w:val="20"/>
                <w:lang w:eastAsia="en-US"/>
              </w:rPr>
            </w:pPr>
            <w:r w:rsidRPr="00ED1E5F">
              <w:rPr>
                <w:sz w:val="20"/>
                <w:szCs w:val="20"/>
                <w:lang w:eastAsia="en-US"/>
              </w:rPr>
              <w:t>2 786 500</w:t>
            </w:r>
          </w:p>
        </w:tc>
        <w:tc>
          <w:tcPr>
            <w:tcW w:w="1144" w:type="dxa"/>
            <w:tcBorders>
              <w:top w:val="nil"/>
              <w:left w:val="nil"/>
              <w:bottom w:val="single" w:sz="4" w:space="0" w:color="auto"/>
              <w:right w:val="single" w:sz="4" w:space="0" w:color="auto"/>
            </w:tcBorders>
            <w:shd w:val="clear" w:color="auto" w:fill="auto"/>
            <w:noWrap/>
            <w:vAlign w:val="center"/>
            <w:hideMark/>
          </w:tcPr>
          <w:p w14:paraId="70CBF940" w14:textId="77777777" w:rsidR="00CD75D4" w:rsidRPr="00ED1E5F" w:rsidRDefault="00CD75D4" w:rsidP="00CD75D4">
            <w:pPr>
              <w:spacing w:line="276" w:lineRule="auto"/>
              <w:jc w:val="right"/>
              <w:rPr>
                <w:sz w:val="20"/>
                <w:szCs w:val="20"/>
                <w:lang w:eastAsia="en-US"/>
              </w:rPr>
            </w:pPr>
            <w:r w:rsidRPr="00ED1E5F">
              <w:rPr>
                <w:sz w:val="20"/>
                <w:szCs w:val="20"/>
                <w:lang w:eastAsia="en-US"/>
              </w:rPr>
              <w:t>164 376</w:t>
            </w:r>
          </w:p>
        </w:tc>
      </w:tr>
      <w:tr w:rsidR="00CD75D4" w:rsidRPr="00ED1E5F" w14:paraId="610E1292" w14:textId="77777777" w:rsidTr="00010E75">
        <w:trPr>
          <w:trHeight w:val="376"/>
        </w:trPr>
        <w:tc>
          <w:tcPr>
            <w:tcW w:w="645" w:type="dxa"/>
            <w:tcBorders>
              <w:top w:val="nil"/>
              <w:left w:val="single" w:sz="4" w:space="0" w:color="auto"/>
              <w:bottom w:val="single" w:sz="4" w:space="0" w:color="auto"/>
              <w:right w:val="single" w:sz="4" w:space="0" w:color="auto"/>
            </w:tcBorders>
            <w:shd w:val="clear" w:color="D9D9D9" w:fill="E6E6E6"/>
            <w:noWrap/>
            <w:vAlign w:val="bottom"/>
            <w:hideMark/>
          </w:tcPr>
          <w:p w14:paraId="3706DA83" w14:textId="77777777" w:rsidR="00CD75D4" w:rsidRPr="00ED1E5F" w:rsidRDefault="00CD75D4" w:rsidP="00CD75D4">
            <w:pPr>
              <w:spacing w:line="276" w:lineRule="auto"/>
              <w:jc w:val="both"/>
              <w:rPr>
                <w:b/>
                <w:bCs/>
                <w:sz w:val="20"/>
                <w:szCs w:val="20"/>
                <w:lang w:eastAsia="en-US"/>
              </w:rPr>
            </w:pPr>
            <w:r w:rsidRPr="00ED1E5F">
              <w:rPr>
                <w:b/>
                <w:bCs/>
                <w:sz w:val="20"/>
                <w:szCs w:val="20"/>
                <w:lang w:eastAsia="en-US"/>
              </w:rPr>
              <w:t>2</w:t>
            </w:r>
          </w:p>
        </w:tc>
        <w:tc>
          <w:tcPr>
            <w:tcW w:w="5162" w:type="dxa"/>
            <w:tcBorders>
              <w:top w:val="nil"/>
              <w:left w:val="nil"/>
              <w:bottom w:val="single" w:sz="4" w:space="0" w:color="auto"/>
              <w:right w:val="single" w:sz="4" w:space="0" w:color="auto"/>
            </w:tcBorders>
            <w:shd w:val="clear" w:color="D9D9D9" w:fill="E6E6E6"/>
            <w:noWrap/>
            <w:vAlign w:val="bottom"/>
            <w:hideMark/>
          </w:tcPr>
          <w:p w14:paraId="1CF9A1AB" w14:textId="77777777" w:rsidR="00CD75D4" w:rsidRPr="00ED1E5F" w:rsidRDefault="00CD75D4" w:rsidP="00CD75D4">
            <w:pPr>
              <w:spacing w:line="276" w:lineRule="auto"/>
              <w:ind w:firstLineChars="200" w:firstLine="400"/>
              <w:rPr>
                <w:b/>
                <w:bCs/>
                <w:sz w:val="20"/>
                <w:szCs w:val="20"/>
                <w:lang w:eastAsia="en-US"/>
              </w:rPr>
            </w:pPr>
            <w:r w:rsidRPr="00ED1E5F">
              <w:rPr>
                <w:b/>
                <w:bCs/>
                <w:sz w:val="20"/>
                <w:szCs w:val="20"/>
                <w:lang w:eastAsia="en-US"/>
              </w:rPr>
              <w:t xml:space="preserve">Ведомствени разходи по други бюджети и сметки за средства от ЕС </w:t>
            </w:r>
          </w:p>
        </w:tc>
        <w:tc>
          <w:tcPr>
            <w:tcW w:w="1418" w:type="dxa"/>
            <w:tcBorders>
              <w:top w:val="nil"/>
              <w:left w:val="nil"/>
              <w:bottom w:val="single" w:sz="4" w:space="0" w:color="auto"/>
              <w:right w:val="single" w:sz="4" w:space="0" w:color="auto"/>
            </w:tcBorders>
            <w:shd w:val="clear" w:color="D9D9D9" w:fill="E6E6E6"/>
            <w:noWrap/>
            <w:vAlign w:val="bottom"/>
            <w:hideMark/>
          </w:tcPr>
          <w:p w14:paraId="2FBBDAF0" w14:textId="77777777" w:rsidR="00CD75D4" w:rsidRPr="00ED1E5F" w:rsidRDefault="00CD75D4" w:rsidP="00CD75D4">
            <w:pPr>
              <w:spacing w:line="276" w:lineRule="auto"/>
              <w:jc w:val="right"/>
              <w:rPr>
                <w:b/>
                <w:bCs/>
                <w:sz w:val="20"/>
                <w:szCs w:val="20"/>
                <w:lang w:eastAsia="en-US"/>
              </w:rPr>
            </w:pPr>
            <w:r w:rsidRPr="00ED1E5F">
              <w:rPr>
                <w:b/>
                <w:bCs/>
                <w:sz w:val="20"/>
                <w:szCs w:val="20"/>
              </w:rPr>
              <w:t>0 </w:t>
            </w:r>
          </w:p>
        </w:tc>
        <w:tc>
          <w:tcPr>
            <w:tcW w:w="1350" w:type="dxa"/>
            <w:tcBorders>
              <w:top w:val="nil"/>
              <w:left w:val="nil"/>
              <w:bottom w:val="single" w:sz="4" w:space="0" w:color="auto"/>
              <w:right w:val="single" w:sz="4" w:space="0" w:color="auto"/>
            </w:tcBorders>
            <w:shd w:val="clear" w:color="D9D9D9" w:fill="E6E6E6"/>
            <w:noWrap/>
            <w:vAlign w:val="bottom"/>
            <w:hideMark/>
          </w:tcPr>
          <w:p w14:paraId="54CAFD68" w14:textId="77777777" w:rsidR="00CD75D4" w:rsidRPr="00ED1E5F" w:rsidRDefault="00CD75D4" w:rsidP="00CD75D4">
            <w:pPr>
              <w:spacing w:line="276" w:lineRule="auto"/>
              <w:jc w:val="right"/>
              <w:rPr>
                <w:b/>
                <w:bCs/>
                <w:sz w:val="20"/>
                <w:szCs w:val="20"/>
                <w:lang w:eastAsia="en-US"/>
              </w:rPr>
            </w:pPr>
            <w:r w:rsidRPr="00ED1E5F">
              <w:rPr>
                <w:b/>
                <w:bCs/>
                <w:sz w:val="20"/>
                <w:szCs w:val="20"/>
              </w:rPr>
              <w:t>0 </w:t>
            </w:r>
          </w:p>
        </w:tc>
        <w:tc>
          <w:tcPr>
            <w:tcW w:w="1144" w:type="dxa"/>
            <w:tcBorders>
              <w:top w:val="nil"/>
              <w:left w:val="nil"/>
              <w:bottom w:val="single" w:sz="4" w:space="0" w:color="auto"/>
              <w:right w:val="single" w:sz="4" w:space="0" w:color="auto"/>
            </w:tcBorders>
            <w:shd w:val="clear" w:color="D9D9D9" w:fill="E6E6E6"/>
            <w:noWrap/>
            <w:vAlign w:val="bottom"/>
            <w:hideMark/>
          </w:tcPr>
          <w:p w14:paraId="0A685EEB" w14:textId="77777777" w:rsidR="00CD75D4" w:rsidRPr="00ED1E5F" w:rsidRDefault="00CD75D4" w:rsidP="00CD75D4">
            <w:pPr>
              <w:spacing w:line="276" w:lineRule="auto"/>
              <w:jc w:val="right"/>
              <w:rPr>
                <w:b/>
                <w:bCs/>
                <w:sz w:val="20"/>
                <w:szCs w:val="20"/>
                <w:lang w:eastAsia="en-US"/>
              </w:rPr>
            </w:pPr>
            <w:r w:rsidRPr="00ED1E5F">
              <w:rPr>
                <w:b/>
                <w:bCs/>
                <w:sz w:val="20"/>
                <w:szCs w:val="20"/>
                <w:lang w:eastAsia="en-US"/>
              </w:rPr>
              <w:t>0</w:t>
            </w:r>
          </w:p>
        </w:tc>
      </w:tr>
      <w:tr w:rsidR="00CD75D4" w:rsidRPr="00ED1E5F" w14:paraId="4F7D4110" w14:textId="77777777" w:rsidTr="00010E75">
        <w:trPr>
          <w:trHeight w:val="223"/>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3EB4387"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238A7FBD" w14:textId="77777777" w:rsidR="00CD75D4" w:rsidRPr="00ED1E5F" w:rsidRDefault="00CD75D4" w:rsidP="00CD75D4">
            <w:pPr>
              <w:spacing w:line="276" w:lineRule="auto"/>
              <w:ind w:firstLineChars="200" w:firstLine="400"/>
              <w:rPr>
                <w:sz w:val="20"/>
                <w:szCs w:val="20"/>
                <w:lang w:eastAsia="en-US"/>
              </w:rPr>
            </w:pPr>
            <w:r w:rsidRPr="00ED1E5F">
              <w:rPr>
                <w:sz w:val="20"/>
                <w:szCs w:val="20"/>
                <w:lang w:eastAsia="en-US"/>
              </w:rPr>
              <w:t xml:space="preserve">   Персонал</w:t>
            </w:r>
          </w:p>
        </w:tc>
        <w:tc>
          <w:tcPr>
            <w:tcW w:w="1418" w:type="dxa"/>
            <w:tcBorders>
              <w:top w:val="nil"/>
              <w:left w:val="nil"/>
              <w:bottom w:val="single" w:sz="4" w:space="0" w:color="auto"/>
              <w:right w:val="single" w:sz="4" w:space="0" w:color="auto"/>
            </w:tcBorders>
            <w:shd w:val="clear" w:color="auto" w:fill="auto"/>
            <w:noWrap/>
            <w:vAlign w:val="bottom"/>
            <w:hideMark/>
          </w:tcPr>
          <w:p w14:paraId="13534C81"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DAAB857"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14:paraId="196EECC0" w14:textId="77777777" w:rsidR="00CD75D4" w:rsidRPr="00ED1E5F" w:rsidRDefault="00CD75D4" w:rsidP="00CD75D4">
            <w:pPr>
              <w:spacing w:line="276" w:lineRule="auto"/>
              <w:jc w:val="right"/>
              <w:rPr>
                <w:sz w:val="20"/>
                <w:szCs w:val="20"/>
                <w:lang w:eastAsia="en-US"/>
              </w:rPr>
            </w:pPr>
          </w:p>
        </w:tc>
      </w:tr>
      <w:tr w:rsidR="00CD75D4" w:rsidRPr="00ED1E5F" w14:paraId="003CF351" w14:textId="77777777" w:rsidTr="00010E75">
        <w:trPr>
          <w:trHeight w:val="26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335EF50"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172A8424" w14:textId="77777777" w:rsidR="00CD75D4" w:rsidRPr="00ED1E5F" w:rsidRDefault="00CD75D4" w:rsidP="00CD75D4">
            <w:pPr>
              <w:spacing w:line="276" w:lineRule="auto"/>
              <w:ind w:firstLineChars="200" w:firstLine="400"/>
              <w:rPr>
                <w:sz w:val="20"/>
                <w:szCs w:val="20"/>
                <w:lang w:eastAsia="en-US"/>
              </w:rPr>
            </w:pPr>
            <w:r w:rsidRPr="00ED1E5F">
              <w:rPr>
                <w:sz w:val="20"/>
                <w:szCs w:val="20"/>
                <w:lang w:eastAsia="en-US"/>
              </w:rPr>
              <w:t xml:space="preserve">   Издръжка</w:t>
            </w:r>
          </w:p>
        </w:tc>
        <w:tc>
          <w:tcPr>
            <w:tcW w:w="1418" w:type="dxa"/>
            <w:tcBorders>
              <w:top w:val="nil"/>
              <w:left w:val="nil"/>
              <w:bottom w:val="single" w:sz="4" w:space="0" w:color="auto"/>
              <w:right w:val="single" w:sz="4" w:space="0" w:color="auto"/>
            </w:tcBorders>
            <w:shd w:val="clear" w:color="auto" w:fill="auto"/>
            <w:noWrap/>
            <w:vAlign w:val="bottom"/>
            <w:hideMark/>
          </w:tcPr>
          <w:p w14:paraId="551C15C5"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17C055A"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14:paraId="7DE61EEA" w14:textId="77777777" w:rsidR="00CD75D4" w:rsidRPr="00ED1E5F" w:rsidRDefault="00CD75D4" w:rsidP="00CD75D4">
            <w:pPr>
              <w:spacing w:line="276" w:lineRule="auto"/>
              <w:jc w:val="right"/>
              <w:rPr>
                <w:sz w:val="20"/>
                <w:szCs w:val="20"/>
                <w:lang w:eastAsia="en-US"/>
              </w:rPr>
            </w:pPr>
          </w:p>
        </w:tc>
      </w:tr>
      <w:tr w:rsidR="00CD75D4" w:rsidRPr="00ED1E5F" w14:paraId="731C6E52" w14:textId="77777777" w:rsidTr="00010E75">
        <w:trPr>
          <w:trHeight w:val="131"/>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D4F2B17"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2134E1D5" w14:textId="77777777" w:rsidR="00CD75D4" w:rsidRPr="00ED1E5F" w:rsidRDefault="00CD75D4" w:rsidP="00CD75D4">
            <w:pPr>
              <w:spacing w:line="276" w:lineRule="auto"/>
              <w:ind w:firstLineChars="200" w:firstLine="400"/>
              <w:rPr>
                <w:sz w:val="20"/>
                <w:szCs w:val="20"/>
                <w:lang w:eastAsia="en-US"/>
              </w:rPr>
            </w:pPr>
            <w:r w:rsidRPr="00ED1E5F">
              <w:rPr>
                <w:sz w:val="20"/>
                <w:szCs w:val="20"/>
                <w:lang w:eastAsia="en-US"/>
              </w:rPr>
              <w:t xml:space="preserve">   Капиталови разходи</w:t>
            </w:r>
          </w:p>
        </w:tc>
        <w:tc>
          <w:tcPr>
            <w:tcW w:w="1418" w:type="dxa"/>
            <w:tcBorders>
              <w:top w:val="nil"/>
              <w:left w:val="nil"/>
              <w:bottom w:val="single" w:sz="4" w:space="0" w:color="auto"/>
              <w:right w:val="single" w:sz="4" w:space="0" w:color="auto"/>
            </w:tcBorders>
            <w:shd w:val="clear" w:color="auto" w:fill="auto"/>
            <w:noWrap/>
            <w:vAlign w:val="bottom"/>
            <w:hideMark/>
          </w:tcPr>
          <w:p w14:paraId="04C86D64"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1953F9"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14:paraId="1EB7253E" w14:textId="77777777" w:rsidR="00CD75D4" w:rsidRPr="00ED1E5F" w:rsidRDefault="00CD75D4" w:rsidP="00CD75D4">
            <w:pPr>
              <w:spacing w:line="276" w:lineRule="auto"/>
              <w:jc w:val="right"/>
              <w:rPr>
                <w:sz w:val="20"/>
                <w:szCs w:val="20"/>
                <w:lang w:val="en-US" w:eastAsia="en-US"/>
              </w:rPr>
            </w:pPr>
          </w:p>
        </w:tc>
      </w:tr>
      <w:tr w:rsidR="00CD75D4" w:rsidRPr="00ED1E5F" w14:paraId="61AFF539" w14:textId="77777777" w:rsidTr="00010E75">
        <w:trPr>
          <w:trHeight w:val="27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4C145D6"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25A0FAEF" w14:textId="77777777" w:rsidR="00CD75D4" w:rsidRPr="00ED1E5F" w:rsidRDefault="00CD75D4" w:rsidP="00CD75D4">
            <w:pPr>
              <w:spacing w:line="276" w:lineRule="auto"/>
              <w:rPr>
                <w:sz w:val="20"/>
                <w:szCs w:val="20"/>
                <w:lang w:eastAsia="en-US"/>
              </w:rPr>
            </w:pPr>
            <w:r w:rsidRPr="00ED1E5F">
              <w:rPr>
                <w:sz w:val="20"/>
                <w:szCs w:val="20"/>
                <w:lang w:eastAsia="en-US"/>
              </w:rPr>
              <w:t>Администрирани разходни показатели **</w:t>
            </w:r>
          </w:p>
        </w:tc>
        <w:tc>
          <w:tcPr>
            <w:tcW w:w="1418" w:type="dxa"/>
            <w:tcBorders>
              <w:top w:val="nil"/>
              <w:left w:val="nil"/>
              <w:bottom w:val="single" w:sz="4" w:space="0" w:color="auto"/>
              <w:right w:val="single" w:sz="4" w:space="0" w:color="auto"/>
            </w:tcBorders>
            <w:shd w:val="clear" w:color="auto" w:fill="auto"/>
            <w:noWrap/>
            <w:vAlign w:val="bottom"/>
            <w:hideMark/>
          </w:tcPr>
          <w:p w14:paraId="2BC774A6"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DD2C545"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14:paraId="39E6AE0D" w14:textId="77777777" w:rsidR="00CD75D4" w:rsidRPr="00ED1E5F" w:rsidRDefault="00CD75D4" w:rsidP="00CD75D4">
            <w:pPr>
              <w:spacing w:line="276" w:lineRule="auto"/>
              <w:jc w:val="right"/>
              <w:rPr>
                <w:sz w:val="20"/>
                <w:szCs w:val="20"/>
                <w:lang w:eastAsia="en-US"/>
              </w:rPr>
            </w:pPr>
            <w:r w:rsidRPr="00ED1E5F">
              <w:rPr>
                <w:sz w:val="20"/>
                <w:szCs w:val="20"/>
              </w:rPr>
              <w:t> </w:t>
            </w:r>
          </w:p>
        </w:tc>
      </w:tr>
      <w:tr w:rsidR="00CD75D4" w:rsidRPr="00ED1E5F" w14:paraId="387AACD1" w14:textId="77777777" w:rsidTr="00010E75">
        <w:trPr>
          <w:trHeight w:val="376"/>
        </w:trPr>
        <w:tc>
          <w:tcPr>
            <w:tcW w:w="645" w:type="dxa"/>
            <w:tcBorders>
              <w:top w:val="nil"/>
              <w:left w:val="single" w:sz="4" w:space="0" w:color="auto"/>
              <w:bottom w:val="single" w:sz="4" w:space="0" w:color="auto"/>
              <w:right w:val="single" w:sz="4" w:space="0" w:color="auto"/>
            </w:tcBorders>
            <w:shd w:val="clear" w:color="D9D9D9" w:fill="E6E6E6"/>
            <w:noWrap/>
            <w:vAlign w:val="bottom"/>
            <w:hideMark/>
          </w:tcPr>
          <w:p w14:paraId="365F7701" w14:textId="77777777" w:rsidR="00CD75D4" w:rsidRPr="00ED1E5F" w:rsidRDefault="00CD75D4" w:rsidP="00CD75D4">
            <w:pPr>
              <w:spacing w:line="276" w:lineRule="auto"/>
              <w:jc w:val="both"/>
              <w:rPr>
                <w:b/>
                <w:bCs/>
                <w:sz w:val="20"/>
                <w:szCs w:val="20"/>
                <w:lang w:eastAsia="en-US"/>
              </w:rPr>
            </w:pPr>
            <w:r w:rsidRPr="00ED1E5F">
              <w:rPr>
                <w:b/>
                <w:bCs/>
                <w:sz w:val="20"/>
                <w:szCs w:val="20"/>
                <w:lang w:eastAsia="en-US"/>
              </w:rPr>
              <w:t>ІІ.</w:t>
            </w:r>
          </w:p>
        </w:tc>
        <w:tc>
          <w:tcPr>
            <w:tcW w:w="5162" w:type="dxa"/>
            <w:tcBorders>
              <w:top w:val="nil"/>
              <w:left w:val="nil"/>
              <w:bottom w:val="single" w:sz="4" w:space="0" w:color="auto"/>
              <w:right w:val="single" w:sz="4" w:space="0" w:color="auto"/>
            </w:tcBorders>
            <w:shd w:val="clear" w:color="D9D9D9" w:fill="E6E6E6"/>
            <w:noWrap/>
            <w:vAlign w:val="bottom"/>
            <w:hideMark/>
          </w:tcPr>
          <w:p w14:paraId="07653F67" w14:textId="77777777" w:rsidR="00CD75D4" w:rsidRPr="00ED1E5F" w:rsidRDefault="00CD75D4" w:rsidP="00CD75D4">
            <w:pPr>
              <w:spacing w:line="276" w:lineRule="auto"/>
              <w:rPr>
                <w:b/>
                <w:bCs/>
                <w:sz w:val="20"/>
                <w:szCs w:val="20"/>
                <w:lang w:eastAsia="en-US"/>
              </w:rPr>
            </w:pPr>
            <w:r w:rsidRPr="00ED1E5F">
              <w:rPr>
                <w:b/>
                <w:bCs/>
                <w:sz w:val="20"/>
                <w:szCs w:val="20"/>
                <w:lang w:eastAsia="en-US"/>
              </w:rPr>
              <w:t xml:space="preserve">Администрирани разходни параграфи по бюджета </w:t>
            </w:r>
          </w:p>
        </w:tc>
        <w:tc>
          <w:tcPr>
            <w:tcW w:w="1418" w:type="dxa"/>
            <w:tcBorders>
              <w:top w:val="nil"/>
              <w:left w:val="nil"/>
              <w:bottom w:val="single" w:sz="4" w:space="0" w:color="auto"/>
              <w:right w:val="single" w:sz="4" w:space="0" w:color="auto"/>
            </w:tcBorders>
            <w:shd w:val="clear" w:color="D9D9D9" w:fill="E6E6E6"/>
            <w:noWrap/>
            <w:vAlign w:val="bottom"/>
            <w:hideMark/>
          </w:tcPr>
          <w:p w14:paraId="523E0452" w14:textId="77777777" w:rsidR="00CD75D4" w:rsidRPr="00ED1E5F" w:rsidRDefault="00CD75D4" w:rsidP="00CD75D4">
            <w:pPr>
              <w:spacing w:line="276" w:lineRule="auto"/>
              <w:jc w:val="right"/>
              <w:rPr>
                <w:b/>
                <w:bCs/>
                <w:sz w:val="20"/>
                <w:szCs w:val="20"/>
                <w:lang w:eastAsia="en-US"/>
              </w:rPr>
            </w:pPr>
            <w:r w:rsidRPr="00ED1E5F">
              <w:rPr>
                <w:b/>
                <w:bCs/>
                <w:sz w:val="20"/>
                <w:szCs w:val="20"/>
              </w:rPr>
              <w:t>0 </w:t>
            </w:r>
          </w:p>
        </w:tc>
        <w:tc>
          <w:tcPr>
            <w:tcW w:w="1350" w:type="dxa"/>
            <w:tcBorders>
              <w:top w:val="nil"/>
              <w:left w:val="nil"/>
              <w:bottom w:val="single" w:sz="4" w:space="0" w:color="auto"/>
              <w:right w:val="single" w:sz="4" w:space="0" w:color="auto"/>
            </w:tcBorders>
            <w:shd w:val="clear" w:color="D9D9D9" w:fill="E6E6E6"/>
            <w:noWrap/>
            <w:vAlign w:val="bottom"/>
            <w:hideMark/>
          </w:tcPr>
          <w:p w14:paraId="30389695" w14:textId="77777777" w:rsidR="00CD75D4" w:rsidRPr="00ED1E5F" w:rsidRDefault="00CD75D4" w:rsidP="00CD75D4">
            <w:pPr>
              <w:spacing w:line="276" w:lineRule="auto"/>
              <w:jc w:val="right"/>
              <w:rPr>
                <w:b/>
                <w:bCs/>
                <w:sz w:val="20"/>
                <w:szCs w:val="20"/>
                <w:lang w:eastAsia="en-US"/>
              </w:rPr>
            </w:pPr>
            <w:r w:rsidRPr="00ED1E5F">
              <w:rPr>
                <w:b/>
                <w:bCs/>
                <w:sz w:val="20"/>
                <w:szCs w:val="20"/>
              </w:rPr>
              <w:t>0 </w:t>
            </w:r>
          </w:p>
        </w:tc>
        <w:tc>
          <w:tcPr>
            <w:tcW w:w="1144" w:type="dxa"/>
            <w:tcBorders>
              <w:top w:val="nil"/>
              <w:left w:val="nil"/>
              <w:bottom w:val="single" w:sz="4" w:space="0" w:color="auto"/>
              <w:right w:val="single" w:sz="4" w:space="0" w:color="auto"/>
            </w:tcBorders>
            <w:shd w:val="clear" w:color="D9D9D9" w:fill="E6E6E6"/>
            <w:noWrap/>
            <w:vAlign w:val="bottom"/>
            <w:hideMark/>
          </w:tcPr>
          <w:p w14:paraId="05F58EF9" w14:textId="77777777" w:rsidR="00CD75D4" w:rsidRPr="00ED1E5F" w:rsidRDefault="00CD75D4" w:rsidP="00CD75D4">
            <w:pPr>
              <w:spacing w:line="276" w:lineRule="auto"/>
              <w:jc w:val="right"/>
              <w:rPr>
                <w:b/>
                <w:bCs/>
                <w:sz w:val="20"/>
                <w:szCs w:val="20"/>
                <w:lang w:eastAsia="en-US"/>
              </w:rPr>
            </w:pPr>
            <w:r w:rsidRPr="00ED1E5F">
              <w:rPr>
                <w:b/>
                <w:bCs/>
                <w:sz w:val="20"/>
                <w:szCs w:val="20"/>
              </w:rPr>
              <w:t>0 </w:t>
            </w:r>
          </w:p>
        </w:tc>
      </w:tr>
      <w:tr w:rsidR="00CD75D4" w:rsidRPr="00ED1E5F" w14:paraId="62766782" w14:textId="77777777" w:rsidTr="00010E75">
        <w:trPr>
          <w:trHeight w:val="376"/>
        </w:trPr>
        <w:tc>
          <w:tcPr>
            <w:tcW w:w="645" w:type="dxa"/>
            <w:tcBorders>
              <w:top w:val="nil"/>
              <w:left w:val="single" w:sz="4" w:space="0" w:color="auto"/>
              <w:bottom w:val="single" w:sz="4" w:space="0" w:color="auto"/>
              <w:right w:val="single" w:sz="4" w:space="0" w:color="auto"/>
            </w:tcBorders>
            <w:shd w:val="clear" w:color="D9D9D9" w:fill="E6E6E6"/>
            <w:noWrap/>
            <w:vAlign w:val="bottom"/>
          </w:tcPr>
          <w:p w14:paraId="554496E8" w14:textId="77777777" w:rsidR="00CD75D4" w:rsidRPr="00ED1E5F" w:rsidRDefault="00CD75D4" w:rsidP="00CD75D4">
            <w:pPr>
              <w:spacing w:line="276" w:lineRule="auto"/>
              <w:jc w:val="both"/>
              <w:rPr>
                <w:sz w:val="20"/>
                <w:szCs w:val="20"/>
                <w:lang w:eastAsia="en-US"/>
              </w:rPr>
            </w:pPr>
          </w:p>
        </w:tc>
        <w:tc>
          <w:tcPr>
            <w:tcW w:w="5162" w:type="dxa"/>
            <w:tcBorders>
              <w:top w:val="nil"/>
              <w:left w:val="nil"/>
              <w:bottom w:val="single" w:sz="4" w:space="0" w:color="auto"/>
              <w:right w:val="single" w:sz="4" w:space="0" w:color="auto"/>
            </w:tcBorders>
            <w:shd w:val="clear" w:color="D9D9D9" w:fill="E6E6E6"/>
            <w:noWrap/>
            <w:vAlign w:val="bottom"/>
          </w:tcPr>
          <w:p w14:paraId="435E18F9" w14:textId="77777777" w:rsidR="00CD75D4" w:rsidRPr="00ED1E5F" w:rsidRDefault="00CD75D4" w:rsidP="00CD75D4">
            <w:pPr>
              <w:spacing w:line="276" w:lineRule="auto"/>
              <w:rPr>
                <w:sz w:val="20"/>
                <w:szCs w:val="20"/>
                <w:lang w:eastAsia="en-US"/>
              </w:rPr>
            </w:pPr>
          </w:p>
        </w:tc>
        <w:tc>
          <w:tcPr>
            <w:tcW w:w="1418" w:type="dxa"/>
            <w:tcBorders>
              <w:top w:val="nil"/>
              <w:left w:val="nil"/>
              <w:bottom w:val="single" w:sz="4" w:space="0" w:color="auto"/>
              <w:right w:val="single" w:sz="4" w:space="0" w:color="auto"/>
            </w:tcBorders>
            <w:shd w:val="clear" w:color="D9D9D9" w:fill="E6E6E6"/>
            <w:noWrap/>
            <w:vAlign w:val="bottom"/>
          </w:tcPr>
          <w:p w14:paraId="0BF0E85E" w14:textId="77777777" w:rsidR="00CD75D4" w:rsidRPr="00ED1E5F" w:rsidRDefault="00CD75D4" w:rsidP="00CD75D4">
            <w:pPr>
              <w:spacing w:line="276" w:lineRule="auto"/>
              <w:jc w:val="right"/>
              <w:rPr>
                <w:sz w:val="20"/>
                <w:szCs w:val="20"/>
                <w:lang w:eastAsia="en-US"/>
              </w:rPr>
            </w:pPr>
          </w:p>
        </w:tc>
        <w:tc>
          <w:tcPr>
            <w:tcW w:w="1350" w:type="dxa"/>
            <w:tcBorders>
              <w:top w:val="nil"/>
              <w:left w:val="nil"/>
              <w:bottom w:val="single" w:sz="4" w:space="0" w:color="auto"/>
              <w:right w:val="single" w:sz="4" w:space="0" w:color="auto"/>
            </w:tcBorders>
            <w:shd w:val="clear" w:color="D9D9D9" w:fill="E6E6E6"/>
            <w:noWrap/>
            <w:vAlign w:val="bottom"/>
          </w:tcPr>
          <w:p w14:paraId="340F24CF" w14:textId="77777777" w:rsidR="00CD75D4" w:rsidRPr="00ED1E5F" w:rsidRDefault="00CD75D4" w:rsidP="00CD75D4">
            <w:pPr>
              <w:spacing w:line="276" w:lineRule="auto"/>
              <w:jc w:val="right"/>
              <w:rPr>
                <w:sz w:val="20"/>
                <w:szCs w:val="20"/>
                <w:lang w:eastAsia="en-US"/>
              </w:rPr>
            </w:pPr>
          </w:p>
        </w:tc>
        <w:tc>
          <w:tcPr>
            <w:tcW w:w="1144" w:type="dxa"/>
            <w:tcBorders>
              <w:top w:val="nil"/>
              <w:left w:val="nil"/>
              <w:bottom w:val="single" w:sz="4" w:space="0" w:color="auto"/>
              <w:right w:val="single" w:sz="4" w:space="0" w:color="auto"/>
            </w:tcBorders>
            <w:shd w:val="clear" w:color="D9D9D9" w:fill="E6E6E6"/>
            <w:noWrap/>
            <w:vAlign w:val="bottom"/>
          </w:tcPr>
          <w:p w14:paraId="4403D7B1" w14:textId="77777777" w:rsidR="00CD75D4" w:rsidRPr="00ED1E5F" w:rsidRDefault="00CD75D4" w:rsidP="00CD75D4">
            <w:pPr>
              <w:spacing w:line="276" w:lineRule="auto"/>
              <w:jc w:val="right"/>
              <w:rPr>
                <w:sz w:val="20"/>
                <w:szCs w:val="20"/>
                <w:lang w:eastAsia="en-US"/>
              </w:rPr>
            </w:pPr>
          </w:p>
        </w:tc>
      </w:tr>
      <w:tr w:rsidR="00CD75D4" w:rsidRPr="00ED1E5F" w14:paraId="4335F67F" w14:textId="77777777" w:rsidTr="00010E75">
        <w:trPr>
          <w:trHeight w:val="376"/>
        </w:trPr>
        <w:tc>
          <w:tcPr>
            <w:tcW w:w="645" w:type="dxa"/>
            <w:tcBorders>
              <w:top w:val="nil"/>
              <w:left w:val="single" w:sz="4" w:space="0" w:color="auto"/>
              <w:bottom w:val="single" w:sz="4" w:space="0" w:color="auto"/>
              <w:right w:val="single" w:sz="4" w:space="0" w:color="auto"/>
            </w:tcBorders>
            <w:shd w:val="clear" w:color="D9D9D9" w:fill="E6E6E6"/>
            <w:noWrap/>
            <w:vAlign w:val="bottom"/>
            <w:hideMark/>
          </w:tcPr>
          <w:p w14:paraId="736DC7A1" w14:textId="77777777" w:rsidR="00CD75D4" w:rsidRPr="00ED1E5F" w:rsidRDefault="00CD75D4" w:rsidP="00CD75D4">
            <w:pPr>
              <w:spacing w:line="276" w:lineRule="auto"/>
              <w:jc w:val="both"/>
              <w:rPr>
                <w:b/>
                <w:bCs/>
                <w:sz w:val="20"/>
                <w:szCs w:val="20"/>
                <w:lang w:eastAsia="en-US"/>
              </w:rPr>
            </w:pPr>
            <w:r w:rsidRPr="00ED1E5F">
              <w:rPr>
                <w:b/>
                <w:bCs/>
                <w:sz w:val="20"/>
                <w:szCs w:val="20"/>
                <w:lang w:eastAsia="en-US"/>
              </w:rPr>
              <w:t>ІІІ.</w:t>
            </w:r>
          </w:p>
        </w:tc>
        <w:tc>
          <w:tcPr>
            <w:tcW w:w="5162" w:type="dxa"/>
            <w:tcBorders>
              <w:top w:val="nil"/>
              <w:left w:val="nil"/>
              <w:bottom w:val="single" w:sz="4" w:space="0" w:color="auto"/>
              <w:right w:val="single" w:sz="4" w:space="0" w:color="auto"/>
            </w:tcBorders>
            <w:shd w:val="clear" w:color="D9D9D9" w:fill="E6E6E6"/>
            <w:noWrap/>
            <w:vAlign w:val="bottom"/>
            <w:hideMark/>
          </w:tcPr>
          <w:p w14:paraId="559070C9" w14:textId="77777777" w:rsidR="00CD75D4" w:rsidRPr="00ED1E5F" w:rsidRDefault="00CD75D4" w:rsidP="00CD75D4">
            <w:pPr>
              <w:spacing w:line="276" w:lineRule="auto"/>
              <w:rPr>
                <w:b/>
                <w:bCs/>
                <w:sz w:val="20"/>
                <w:szCs w:val="20"/>
                <w:lang w:eastAsia="en-US"/>
              </w:rPr>
            </w:pPr>
            <w:r w:rsidRPr="00ED1E5F">
              <w:rPr>
                <w:b/>
                <w:bCs/>
                <w:sz w:val="20"/>
                <w:szCs w:val="20"/>
                <w:lang w:eastAsia="en-US"/>
              </w:rPr>
              <w:t>Администрирани разходни параграфи по други бюджети и сметки за средства от ЕС</w:t>
            </w:r>
          </w:p>
        </w:tc>
        <w:tc>
          <w:tcPr>
            <w:tcW w:w="1418" w:type="dxa"/>
            <w:tcBorders>
              <w:top w:val="nil"/>
              <w:left w:val="nil"/>
              <w:bottom w:val="single" w:sz="4" w:space="0" w:color="auto"/>
              <w:right w:val="single" w:sz="4" w:space="0" w:color="auto"/>
            </w:tcBorders>
            <w:shd w:val="clear" w:color="D9D9D9" w:fill="E6E6E6"/>
            <w:noWrap/>
            <w:vAlign w:val="bottom"/>
            <w:hideMark/>
          </w:tcPr>
          <w:p w14:paraId="2143AE41" w14:textId="77777777" w:rsidR="00CD75D4" w:rsidRPr="00ED1E5F" w:rsidRDefault="00CD75D4" w:rsidP="00CD75D4">
            <w:pPr>
              <w:spacing w:line="276" w:lineRule="auto"/>
              <w:jc w:val="right"/>
              <w:rPr>
                <w:b/>
                <w:bCs/>
                <w:sz w:val="20"/>
                <w:szCs w:val="20"/>
                <w:lang w:eastAsia="en-US"/>
              </w:rPr>
            </w:pPr>
            <w:r w:rsidRPr="00ED1E5F">
              <w:rPr>
                <w:b/>
                <w:bCs/>
                <w:sz w:val="20"/>
                <w:szCs w:val="20"/>
              </w:rPr>
              <w:t>0 </w:t>
            </w:r>
          </w:p>
        </w:tc>
        <w:tc>
          <w:tcPr>
            <w:tcW w:w="1350" w:type="dxa"/>
            <w:tcBorders>
              <w:top w:val="nil"/>
              <w:left w:val="nil"/>
              <w:bottom w:val="single" w:sz="4" w:space="0" w:color="auto"/>
              <w:right w:val="single" w:sz="4" w:space="0" w:color="auto"/>
            </w:tcBorders>
            <w:shd w:val="clear" w:color="D9D9D9" w:fill="E6E6E6"/>
            <w:noWrap/>
            <w:vAlign w:val="bottom"/>
            <w:hideMark/>
          </w:tcPr>
          <w:p w14:paraId="3C80C848" w14:textId="77777777" w:rsidR="00CD75D4" w:rsidRPr="00ED1E5F" w:rsidRDefault="00CD75D4" w:rsidP="00CD75D4">
            <w:pPr>
              <w:spacing w:line="276" w:lineRule="auto"/>
              <w:jc w:val="right"/>
              <w:rPr>
                <w:b/>
                <w:bCs/>
                <w:sz w:val="20"/>
                <w:szCs w:val="20"/>
                <w:lang w:eastAsia="en-US"/>
              </w:rPr>
            </w:pPr>
            <w:r w:rsidRPr="00ED1E5F">
              <w:rPr>
                <w:b/>
                <w:bCs/>
                <w:sz w:val="20"/>
                <w:szCs w:val="20"/>
              </w:rPr>
              <w:t>0 </w:t>
            </w:r>
          </w:p>
        </w:tc>
        <w:tc>
          <w:tcPr>
            <w:tcW w:w="1144" w:type="dxa"/>
            <w:tcBorders>
              <w:top w:val="nil"/>
              <w:left w:val="nil"/>
              <w:bottom w:val="single" w:sz="4" w:space="0" w:color="auto"/>
              <w:right w:val="single" w:sz="4" w:space="0" w:color="auto"/>
            </w:tcBorders>
            <w:shd w:val="clear" w:color="D9D9D9" w:fill="E6E6E6"/>
            <w:noWrap/>
            <w:vAlign w:val="bottom"/>
            <w:hideMark/>
          </w:tcPr>
          <w:p w14:paraId="339055BD" w14:textId="77777777" w:rsidR="00CD75D4" w:rsidRPr="00ED1E5F" w:rsidRDefault="00CD75D4" w:rsidP="00CD75D4">
            <w:pPr>
              <w:spacing w:line="276" w:lineRule="auto"/>
              <w:jc w:val="right"/>
              <w:rPr>
                <w:b/>
                <w:bCs/>
                <w:sz w:val="20"/>
                <w:szCs w:val="20"/>
                <w:lang w:eastAsia="en-US"/>
              </w:rPr>
            </w:pPr>
            <w:r w:rsidRPr="00ED1E5F">
              <w:rPr>
                <w:b/>
                <w:bCs/>
                <w:sz w:val="20"/>
                <w:szCs w:val="20"/>
              </w:rPr>
              <w:t> 0</w:t>
            </w:r>
          </w:p>
        </w:tc>
      </w:tr>
      <w:tr w:rsidR="00CD75D4" w:rsidRPr="00ED1E5F" w14:paraId="10AFEA55" w14:textId="77777777" w:rsidTr="00010E75">
        <w:trPr>
          <w:trHeight w:val="269"/>
        </w:trPr>
        <w:tc>
          <w:tcPr>
            <w:tcW w:w="645" w:type="dxa"/>
            <w:tcBorders>
              <w:top w:val="nil"/>
              <w:left w:val="single" w:sz="4" w:space="0" w:color="auto"/>
              <w:bottom w:val="single" w:sz="4" w:space="0" w:color="auto"/>
              <w:right w:val="single" w:sz="4" w:space="0" w:color="auto"/>
            </w:tcBorders>
            <w:shd w:val="clear" w:color="D9D9D9" w:fill="E6E6E6"/>
            <w:noWrap/>
            <w:vAlign w:val="bottom"/>
            <w:hideMark/>
          </w:tcPr>
          <w:p w14:paraId="083E40E1" w14:textId="77777777" w:rsidR="00CD75D4" w:rsidRPr="00ED1E5F" w:rsidRDefault="00CD75D4" w:rsidP="00CD75D4">
            <w:pPr>
              <w:spacing w:line="276" w:lineRule="auto"/>
              <w:jc w:val="both"/>
              <w:rPr>
                <w:b/>
                <w:bCs/>
                <w:sz w:val="20"/>
                <w:szCs w:val="20"/>
                <w:lang w:eastAsia="en-US"/>
              </w:rPr>
            </w:pPr>
            <w:r w:rsidRPr="00ED1E5F">
              <w:rPr>
                <w:b/>
                <w:bCs/>
                <w:sz w:val="20"/>
                <w:szCs w:val="20"/>
                <w:lang w:eastAsia="en-US"/>
              </w:rPr>
              <w:t> </w:t>
            </w:r>
          </w:p>
        </w:tc>
        <w:tc>
          <w:tcPr>
            <w:tcW w:w="5162" w:type="dxa"/>
            <w:tcBorders>
              <w:top w:val="nil"/>
              <w:left w:val="nil"/>
              <w:bottom w:val="single" w:sz="4" w:space="0" w:color="auto"/>
              <w:right w:val="single" w:sz="4" w:space="0" w:color="auto"/>
            </w:tcBorders>
            <w:shd w:val="clear" w:color="D9D9D9" w:fill="E6E6E6"/>
            <w:noWrap/>
            <w:vAlign w:val="bottom"/>
            <w:hideMark/>
          </w:tcPr>
          <w:p w14:paraId="574BA9F0" w14:textId="77777777" w:rsidR="00CD75D4" w:rsidRPr="00ED1E5F" w:rsidRDefault="00CD75D4" w:rsidP="00CD75D4">
            <w:pPr>
              <w:spacing w:line="276" w:lineRule="auto"/>
              <w:rPr>
                <w:b/>
                <w:bCs/>
                <w:sz w:val="20"/>
                <w:szCs w:val="20"/>
                <w:lang w:eastAsia="en-US"/>
              </w:rPr>
            </w:pPr>
            <w:r w:rsidRPr="00ED1E5F">
              <w:rPr>
                <w:b/>
                <w:bCs/>
                <w:sz w:val="20"/>
                <w:szCs w:val="20"/>
                <w:lang w:eastAsia="en-US"/>
              </w:rPr>
              <w:t>Общо администрирани разходи (ІІ+ІІІ):</w:t>
            </w:r>
          </w:p>
        </w:tc>
        <w:tc>
          <w:tcPr>
            <w:tcW w:w="1418" w:type="dxa"/>
            <w:tcBorders>
              <w:top w:val="nil"/>
              <w:left w:val="nil"/>
              <w:bottom w:val="single" w:sz="4" w:space="0" w:color="auto"/>
              <w:right w:val="single" w:sz="4" w:space="0" w:color="auto"/>
            </w:tcBorders>
            <w:shd w:val="clear" w:color="D9D9D9" w:fill="E6E6E6"/>
            <w:noWrap/>
            <w:vAlign w:val="bottom"/>
            <w:hideMark/>
          </w:tcPr>
          <w:p w14:paraId="0CC350DB" w14:textId="77777777" w:rsidR="00CD75D4" w:rsidRPr="00ED1E5F" w:rsidRDefault="00CD75D4" w:rsidP="00CD75D4">
            <w:pPr>
              <w:spacing w:line="276" w:lineRule="auto"/>
              <w:jc w:val="right"/>
              <w:rPr>
                <w:b/>
                <w:bCs/>
                <w:sz w:val="20"/>
                <w:szCs w:val="20"/>
                <w:lang w:eastAsia="en-US"/>
              </w:rPr>
            </w:pPr>
            <w:r w:rsidRPr="00ED1E5F">
              <w:rPr>
                <w:b/>
                <w:bCs/>
                <w:sz w:val="20"/>
                <w:szCs w:val="20"/>
              </w:rPr>
              <w:t>0 </w:t>
            </w:r>
          </w:p>
        </w:tc>
        <w:tc>
          <w:tcPr>
            <w:tcW w:w="1350" w:type="dxa"/>
            <w:tcBorders>
              <w:top w:val="nil"/>
              <w:left w:val="nil"/>
              <w:bottom w:val="single" w:sz="4" w:space="0" w:color="auto"/>
              <w:right w:val="single" w:sz="4" w:space="0" w:color="auto"/>
            </w:tcBorders>
            <w:shd w:val="clear" w:color="D9D9D9" w:fill="E6E6E6"/>
            <w:noWrap/>
            <w:vAlign w:val="bottom"/>
            <w:hideMark/>
          </w:tcPr>
          <w:p w14:paraId="3C018DEB" w14:textId="77777777" w:rsidR="00CD75D4" w:rsidRPr="00ED1E5F" w:rsidRDefault="00CD75D4" w:rsidP="00CD75D4">
            <w:pPr>
              <w:spacing w:line="276" w:lineRule="auto"/>
              <w:jc w:val="right"/>
              <w:rPr>
                <w:b/>
                <w:bCs/>
                <w:sz w:val="20"/>
                <w:szCs w:val="20"/>
                <w:lang w:eastAsia="en-US"/>
              </w:rPr>
            </w:pPr>
            <w:r w:rsidRPr="00ED1E5F">
              <w:rPr>
                <w:b/>
                <w:bCs/>
                <w:sz w:val="20"/>
                <w:szCs w:val="20"/>
              </w:rPr>
              <w:t>0 </w:t>
            </w:r>
          </w:p>
        </w:tc>
        <w:tc>
          <w:tcPr>
            <w:tcW w:w="1144" w:type="dxa"/>
            <w:tcBorders>
              <w:top w:val="nil"/>
              <w:left w:val="nil"/>
              <w:bottom w:val="single" w:sz="4" w:space="0" w:color="auto"/>
              <w:right w:val="single" w:sz="4" w:space="0" w:color="auto"/>
            </w:tcBorders>
            <w:shd w:val="clear" w:color="D9D9D9" w:fill="E6E6E6"/>
            <w:noWrap/>
            <w:vAlign w:val="bottom"/>
            <w:hideMark/>
          </w:tcPr>
          <w:p w14:paraId="22AE383B" w14:textId="77777777" w:rsidR="00CD75D4" w:rsidRPr="00ED1E5F" w:rsidRDefault="00CD75D4" w:rsidP="00CD75D4">
            <w:pPr>
              <w:spacing w:line="276" w:lineRule="auto"/>
              <w:jc w:val="right"/>
              <w:rPr>
                <w:b/>
                <w:bCs/>
                <w:sz w:val="20"/>
                <w:szCs w:val="20"/>
                <w:lang w:eastAsia="en-US"/>
              </w:rPr>
            </w:pPr>
            <w:r w:rsidRPr="00ED1E5F">
              <w:rPr>
                <w:b/>
                <w:bCs/>
                <w:sz w:val="20"/>
                <w:szCs w:val="20"/>
              </w:rPr>
              <w:t>0</w:t>
            </w:r>
          </w:p>
        </w:tc>
      </w:tr>
      <w:tr w:rsidR="00CD75D4" w:rsidRPr="00ED1E5F" w14:paraId="5D70D04A" w14:textId="77777777" w:rsidTr="00010E75">
        <w:trPr>
          <w:trHeight w:val="288"/>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7BD6983"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4885ADFE" w14:textId="77777777" w:rsidR="00CD75D4" w:rsidRPr="00ED1E5F" w:rsidRDefault="00CD75D4" w:rsidP="00CD75D4">
            <w:pPr>
              <w:spacing w:line="276" w:lineRule="auto"/>
              <w:rPr>
                <w:sz w:val="20"/>
                <w:szCs w:val="20"/>
                <w:lang w:eastAsia="en-US"/>
              </w:rPr>
            </w:pPr>
            <w:r w:rsidRPr="00ED1E5F">
              <w:rPr>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70B639"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E0B9774"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14:paraId="5DBE0273" w14:textId="77777777" w:rsidR="00CD75D4" w:rsidRPr="00ED1E5F" w:rsidRDefault="00CD75D4" w:rsidP="00CD75D4">
            <w:pPr>
              <w:spacing w:line="276" w:lineRule="auto"/>
              <w:jc w:val="right"/>
              <w:rPr>
                <w:sz w:val="20"/>
                <w:szCs w:val="20"/>
                <w:lang w:eastAsia="en-US"/>
              </w:rPr>
            </w:pPr>
            <w:r w:rsidRPr="00ED1E5F">
              <w:rPr>
                <w:sz w:val="20"/>
                <w:szCs w:val="20"/>
              </w:rPr>
              <w:t> </w:t>
            </w:r>
          </w:p>
        </w:tc>
      </w:tr>
      <w:tr w:rsidR="00CD75D4" w:rsidRPr="00ED1E5F" w14:paraId="0D587012" w14:textId="77777777" w:rsidTr="00010E75">
        <w:trPr>
          <w:trHeight w:val="121"/>
        </w:trPr>
        <w:tc>
          <w:tcPr>
            <w:tcW w:w="645" w:type="dxa"/>
            <w:tcBorders>
              <w:top w:val="nil"/>
              <w:left w:val="single" w:sz="4" w:space="0" w:color="auto"/>
              <w:bottom w:val="single" w:sz="4" w:space="0" w:color="auto"/>
              <w:right w:val="single" w:sz="4" w:space="0" w:color="auto"/>
            </w:tcBorders>
            <w:shd w:val="clear" w:color="D9D9D9" w:fill="E6E6E6"/>
            <w:noWrap/>
            <w:vAlign w:val="bottom"/>
            <w:hideMark/>
          </w:tcPr>
          <w:p w14:paraId="4BF390E8" w14:textId="77777777" w:rsidR="00CD75D4" w:rsidRPr="00ED1E5F" w:rsidRDefault="00CD75D4" w:rsidP="00CD75D4">
            <w:pPr>
              <w:spacing w:line="276" w:lineRule="auto"/>
              <w:jc w:val="both"/>
              <w:rPr>
                <w:b/>
                <w:bCs/>
                <w:sz w:val="20"/>
                <w:szCs w:val="20"/>
                <w:lang w:eastAsia="en-US"/>
              </w:rPr>
            </w:pPr>
            <w:r w:rsidRPr="00ED1E5F">
              <w:rPr>
                <w:b/>
                <w:bCs/>
                <w:sz w:val="20"/>
                <w:szCs w:val="20"/>
                <w:lang w:eastAsia="en-US"/>
              </w:rPr>
              <w:t> </w:t>
            </w:r>
          </w:p>
        </w:tc>
        <w:tc>
          <w:tcPr>
            <w:tcW w:w="5162" w:type="dxa"/>
            <w:tcBorders>
              <w:top w:val="nil"/>
              <w:left w:val="nil"/>
              <w:bottom w:val="single" w:sz="4" w:space="0" w:color="auto"/>
              <w:right w:val="single" w:sz="4" w:space="0" w:color="auto"/>
            </w:tcBorders>
            <w:shd w:val="clear" w:color="D9D9D9" w:fill="E6E6E6"/>
            <w:noWrap/>
            <w:vAlign w:val="bottom"/>
            <w:hideMark/>
          </w:tcPr>
          <w:p w14:paraId="5A0AEEF1" w14:textId="77777777" w:rsidR="00CD75D4" w:rsidRPr="00ED1E5F" w:rsidRDefault="00CD75D4" w:rsidP="00CD75D4">
            <w:pPr>
              <w:spacing w:line="276" w:lineRule="auto"/>
              <w:rPr>
                <w:b/>
                <w:bCs/>
                <w:sz w:val="20"/>
                <w:szCs w:val="20"/>
                <w:lang w:eastAsia="en-US"/>
              </w:rPr>
            </w:pPr>
            <w:r w:rsidRPr="00ED1E5F">
              <w:rPr>
                <w:b/>
                <w:bCs/>
                <w:sz w:val="20"/>
                <w:szCs w:val="20"/>
                <w:lang w:eastAsia="en-US"/>
              </w:rPr>
              <w:t>Общо разходи по бюджета (І.1+ІІ):</w:t>
            </w:r>
          </w:p>
        </w:tc>
        <w:tc>
          <w:tcPr>
            <w:tcW w:w="1418" w:type="dxa"/>
            <w:tcBorders>
              <w:top w:val="nil"/>
              <w:left w:val="nil"/>
              <w:bottom w:val="single" w:sz="4" w:space="0" w:color="auto"/>
              <w:right w:val="single" w:sz="4" w:space="0" w:color="auto"/>
            </w:tcBorders>
            <w:shd w:val="clear" w:color="D9D9D9" w:fill="E6E6E6"/>
            <w:noWrap/>
            <w:vAlign w:val="bottom"/>
            <w:hideMark/>
          </w:tcPr>
          <w:p w14:paraId="707D8B82" w14:textId="77777777" w:rsidR="00CD75D4" w:rsidRPr="00ED1E5F" w:rsidRDefault="00CD75D4" w:rsidP="00CD75D4">
            <w:pPr>
              <w:spacing w:line="276" w:lineRule="auto"/>
              <w:jc w:val="right"/>
              <w:rPr>
                <w:b/>
                <w:bCs/>
                <w:sz w:val="20"/>
                <w:szCs w:val="20"/>
                <w:lang w:eastAsia="en-US"/>
              </w:rPr>
            </w:pPr>
            <w:r w:rsidRPr="00ED1E5F">
              <w:rPr>
                <w:b/>
                <w:bCs/>
                <w:sz w:val="20"/>
                <w:szCs w:val="20"/>
              </w:rPr>
              <w:t>28 038 300</w:t>
            </w:r>
          </w:p>
        </w:tc>
        <w:tc>
          <w:tcPr>
            <w:tcW w:w="1350" w:type="dxa"/>
            <w:tcBorders>
              <w:top w:val="nil"/>
              <w:left w:val="nil"/>
              <w:bottom w:val="single" w:sz="4" w:space="0" w:color="auto"/>
              <w:right w:val="single" w:sz="4" w:space="0" w:color="auto"/>
            </w:tcBorders>
            <w:shd w:val="clear" w:color="D9D9D9" w:fill="E6E6E6"/>
            <w:noWrap/>
            <w:vAlign w:val="bottom"/>
            <w:hideMark/>
          </w:tcPr>
          <w:p w14:paraId="1B5DF303" w14:textId="77777777" w:rsidR="00CD75D4" w:rsidRPr="00ED1E5F" w:rsidRDefault="00CD75D4" w:rsidP="00CD75D4">
            <w:pPr>
              <w:spacing w:line="276" w:lineRule="auto"/>
              <w:jc w:val="right"/>
              <w:rPr>
                <w:b/>
                <w:bCs/>
                <w:sz w:val="20"/>
                <w:szCs w:val="20"/>
                <w:lang w:eastAsia="en-US"/>
              </w:rPr>
            </w:pPr>
            <w:r w:rsidRPr="00ED1E5F">
              <w:rPr>
                <w:b/>
                <w:bCs/>
                <w:sz w:val="20"/>
                <w:szCs w:val="20"/>
                <w:lang w:eastAsia="en-US"/>
              </w:rPr>
              <w:t>28 038 300</w:t>
            </w:r>
          </w:p>
        </w:tc>
        <w:tc>
          <w:tcPr>
            <w:tcW w:w="1144" w:type="dxa"/>
            <w:tcBorders>
              <w:top w:val="nil"/>
              <w:left w:val="nil"/>
              <w:bottom w:val="single" w:sz="4" w:space="0" w:color="auto"/>
              <w:right w:val="single" w:sz="4" w:space="0" w:color="auto"/>
            </w:tcBorders>
            <w:shd w:val="clear" w:color="D9D9D9" w:fill="E6E6E6"/>
            <w:noWrap/>
            <w:vAlign w:val="bottom"/>
            <w:hideMark/>
          </w:tcPr>
          <w:p w14:paraId="7E408C6F" w14:textId="77777777" w:rsidR="00CD75D4" w:rsidRPr="00ED1E5F" w:rsidRDefault="00CD75D4" w:rsidP="00CD75D4">
            <w:pPr>
              <w:spacing w:line="276" w:lineRule="auto"/>
              <w:jc w:val="right"/>
              <w:rPr>
                <w:b/>
                <w:bCs/>
                <w:sz w:val="20"/>
                <w:szCs w:val="20"/>
                <w:lang w:eastAsia="en-US"/>
              </w:rPr>
            </w:pPr>
            <w:r w:rsidRPr="00ED1E5F">
              <w:rPr>
                <w:b/>
                <w:bCs/>
                <w:sz w:val="20"/>
                <w:szCs w:val="20"/>
              </w:rPr>
              <w:t>10 889 386</w:t>
            </w:r>
          </w:p>
        </w:tc>
      </w:tr>
      <w:tr w:rsidR="00CD75D4" w:rsidRPr="00ED1E5F" w14:paraId="768FBB6E" w14:textId="77777777" w:rsidTr="00010E75">
        <w:trPr>
          <w:trHeight w:val="13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4D00BD4"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0C627AB7" w14:textId="77777777" w:rsidR="00CD75D4" w:rsidRPr="00ED1E5F" w:rsidRDefault="00CD75D4" w:rsidP="00CD75D4">
            <w:pPr>
              <w:spacing w:line="276" w:lineRule="auto"/>
              <w:rPr>
                <w:sz w:val="20"/>
                <w:szCs w:val="20"/>
                <w:lang w:eastAsia="en-US"/>
              </w:rPr>
            </w:pPr>
            <w:r w:rsidRPr="00ED1E5F">
              <w:rPr>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0A88E3"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4322E1A"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14:paraId="741F79C7" w14:textId="77777777" w:rsidR="00CD75D4" w:rsidRPr="00ED1E5F" w:rsidRDefault="00CD75D4" w:rsidP="00CD75D4">
            <w:pPr>
              <w:spacing w:line="276" w:lineRule="auto"/>
              <w:jc w:val="right"/>
              <w:rPr>
                <w:sz w:val="20"/>
                <w:szCs w:val="20"/>
                <w:lang w:eastAsia="en-US"/>
              </w:rPr>
            </w:pPr>
            <w:r w:rsidRPr="00ED1E5F">
              <w:rPr>
                <w:sz w:val="20"/>
                <w:szCs w:val="20"/>
              </w:rPr>
              <w:t> </w:t>
            </w:r>
          </w:p>
        </w:tc>
      </w:tr>
      <w:tr w:rsidR="00CD75D4" w:rsidRPr="00ED1E5F" w14:paraId="4AF8C325" w14:textId="77777777" w:rsidTr="00010E75">
        <w:trPr>
          <w:trHeight w:val="201"/>
        </w:trPr>
        <w:tc>
          <w:tcPr>
            <w:tcW w:w="645" w:type="dxa"/>
            <w:tcBorders>
              <w:top w:val="nil"/>
              <w:left w:val="single" w:sz="4" w:space="0" w:color="auto"/>
              <w:bottom w:val="single" w:sz="4" w:space="0" w:color="auto"/>
              <w:right w:val="single" w:sz="4" w:space="0" w:color="auto"/>
            </w:tcBorders>
            <w:shd w:val="clear" w:color="D9D9D9" w:fill="E6E6E6"/>
            <w:noWrap/>
            <w:vAlign w:val="bottom"/>
            <w:hideMark/>
          </w:tcPr>
          <w:p w14:paraId="031659C9" w14:textId="77777777" w:rsidR="00CD75D4" w:rsidRPr="00ED1E5F" w:rsidRDefault="00CD75D4" w:rsidP="00CD75D4">
            <w:pPr>
              <w:spacing w:line="276" w:lineRule="auto"/>
              <w:jc w:val="both"/>
              <w:rPr>
                <w:b/>
                <w:bCs/>
                <w:sz w:val="20"/>
                <w:szCs w:val="20"/>
                <w:lang w:eastAsia="en-US"/>
              </w:rPr>
            </w:pPr>
            <w:r w:rsidRPr="00ED1E5F">
              <w:rPr>
                <w:b/>
                <w:bCs/>
                <w:sz w:val="20"/>
                <w:szCs w:val="20"/>
                <w:lang w:eastAsia="en-US"/>
              </w:rPr>
              <w:t> </w:t>
            </w:r>
          </w:p>
        </w:tc>
        <w:tc>
          <w:tcPr>
            <w:tcW w:w="5162" w:type="dxa"/>
            <w:tcBorders>
              <w:top w:val="nil"/>
              <w:left w:val="nil"/>
              <w:bottom w:val="single" w:sz="4" w:space="0" w:color="auto"/>
              <w:right w:val="single" w:sz="4" w:space="0" w:color="auto"/>
            </w:tcBorders>
            <w:shd w:val="clear" w:color="D9D9D9" w:fill="E6E6E6"/>
            <w:noWrap/>
            <w:vAlign w:val="bottom"/>
            <w:hideMark/>
          </w:tcPr>
          <w:p w14:paraId="0B7F1A03" w14:textId="77777777" w:rsidR="00CD75D4" w:rsidRPr="00ED1E5F" w:rsidRDefault="00CD75D4" w:rsidP="00CD75D4">
            <w:pPr>
              <w:spacing w:line="276" w:lineRule="auto"/>
              <w:rPr>
                <w:b/>
                <w:bCs/>
                <w:sz w:val="20"/>
                <w:szCs w:val="20"/>
                <w:lang w:eastAsia="en-US"/>
              </w:rPr>
            </w:pPr>
            <w:r w:rsidRPr="00ED1E5F">
              <w:rPr>
                <w:b/>
                <w:bCs/>
                <w:sz w:val="20"/>
                <w:szCs w:val="20"/>
                <w:lang w:eastAsia="en-US"/>
              </w:rPr>
              <w:t>Общо разходи (І+ІІ+ІІІ):</w:t>
            </w:r>
          </w:p>
        </w:tc>
        <w:tc>
          <w:tcPr>
            <w:tcW w:w="1418" w:type="dxa"/>
            <w:tcBorders>
              <w:top w:val="nil"/>
              <w:left w:val="nil"/>
              <w:bottom w:val="single" w:sz="4" w:space="0" w:color="auto"/>
              <w:right w:val="single" w:sz="4" w:space="0" w:color="auto"/>
            </w:tcBorders>
            <w:shd w:val="clear" w:color="D9D9D9" w:fill="E6E6E6"/>
            <w:noWrap/>
            <w:vAlign w:val="bottom"/>
            <w:hideMark/>
          </w:tcPr>
          <w:p w14:paraId="26159C17" w14:textId="77777777" w:rsidR="00CD75D4" w:rsidRPr="00ED1E5F" w:rsidRDefault="00CD75D4" w:rsidP="00CD75D4">
            <w:pPr>
              <w:spacing w:line="276" w:lineRule="auto"/>
              <w:jc w:val="right"/>
              <w:rPr>
                <w:b/>
                <w:bCs/>
                <w:sz w:val="20"/>
                <w:szCs w:val="20"/>
                <w:lang w:val="en-US" w:eastAsia="en-US"/>
              </w:rPr>
            </w:pPr>
            <w:r w:rsidRPr="00ED1E5F">
              <w:rPr>
                <w:b/>
                <w:bCs/>
                <w:sz w:val="20"/>
                <w:szCs w:val="20"/>
              </w:rPr>
              <w:t>28 038 300</w:t>
            </w:r>
          </w:p>
        </w:tc>
        <w:tc>
          <w:tcPr>
            <w:tcW w:w="1350" w:type="dxa"/>
            <w:tcBorders>
              <w:top w:val="nil"/>
              <w:left w:val="nil"/>
              <w:bottom w:val="single" w:sz="4" w:space="0" w:color="auto"/>
              <w:right w:val="single" w:sz="4" w:space="0" w:color="auto"/>
            </w:tcBorders>
            <w:shd w:val="clear" w:color="D9D9D9" w:fill="E6E6E6"/>
            <w:noWrap/>
            <w:vAlign w:val="bottom"/>
            <w:hideMark/>
          </w:tcPr>
          <w:p w14:paraId="2611F544" w14:textId="77777777" w:rsidR="00CD75D4" w:rsidRPr="00ED1E5F" w:rsidRDefault="00CD75D4" w:rsidP="00CD75D4">
            <w:pPr>
              <w:spacing w:line="276" w:lineRule="auto"/>
              <w:jc w:val="right"/>
              <w:rPr>
                <w:b/>
                <w:bCs/>
                <w:sz w:val="20"/>
                <w:szCs w:val="20"/>
                <w:lang w:eastAsia="en-US"/>
              </w:rPr>
            </w:pPr>
            <w:r w:rsidRPr="00ED1E5F">
              <w:rPr>
                <w:b/>
                <w:bCs/>
                <w:sz w:val="20"/>
                <w:szCs w:val="20"/>
                <w:lang w:eastAsia="en-US"/>
              </w:rPr>
              <w:t>28 038 300</w:t>
            </w:r>
          </w:p>
        </w:tc>
        <w:tc>
          <w:tcPr>
            <w:tcW w:w="1144" w:type="dxa"/>
            <w:tcBorders>
              <w:top w:val="nil"/>
              <w:left w:val="nil"/>
              <w:bottom w:val="single" w:sz="4" w:space="0" w:color="auto"/>
              <w:right w:val="single" w:sz="4" w:space="0" w:color="auto"/>
            </w:tcBorders>
            <w:shd w:val="clear" w:color="D9D9D9" w:fill="E6E6E6"/>
            <w:noWrap/>
            <w:vAlign w:val="bottom"/>
            <w:hideMark/>
          </w:tcPr>
          <w:p w14:paraId="19FAF0E8" w14:textId="77777777" w:rsidR="00CD75D4" w:rsidRPr="00ED1E5F" w:rsidRDefault="00CD75D4" w:rsidP="00CD75D4">
            <w:pPr>
              <w:spacing w:line="276" w:lineRule="auto"/>
              <w:jc w:val="right"/>
              <w:rPr>
                <w:b/>
                <w:bCs/>
                <w:sz w:val="20"/>
                <w:szCs w:val="20"/>
                <w:lang w:eastAsia="en-US"/>
              </w:rPr>
            </w:pPr>
            <w:r w:rsidRPr="00ED1E5F">
              <w:rPr>
                <w:b/>
                <w:bCs/>
                <w:sz w:val="20"/>
                <w:szCs w:val="20"/>
              </w:rPr>
              <w:t>10 889 386</w:t>
            </w:r>
          </w:p>
        </w:tc>
      </w:tr>
      <w:tr w:rsidR="00CD75D4" w:rsidRPr="00ED1E5F" w14:paraId="7D02F6F5" w14:textId="77777777" w:rsidTr="00010E75">
        <w:trPr>
          <w:trHeight w:val="247"/>
        </w:trPr>
        <w:tc>
          <w:tcPr>
            <w:tcW w:w="645" w:type="dxa"/>
            <w:tcBorders>
              <w:top w:val="nil"/>
              <w:left w:val="single" w:sz="4" w:space="0" w:color="auto"/>
              <w:bottom w:val="single" w:sz="4" w:space="0" w:color="auto"/>
              <w:right w:val="single" w:sz="4" w:space="0" w:color="auto"/>
            </w:tcBorders>
            <w:shd w:val="clear" w:color="D9D9D9" w:fill="E6E6E6"/>
            <w:noWrap/>
            <w:vAlign w:val="bottom"/>
            <w:hideMark/>
          </w:tcPr>
          <w:p w14:paraId="44632FE1"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D9D9D9" w:fill="E6E6E6"/>
            <w:noWrap/>
            <w:vAlign w:val="bottom"/>
            <w:hideMark/>
          </w:tcPr>
          <w:p w14:paraId="2C30AD32" w14:textId="77777777" w:rsidR="00CD75D4" w:rsidRPr="00ED1E5F" w:rsidRDefault="00CD75D4" w:rsidP="00CD75D4">
            <w:pPr>
              <w:spacing w:line="276" w:lineRule="auto"/>
              <w:rPr>
                <w:sz w:val="20"/>
                <w:szCs w:val="20"/>
                <w:lang w:eastAsia="en-US"/>
              </w:rPr>
            </w:pPr>
            <w:r w:rsidRPr="00ED1E5F">
              <w:rPr>
                <w:sz w:val="20"/>
                <w:szCs w:val="20"/>
                <w:lang w:eastAsia="en-US"/>
              </w:rPr>
              <w:t> </w:t>
            </w:r>
          </w:p>
        </w:tc>
        <w:tc>
          <w:tcPr>
            <w:tcW w:w="1418" w:type="dxa"/>
            <w:tcBorders>
              <w:top w:val="nil"/>
              <w:left w:val="nil"/>
              <w:bottom w:val="single" w:sz="4" w:space="0" w:color="auto"/>
              <w:right w:val="single" w:sz="4" w:space="0" w:color="auto"/>
            </w:tcBorders>
            <w:shd w:val="clear" w:color="D9D9D9" w:fill="E6E6E6"/>
            <w:noWrap/>
            <w:vAlign w:val="bottom"/>
            <w:hideMark/>
          </w:tcPr>
          <w:p w14:paraId="62712490"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350" w:type="dxa"/>
            <w:tcBorders>
              <w:top w:val="nil"/>
              <w:left w:val="nil"/>
              <w:bottom w:val="single" w:sz="4" w:space="0" w:color="auto"/>
              <w:right w:val="single" w:sz="4" w:space="0" w:color="auto"/>
            </w:tcBorders>
            <w:shd w:val="clear" w:color="D9D9D9" w:fill="E6E6E6"/>
            <w:noWrap/>
            <w:vAlign w:val="bottom"/>
            <w:hideMark/>
          </w:tcPr>
          <w:p w14:paraId="29949A81" w14:textId="77777777" w:rsidR="00CD75D4" w:rsidRPr="00ED1E5F" w:rsidRDefault="00CD75D4" w:rsidP="00CD75D4">
            <w:pPr>
              <w:spacing w:line="276" w:lineRule="auto"/>
              <w:jc w:val="right"/>
              <w:rPr>
                <w:sz w:val="20"/>
                <w:szCs w:val="20"/>
                <w:lang w:eastAsia="en-US"/>
              </w:rPr>
            </w:pPr>
            <w:r w:rsidRPr="00ED1E5F">
              <w:rPr>
                <w:sz w:val="20"/>
                <w:szCs w:val="20"/>
              </w:rPr>
              <w:t> </w:t>
            </w:r>
          </w:p>
        </w:tc>
        <w:tc>
          <w:tcPr>
            <w:tcW w:w="1144" w:type="dxa"/>
            <w:tcBorders>
              <w:top w:val="nil"/>
              <w:left w:val="nil"/>
              <w:bottom w:val="single" w:sz="4" w:space="0" w:color="auto"/>
              <w:right w:val="single" w:sz="4" w:space="0" w:color="auto"/>
            </w:tcBorders>
            <w:shd w:val="clear" w:color="D9D9D9" w:fill="E6E6E6"/>
            <w:noWrap/>
            <w:vAlign w:val="bottom"/>
            <w:hideMark/>
          </w:tcPr>
          <w:p w14:paraId="44F819CF" w14:textId="77777777" w:rsidR="00CD75D4" w:rsidRPr="00ED1E5F" w:rsidRDefault="00CD75D4" w:rsidP="00CD75D4">
            <w:pPr>
              <w:spacing w:line="276" w:lineRule="auto"/>
              <w:jc w:val="right"/>
              <w:rPr>
                <w:sz w:val="20"/>
                <w:szCs w:val="20"/>
                <w:lang w:eastAsia="en-US"/>
              </w:rPr>
            </w:pPr>
            <w:r w:rsidRPr="00ED1E5F">
              <w:rPr>
                <w:sz w:val="20"/>
                <w:szCs w:val="20"/>
              </w:rPr>
              <w:t> </w:t>
            </w:r>
          </w:p>
        </w:tc>
      </w:tr>
      <w:tr w:rsidR="00CD75D4" w:rsidRPr="00ED1E5F" w14:paraId="52AD6AD1" w14:textId="77777777" w:rsidTr="00010E75">
        <w:trPr>
          <w:trHeight w:val="27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5C91042"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3D81AC89" w14:textId="77777777" w:rsidR="00CD75D4" w:rsidRPr="00ED1E5F" w:rsidRDefault="00CD75D4" w:rsidP="00CD75D4">
            <w:pPr>
              <w:spacing w:line="276" w:lineRule="auto"/>
              <w:rPr>
                <w:sz w:val="20"/>
                <w:szCs w:val="20"/>
                <w:lang w:eastAsia="en-US"/>
              </w:rPr>
            </w:pPr>
            <w:r w:rsidRPr="00ED1E5F">
              <w:rPr>
                <w:sz w:val="20"/>
                <w:szCs w:val="20"/>
                <w:lang w:eastAsia="en-US"/>
              </w:rPr>
              <w:t>Численост на щатния персонал</w:t>
            </w:r>
          </w:p>
        </w:tc>
        <w:tc>
          <w:tcPr>
            <w:tcW w:w="1418" w:type="dxa"/>
            <w:tcBorders>
              <w:top w:val="nil"/>
              <w:left w:val="nil"/>
              <w:bottom w:val="single" w:sz="4" w:space="0" w:color="auto"/>
              <w:right w:val="single" w:sz="4" w:space="0" w:color="auto"/>
            </w:tcBorders>
            <w:shd w:val="clear" w:color="auto" w:fill="auto"/>
            <w:noWrap/>
            <w:vAlign w:val="bottom"/>
            <w:hideMark/>
          </w:tcPr>
          <w:p w14:paraId="32C4E7A6" w14:textId="77777777" w:rsidR="00CD75D4" w:rsidRPr="00ED1E5F" w:rsidRDefault="00CD75D4" w:rsidP="00CD75D4">
            <w:pPr>
              <w:spacing w:line="276" w:lineRule="auto"/>
              <w:jc w:val="right"/>
              <w:rPr>
                <w:b/>
                <w:sz w:val="20"/>
                <w:szCs w:val="20"/>
                <w:lang w:eastAsia="en-US"/>
              </w:rPr>
            </w:pPr>
            <w:r w:rsidRPr="00ED1E5F">
              <w:rPr>
                <w:b/>
                <w:sz w:val="20"/>
                <w:szCs w:val="20"/>
              </w:rPr>
              <w:t>265 </w:t>
            </w:r>
          </w:p>
        </w:tc>
        <w:tc>
          <w:tcPr>
            <w:tcW w:w="1350" w:type="dxa"/>
            <w:tcBorders>
              <w:top w:val="nil"/>
              <w:left w:val="nil"/>
              <w:bottom w:val="single" w:sz="4" w:space="0" w:color="auto"/>
              <w:right w:val="single" w:sz="4" w:space="0" w:color="auto"/>
            </w:tcBorders>
            <w:shd w:val="clear" w:color="auto" w:fill="auto"/>
            <w:noWrap/>
            <w:vAlign w:val="bottom"/>
            <w:hideMark/>
          </w:tcPr>
          <w:p w14:paraId="46F7AA04" w14:textId="77777777" w:rsidR="00CD75D4" w:rsidRPr="00ED1E5F" w:rsidRDefault="00CD75D4" w:rsidP="00CD75D4">
            <w:pPr>
              <w:spacing w:line="276" w:lineRule="auto"/>
              <w:jc w:val="right"/>
              <w:rPr>
                <w:b/>
                <w:sz w:val="20"/>
                <w:szCs w:val="20"/>
                <w:lang w:eastAsia="en-US"/>
              </w:rPr>
            </w:pPr>
            <w:r w:rsidRPr="00ED1E5F">
              <w:rPr>
                <w:b/>
                <w:sz w:val="20"/>
                <w:szCs w:val="20"/>
                <w:lang w:eastAsia="en-US"/>
              </w:rPr>
              <w:t>265</w:t>
            </w:r>
          </w:p>
        </w:tc>
        <w:tc>
          <w:tcPr>
            <w:tcW w:w="1144" w:type="dxa"/>
            <w:tcBorders>
              <w:top w:val="nil"/>
              <w:left w:val="nil"/>
              <w:bottom w:val="single" w:sz="4" w:space="0" w:color="auto"/>
              <w:right w:val="single" w:sz="4" w:space="0" w:color="auto"/>
            </w:tcBorders>
            <w:shd w:val="clear" w:color="auto" w:fill="auto"/>
            <w:noWrap/>
            <w:vAlign w:val="bottom"/>
            <w:hideMark/>
          </w:tcPr>
          <w:p w14:paraId="264225B5" w14:textId="77777777" w:rsidR="00CD75D4" w:rsidRPr="00ED1E5F" w:rsidRDefault="00CD75D4" w:rsidP="00CD75D4">
            <w:pPr>
              <w:spacing w:line="276" w:lineRule="auto"/>
              <w:jc w:val="right"/>
              <w:rPr>
                <w:b/>
                <w:sz w:val="20"/>
                <w:szCs w:val="20"/>
                <w:lang w:eastAsia="en-US"/>
              </w:rPr>
            </w:pPr>
            <w:r w:rsidRPr="00ED1E5F">
              <w:rPr>
                <w:b/>
                <w:sz w:val="20"/>
                <w:szCs w:val="20"/>
              </w:rPr>
              <w:t>225</w:t>
            </w:r>
          </w:p>
        </w:tc>
      </w:tr>
      <w:tr w:rsidR="00CD75D4" w:rsidRPr="00ED1E5F" w14:paraId="1799F14C" w14:textId="77777777" w:rsidTr="00010E75">
        <w:trPr>
          <w:trHeight w:val="141"/>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61E7BA80" w14:textId="77777777" w:rsidR="00CD75D4" w:rsidRPr="00ED1E5F" w:rsidRDefault="00CD75D4" w:rsidP="00CD75D4">
            <w:pPr>
              <w:spacing w:line="276" w:lineRule="auto"/>
              <w:jc w:val="both"/>
              <w:rPr>
                <w:sz w:val="20"/>
                <w:szCs w:val="20"/>
                <w:lang w:eastAsia="en-US"/>
              </w:rPr>
            </w:pPr>
            <w:r w:rsidRPr="00ED1E5F">
              <w:rPr>
                <w:sz w:val="20"/>
                <w:szCs w:val="20"/>
                <w:lang w:eastAsia="en-US"/>
              </w:rPr>
              <w:t> </w:t>
            </w:r>
          </w:p>
        </w:tc>
        <w:tc>
          <w:tcPr>
            <w:tcW w:w="5162" w:type="dxa"/>
            <w:tcBorders>
              <w:top w:val="nil"/>
              <w:left w:val="nil"/>
              <w:bottom w:val="single" w:sz="4" w:space="0" w:color="auto"/>
              <w:right w:val="single" w:sz="4" w:space="0" w:color="auto"/>
            </w:tcBorders>
            <w:shd w:val="clear" w:color="auto" w:fill="auto"/>
            <w:noWrap/>
            <w:vAlign w:val="bottom"/>
            <w:hideMark/>
          </w:tcPr>
          <w:p w14:paraId="11EAB3E5" w14:textId="77777777" w:rsidR="00CD75D4" w:rsidRPr="00ED1E5F" w:rsidRDefault="00CD75D4" w:rsidP="00CD75D4">
            <w:pPr>
              <w:spacing w:line="276" w:lineRule="auto"/>
              <w:rPr>
                <w:sz w:val="20"/>
                <w:szCs w:val="20"/>
                <w:lang w:eastAsia="en-US"/>
              </w:rPr>
            </w:pPr>
            <w:r w:rsidRPr="00ED1E5F">
              <w:rPr>
                <w:sz w:val="20"/>
                <w:szCs w:val="20"/>
                <w:lang w:eastAsia="en-US"/>
              </w:rPr>
              <w:t>Численост на извънщатния персонал</w:t>
            </w:r>
          </w:p>
        </w:tc>
        <w:tc>
          <w:tcPr>
            <w:tcW w:w="1418" w:type="dxa"/>
            <w:tcBorders>
              <w:top w:val="nil"/>
              <w:left w:val="nil"/>
              <w:bottom w:val="single" w:sz="4" w:space="0" w:color="auto"/>
              <w:right w:val="single" w:sz="4" w:space="0" w:color="auto"/>
            </w:tcBorders>
            <w:shd w:val="clear" w:color="auto" w:fill="auto"/>
            <w:noWrap/>
            <w:vAlign w:val="bottom"/>
            <w:hideMark/>
          </w:tcPr>
          <w:p w14:paraId="7404012D" w14:textId="77777777" w:rsidR="00CD75D4" w:rsidRPr="00ED1E5F" w:rsidRDefault="00CD75D4" w:rsidP="00CD75D4">
            <w:pPr>
              <w:spacing w:line="276" w:lineRule="auto"/>
              <w:jc w:val="right"/>
              <w:rPr>
                <w:b/>
                <w:sz w:val="20"/>
                <w:szCs w:val="20"/>
                <w:lang w:eastAsia="en-US"/>
              </w:rPr>
            </w:pPr>
            <w:r w:rsidRPr="00ED1E5F">
              <w:rPr>
                <w:b/>
                <w:sz w:val="20"/>
                <w:szCs w:val="20"/>
              </w:rPr>
              <w:t>2 </w:t>
            </w:r>
          </w:p>
        </w:tc>
        <w:tc>
          <w:tcPr>
            <w:tcW w:w="1350" w:type="dxa"/>
            <w:tcBorders>
              <w:top w:val="nil"/>
              <w:left w:val="nil"/>
              <w:bottom w:val="single" w:sz="4" w:space="0" w:color="auto"/>
              <w:right w:val="single" w:sz="4" w:space="0" w:color="auto"/>
            </w:tcBorders>
            <w:shd w:val="clear" w:color="auto" w:fill="auto"/>
            <w:noWrap/>
            <w:vAlign w:val="bottom"/>
            <w:hideMark/>
          </w:tcPr>
          <w:p w14:paraId="58AE02E6" w14:textId="77777777" w:rsidR="00CD75D4" w:rsidRPr="00ED1E5F" w:rsidRDefault="00CD75D4" w:rsidP="00CD75D4">
            <w:pPr>
              <w:spacing w:line="276" w:lineRule="auto"/>
              <w:jc w:val="right"/>
              <w:rPr>
                <w:b/>
                <w:sz w:val="20"/>
                <w:szCs w:val="20"/>
                <w:lang w:eastAsia="en-US"/>
              </w:rPr>
            </w:pPr>
            <w:r w:rsidRPr="00ED1E5F">
              <w:rPr>
                <w:b/>
                <w:sz w:val="20"/>
                <w:szCs w:val="20"/>
              </w:rPr>
              <w:t>2 </w:t>
            </w:r>
          </w:p>
        </w:tc>
        <w:tc>
          <w:tcPr>
            <w:tcW w:w="1144" w:type="dxa"/>
            <w:tcBorders>
              <w:top w:val="nil"/>
              <w:left w:val="nil"/>
              <w:bottom w:val="single" w:sz="4" w:space="0" w:color="auto"/>
              <w:right w:val="single" w:sz="4" w:space="0" w:color="auto"/>
            </w:tcBorders>
            <w:shd w:val="clear" w:color="auto" w:fill="auto"/>
            <w:noWrap/>
            <w:vAlign w:val="bottom"/>
            <w:hideMark/>
          </w:tcPr>
          <w:p w14:paraId="26B20C98" w14:textId="77777777" w:rsidR="00CD75D4" w:rsidRPr="00ED1E5F" w:rsidRDefault="00CD75D4" w:rsidP="00CD75D4">
            <w:pPr>
              <w:spacing w:line="276" w:lineRule="auto"/>
              <w:jc w:val="right"/>
              <w:rPr>
                <w:b/>
                <w:sz w:val="20"/>
                <w:szCs w:val="20"/>
                <w:lang w:eastAsia="en-US"/>
              </w:rPr>
            </w:pPr>
            <w:r w:rsidRPr="00ED1E5F">
              <w:rPr>
                <w:b/>
                <w:sz w:val="20"/>
                <w:szCs w:val="20"/>
              </w:rPr>
              <w:t> 2</w:t>
            </w:r>
          </w:p>
        </w:tc>
      </w:tr>
    </w:tbl>
    <w:p w14:paraId="07CAAE6E" w14:textId="77777777" w:rsidR="00CD75D4" w:rsidRPr="00ED1E5F" w:rsidRDefault="00CD75D4" w:rsidP="00CD75D4">
      <w:pPr>
        <w:spacing w:after="160" w:line="259" w:lineRule="auto"/>
        <w:rPr>
          <w:rFonts w:eastAsiaTheme="minorHAnsi"/>
          <w:sz w:val="22"/>
          <w:szCs w:val="22"/>
          <w:lang w:val="en-US" w:eastAsia="en-US"/>
        </w:rPr>
      </w:pPr>
    </w:p>
    <w:p w14:paraId="70F5644A" w14:textId="77777777" w:rsidR="007D22B4" w:rsidRPr="00ED1E5F" w:rsidRDefault="007D22B4" w:rsidP="007D22B4">
      <w:pPr>
        <w:pStyle w:val="Heading2"/>
      </w:pPr>
      <w:bookmarkStart w:id="79" w:name="_Toc206148630"/>
      <w:r w:rsidRPr="00ED1E5F">
        <w:lastRenderedPageBreak/>
        <w:t>е) Отговорност за изпълнение на програмата</w:t>
      </w:r>
      <w:bookmarkEnd w:id="79"/>
    </w:p>
    <w:p w14:paraId="11154EFD" w14:textId="77777777" w:rsidR="007D22B4" w:rsidRPr="00ED1E5F" w:rsidRDefault="007D22B4" w:rsidP="007D22B4">
      <w:pPr>
        <w:shd w:val="clear" w:color="auto" w:fill="FFFFFF"/>
        <w:spacing w:line="276" w:lineRule="auto"/>
        <w:ind w:firstLine="851"/>
        <w:jc w:val="both"/>
        <w:rPr>
          <w:color w:val="000000"/>
        </w:rPr>
      </w:pPr>
      <w:r w:rsidRPr="00ED1E5F">
        <w:rPr>
          <w:color w:val="000000"/>
        </w:rPr>
        <w:t xml:space="preserve">Отговорността за изпълнението на програмата се носи от председателя на </w:t>
      </w:r>
      <w:r w:rsidRPr="00ED1E5F">
        <w:rPr>
          <w:rFonts w:cstheme="minorHAnsi"/>
        </w:rPr>
        <w:t>Комисията за финансов надзор</w:t>
      </w:r>
      <w:r w:rsidRPr="00ED1E5F">
        <w:rPr>
          <w:color w:val="000000"/>
        </w:rPr>
        <w:t xml:space="preserve">, заместник-председателите, члена на </w:t>
      </w:r>
      <w:r w:rsidRPr="00ED1E5F">
        <w:rPr>
          <w:rFonts w:eastAsia="Calibri"/>
          <w:iCs/>
        </w:rPr>
        <w:t>Комисията</w:t>
      </w:r>
      <w:r w:rsidRPr="00ED1E5F">
        <w:rPr>
          <w:color w:val="000000"/>
        </w:rPr>
        <w:t xml:space="preserve"> и ръководителите на структурните звена.</w:t>
      </w:r>
    </w:p>
    <w:p w14:paraId="79840D28" w14:textId="77777777" w:rsidR="007D22B4" w:rsidRPr="00287218" w:rsidRDefault="007D22B4" w:rsidP="007D22B4">
      <w:pPr>
        <w:shd w:val="clear" w:color="auto" w:fill="FFFFFF"/>
        <w:spacing w:line="276" w:lineRule="auto"/>
        <w:ind w:firstLine="851"/>
        <w:jc w:val="both"/>
        <w:rPr>
          <w:color w:val="000000"/>
        </w:rPr>
      </w:pPr>
      <w:r w:rsidRPr="00ED1E5F">
        <w:rPr>
          <w:color w:val="000000"/>
        </w:rPr>
        <w:t>Отговорността на дирекциите, които участват в изпълнението на целите на програмата, е регламентирана в ЗКФН и Правилника за устройството</w:t>
      </w:r>
      <w:r w:rsidRPr="00287218">
        <w:rPr>
          <w:color w:val="000000"/>
        </w:rPr>
        <w:t xml:space="preserve"> и дейността на Комисията за финансов надзор и на нейната администрация.</w:t>
      </w:r>
    </w:p>
    <w:p w14:paraId="59F9C226" w14:textId="77777777" w:rsidR="007D22B4" w:rsidRPr="00287218" w:rsidRDefault="007D22B4" w:rsidP="007D22B4">
      <w:pPr>
        <w:shd w:val="clear" w:color="auto" w:fill="FFFFFF"/>
        <w:spacing w:line="276" w:lineRule="auto"/>
        <w:ind w:firstLine="851"/>
        <w:jc w:val="both"/>
        <w:rPr>
          <w:color w:val="000000"/>
          <w:lang w:val="ru-RU"/>
        </w:rPr>
      </w:pPr>
    </w:p>
    <w:p w14:paraId="5D9A0724" w14:textId="77777777" w:rsidR="00E077B4" w:rsidRPr="00287218" w:rsidRDefault="00E077B4" w:rsidP="00B177C8">
      <w:pPr>
        <w:shd w:val="clear" w:color="auto" w:fill="FFFFFF"/>
        <w:spacing w:line="276" w:lineRule="auto"/>
        <w:ind w:firstLine="851"/>
        <w:jc w:val="both"/>
        <w:rPr>
          <w:color w:val="000000"/>
        </w:rPr>
      </w:pPr>
    </w:p>
    <w:p w14:paraId="7910DA06" w14:textId="77777777" w:rsidR="00E00A1B" w:rsidRPr="00287218" w:rsidRDefault="00E00A1B" w:rsidP="00E00A1B">
      <w:pPr>
        <w:tabs>
          <w:tab w:val="left" w:pos="9043"/>
        </w:tabs>
        <w:autoSpaceDE w:val="0"/>
        <w:autoSpaceDN w:val="0"/>
        <w:adjustRightInd w:val="0"/>
        <w:ind w:left="1416" w:firstLine="1418"/>
        <w:jc w:val="both"/>
        <w:rPr>
          <w:b/>
          <w:sz w:val="28"/>
          <w:szCs w:val="28"/>
        </w:rPr>
      </w:pPr>
      <w:r w:rsidRPr="00287218">
        <w:rPr>
          <w:b/>
          <w:sz w:val="28"/>
          <w:szCs w:val="28"/>
        </w:rPr>
        <w:t xml:space="preserve">              ПРЕДСЕДАТЕЛ:</w:t>
      </w:r>
    </w:p>
    <w:p w14:paraId="1689123E" w14:textId="77777777" w:rsidR="00E00A1B" w:rsidRPr="00287218" w:rsidRDefault="00E00A1B" w:rsidP="00E00A1B">
      <w:pPr>
        <w:tabs>
          <w:tab w:val="left" w:pos="9043"/>
        </w:tabs>
        <w:autoSpaceDE w:val="0"/>
        <w:autoSpaceDN w:val="0"/>
        <w:adjustRightInd w:val="0"/>
        <w:ind w:left="1416" w:firstLine="1418"/>
        <w:jc w:val="both"/>
        <w:rPr>
          <w:b/>
          <w:sz w:val="28"/>
          <w:szCs w:val="28"/>
        </w:rPr>
      </w:pPr>
    </w:p>
    <w:p w14:paraId="238D83F5" w14:textId="73EB9BAE" w:rsidR="00E00A1B" w:rsidRPr="00F86718" w:rsidRDefault="00E00A1B" w:rsidP="007F2952">
      <w:pPr>
        <w:tabs>
          <w:tab w:val="left" w:pos="9043"/>
        </w:tabs>
        <w:autoSpaceDE w:val="0"/>
        <w:autoSpaceDN w:val="0"/>
        <w:adjustRightInd w:val="0"/>
        <w:ind w:left="2124" w:firstLine="2"/>
        <w:jc w:val="right"/>
        <w:rPr>
          <w:b/>
          <w:sz w:val="28"/>
          <w:szCs w:val="28"/>
          <w:lang w:val="ru-RU"/>
        </w:rPr>
      </w:pPr>
      <w:r w:rsidRPr="00287218">
        <w:rPr>
          <w:b/>
          <w:sz w:val="28"/>
          <w:szCs w:val="28"/>
        </w:rPr>
        <w:t xml:space="preserve">                                                 </w:t>
      </w:r>
      <w:r w:rsidR="00243770">
        <w:rPr>
          <w:b/>
          <w:sz w:val="28"/>
          <w:szCs w:val="28"/>
        </w:rPr>
        <w:t>ВАСИЛ ГОЛЕМАНСКИ</w:t>
      </w:r>
    </w:p>
    <w:p w14:paraId="070C00A9" w14:textId="77777777" w:rsidR="00E44A2A" w:rsidRDefault="00E44A2A" w:rsidP="00B177C8">
      <w:pPr>
        <w:shd w:val="clear" w:color="auto" w:fill="FFFFFF"/>
        <w:spacing w:line="276" w:lineRule="auto"/>
        <w:ind w:firstLine="851"/>
        <w:jc w:val="both"/>
        <w:rPr>
          <w:color w:val="000000"/>
        </w:rPr>
      </w:pPr>
    </w:p>
    <w:p w14:paraId="7281FEC6" w14:textId="77777777" w:rsidR="00E077B4" w:rsidRDefault="00E077B4" w:rsidP="00B177C8">
      <w:pPr>
        <w:shd w:val="clear" w:color="auto" w:fill="FFFFFF"/>
        <w:spacing w:line="276" w:lineRule="auto"/>
        <w:ind w:firstLine="851"/>
        <w:jc w:val="both"/>
        <w:rPr>
          <w:color w:val="000000"/>
        </w:rPr>
      </w:pPr>
      <w:bookmarkStart w:id="80" w:name="_GoBack"/>
      <w:bookmarkEnd w:id="80"/>
    </w:p>
    <w:sectPr w:rsidR="00E077B4" w:rsidSect="009A1BDC">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EFA6A" w14:textId="77777777" w:rsidR="00097454" w:rsidRDefault="00097454" w:rsidP="00E76B3C">
      <w:r>
        <w:separator/>
      </w:r>
    </w:p>
  </w:endnote>
  <w:endnote w:type="continuationSeparator" w:id="0">
    <w:p w14:paraId="668D0EED" w14:textId="77777777" w:rsidR="00097454" w:rsidRDefault="00097454" w:rsidP="00E7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UAlbertina">
    <w:altName w:val="Arial"/>
    <w:panose1 w:val="00000000000000000000"/>
    <w:charset w:val="CC"/>
    <w:family w:val="roman"/>
    <w:notTrueType/>
    <w:pitch w:val="default"/>
    <w:sig w:usb0="00000203" w:usb1="00000000" w:usb2="00000000" w:usb3="00000000" w:csb0="00000005" w:csb1="00000000"/>
  </w:font>
  <w:font w:name="Hebar">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13028"/>
      <w:docPartObj>
        <w:docPartGallery w:val="Page Numbers (Bottom of Page)"/>
        <w:docPartUnique/>
      </w:docPartObj>
    </w:sdtPr>
    <w:sdtEndPr>
      <w:rPr>
        <w:noProof/>
      </w:rPr>
    </w:sdtEndPr>
    <w:sdtContent>
      <w:p w14:paraId="2756D3C0" w14:textId="28787D08" w:rsidR="005D2BCB" w:rsidRDefault="005D2BCB">
        <w:pPr>
          <w:pStyle w:val="Footer"/>
          <w:jc w:val="right"/>
        </w:pPr>
        <w:r>
          <w:fldChar w:fldCharType="begin"/>
        </w:r>
        <w:r>
          <w:instrText xml:space="preserve"> PAGE   \* MERGEFORMAT </w:instrText>
        </w:r>
        <w:r>
          <w:fldChar w:fldCharType="separate"/>
        </w:r>
        <w:r w:rsidR="005D0C0F">
          <w:rPr>
            <w:noProof/>
          </w:rPr>
          <w:t>2</w:t>
        </w:r>
        <w:r>
          <w:rPr>
            <w:noProof/>
          </w:rPr>
          <w:fldChar w:fldCharType="end"/>
        </w:r>
      </w:p>
    </w:sdtContent>
  </w:sdt>
  <w:p w14:paraId="4906326F" w14:textId="77777777" w:rsidR="005D2BCB" w:rsidRDefault="005D2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836861"/>
      <w:docPartObj>
        <w:docPartGallery w:val="Page Numbers (Bottom of Page)"/>
        <w:docPartUnique/>
      </w:docPartObj>
    </w:sdtPr>
    <w:sdtEndPr>
      <w:rPr>
        <w:noProof/>
      </w:rPr>
    </w:sdtEndPr>
    <w:sdtContent>
      <w:p w14:paraId="0B8B2FD9" w14:textId="2E350236" w:rsidR="005D2BCB" w:rsidRDefault="005D2BCB">
        <w:pPr>
          <w:pStyle w:val="Footer"/>
          <w:jc w:val="right"/>
        </w:pPr>
        <w:r>
          <w:fldChar w:fldCharType="begin"/>
        </w:r>
        <w:r>
          <w:instrText xml:space="preserve"> PAGE   \* MERGEFORMAT </w:instrText>
        </w:r>
        <w:r>
          <w:fldChar w:fldCharType="separate"/>
        </w:r>
        <w:r w:rsidR="000A5556">
          <w:rPr>
            <w:noProof/>
          </w:rPr>
          <w:t>10</w:t>
        </w:r>
        <w:r>
          <w:rPr>
            <w:noProof/>
          </w:rPr>
          <w:fldChar w:fldCharType="end"/>
        </w:r>
      </w:p>
    </w:sdtContent>
  </w:sdt>
  <w:p w14:paraId="75B74E01" w14:textId="77777777" w:rsidR="005D2BCB" w:rsidRDefault="005D2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893117"/>
      <w:docPartObj>
        <w:docPartGallery w:val="Page Numbers (Bottom of Page)"/>
        <w:docPartUnique/>
      </w:docPartObj>
    </w:sdtPr>
    <w:sdtEndPr>
      <w:rPr>
        <w:noProof/>
      </w:rPr>
    </w:sdtEndPr>
    <w:sdtContent>
      <w:p w14:paraId="522FE51D" w14:textId="2FC64231" w:rsidR="005D2BCB" w:rsidRDefault="005D2BCB">
        <w:pPr>
          <w:pStyle w:val="Footer"/>
          <w:jc w:val="right"/>
        </w:pPr>
        <w:r>
          <w:fldChar w:fldCharType="begin"/>
        </w:r>
        <w:r>
          <w:instrText xml:space="preserve"> PAGE   \* MERGEFORMAT </w:instrText>
        </w:r>
        <w:r>
          <w:fldChar w:fldCharType="separate"/>
        </w:r>
        <w:r w:rsidR="005D0C0F">
          <w:rPr>
            <w:noProof/>
          </w:rPr>
          <w:t>22</w:t>
        </w:r>
        <w:r>
          <w:rPr>
            <w:noProof/>
          </w:rPr>
          <w:fldChar w:fldCharType="end"/>
        </w:r>
      </w:p>
    </w:sdtContent>
  </w:sdt>
  <w:p w14:paraId="12757330" w14:textId="14E30BB9" w:rsidR="005D2BCB" w:rsidRDefault="005D2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D397" w14:textId="77777777" w:rsidR="00097454" w:rsidRDefault="00097454" w:rsidP="00E76B3C">
      <w:r>
        <w:separator/>
      </w:r>
    </w:p>
  </w:footnote>
  <w:footnote w:type="continuationSeparator" w:id="0">
    <w:p w14:paraId="3520C8EF" w14:textId="77777777" w:rsidR="00097454" w:rsidRDefault="00097454" w:rsidP="00E76B3C">
      <w:r>
        <w:continuationSeparator/>
      </w:r>
    </w:p>
  </w:footnote>
  <w:footnote w:id="1">
    <w:p w14:paraId="6106FC51" w14:textId="5C32B993" w:rsidR="005D2BCB" w:rsidRPr="00096034" w:rsidRDefault="005D2BCB" w:rsidP="000154DE">
      <w:pPr>
        <w:pStyle w:val="FootnoteText"/>
        <w:jc w:val="both"/>
        <w:rPr>
          <w:lang w:val="bg-BG"/>
        </w:rPr>
      </w:pPr>
      <w:r>
        <w:rPr>
          <w:rStyle w:val="FootnoteReference"/>
        </w:rPr>
        <w:footnoteRef/>
      </w:r>
      <w:r>
        <w:t xml:space="preserve"> </w:t>
      </w:r>
      <w:r w:rsidRPr="00D84ED4">
        <w:rPr>
          <w:rFonts w:ascii="Times New Roman" w:hAnsi="Times New Roman" w:cs="Times New Roman"/>
          <w:lang w:val="bg-BG"/>
        </w:rPr>
        <w:t>Проектите на наредби и мотивите към тях, както и справките за отразяване на становищата, предложенията и възраженията, получени в хода на обществените консултации, са оповестени на интернет страницата на Комисията в рубрика „Нормативна уредба“, подсекция „Обществени консултации“.</w:t>
      </w:r>
    </w:p>
  </w:footnote>
  <w:footnote w:id="2">
    <w:p w14:paraId="078FA570" w14:textId="385A2A19" w:rsidR="005D2BCB" w:rsidRPr="000154DE" w:rsidRDefault="005D2BCB" w:rsidP="000154DE">
      <w:pPr>
        <w:pStyle w:val="FootnoteText"/>
        <w:jc w:val="both"/>
        <w:rPr>
          <w:lang w:val="bg-BG"/>
        </w:rPr>
      </w:pPr>
      <w:r w:rsidRPr="000154DE">
        <w:rPr>
          <w:rFonts w:ascii="Times New Roman" w:hAnsi="Times New Roman" w:cs="Times New Roman"/>
          <w:lang w:val="bg-BG"/>
        </w:rPr>
        <w:footnoteRef/>
      </w:r>
      <w:r w:rsidRPr="000154DE">
        <w:rPr>
          <w:rFonts w:ascii="Times New Roman" w:hAnsi="Times New Roman" w:cs="Times New Roman"/>
          <w:lang w:val="bg-BG"/>
        </w:rPr>
        <w:t xml:space="preserve"> Директива (ЕС) 2022/2555 на Европейския парламент и на Съвета от 14 декември 2022 година относно мерки за високо общо ниво на киберсигурност в Съюза, за изменение на Регламент (ЕС) № 910/2014 и Директива (ЕС) 2018/1972 и за отмяна на Директива (ЕС) 2016/1148 (Директива МИС 2)</w:t>
      </w:r>
    </w:p>
  </w:footnote>
  <w:footnote w:id="3">
    <w:p w14:paraId="3957E018" w14:textId="77777777" w:rsidR="005D2BCB" w:rsidRPr="001E1005" w:rsidRDefault="005D2BCB" w:rsidP="00251EEB">
      <w:pPr>
        <w:pStyle w:val="FootnoteText"/>
        <w:rPr>
          <w:rFonts w:ascii="Times New Roman" w:hAnsi="Times New Roman" w:cs="Times New Roman"/>
        </w:rPr>
      </w:pPr>
      <w:r w:rsidRPr="001E1005">
        <w:rPr>
          <w:rStyle w:val="FootnoteReference"/>
          <w:rFonts w:ascii="Times New Roman" w:hAnsi="Times New Roman" w:cs="Times New Roman"/>
        </w:rPr>
        <w:footnoteRef/>
      </w:r>
      <w:r w:rsidRPr="001E1005">
        <w:rPr>
          <w:rFonts w:ascii="Times New Roman" w:hAnsi="Times New Roman" w:cs="Times New Roman"/>
        </w:rPr>
        <w:t xml:space="preserve"> По това досие няма предприети дейности от 2021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E6A"/>
    <w:multiLevelType w:val="hybridMultilevel"/>
    <w:tmpl w:val="129C677E"/>
    <w:lvl w:ilvl="0" w:tplc="B3A0A50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A0B6B2D"/>
    <w:multiLevelType w:val="hybridMultilevel"/>
    <w:tmpl w:val="F6303414"/>
    <w:lvl w:ilvl="0" w:tplc="EE12E37E">
      <w:start w:val="1"/>
      <w:numFmt w:val="bullet"/>
      <w:lvlText w:val=""/>
      <w:lvlJc w:val="left"/>
      <w:pPr>
        <w:ind w:left="786" w:hanging="360"/>
      </w:pPr>
      <w:rPr>
        <w:rFonts w:ascii="Wingdings" w:hAnsi="Wingdings"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15:restartNumberingAfterBreak="0">
    <w:nsid w:val="0A67500B"/>
    <w:multiLevelType w:val="hybridMultilevel"/>
    <w:tmpl w:val="DAEE6E3A"/>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0AD52E46"/>
    <w:multiLevelType w:val="hybridMultilevel"/>
    <w:tmpl w:val="74600CAC"/>
    <w:lvl w:ilvl="0" w:tplc="48E4BA4C">
      <w:start w:val="1"/>
      <w:numFmt w:val="decimal"/>
      <w:lvlText w:val="%1."/>
      <w:lvlJc w:val="left"/>
      <w:pPr>
        <w:ind w:left="1113" w:hanging="4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0C7D4A88"/>
    <w:multiLevelType w:val="hybridMultilevel"/>
    <w:tmpl w:val="EB3E2B62"/>
    <w:lvl w:ilvl="0" w:tplc="EE12E37E">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5" w15:restartNumberingAfterBreak="0">
    <w:nsid w:val="0D9D691C"/>
    <w:multiLevelType w:val="hybridMultilevel"/>
    <w:tmpl w:val="EC4A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C7BBC"/>
    <w:multiLevelType w:val="hybridMultilevel"/>
    <w:tmpl w:val="EEF23F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183749B"/>
    <w:multiLevelType w:val="hybridMultilevel"/>
    <w:tmpl w:val="58A890E4"/>
    <w:lvl w:ilvl="0" w:tplc="0409000D">
      <w:start w:val="1"/>
      <w:numFmt w:val="bullet"/>
      <w:lvlText w:val=""/>
      <w:lvlJc w:val="left"/>
      <w:pPr>
        <w:ind w:left="8299" w:hanging="360"/>
      </w:pPr>
      <w:rPr>
        <w:rFonts w:ascii="Wingdings" w:hAnsi="Wingdings" w:hint="default"/>
      </w:rPr>
    </w:lvl>
    <w:lvl w:ilvl="1" w:tplc="0409000D">
      <w:start w:val="1"/>
      <w:numFmt w:val="bullet"/>
      <w:lvlText w:val=""/>
      <w:lvlJc w:val="left"/>
      <w:pPr>
        <w:ind w:left="6456" w:hanging="360"/>
      </w:pPr>
      <w:rPr>
        <w:rFonts w:ascii="Wingdings" w:hAnsi="Wingdings"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8" w15:restartNumberingAfterBreak="0">
    <w:nsid w:val="1801151D"/>
    <w:multiLevelType w:val="hybridMultilevel"/>
    <w:tmpl w:val="72D605AE"/>
    <w:lvl w:ilvl="0" w:tplc="EE12E37E">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83F6F50"/>
    <w:multiLevelType w:val="hybridMultilevel"/>
    <w:tmpl w:val="CD9C7BF6"/>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15:restartNumberingAfterBreak="0">
    <w:nsid w:val="1C772AEF"/>
    <w:multiLevelType w:val="hybridMultilevel"/>
    <w:tmpl w:val="9996769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ECF1E6C"/>
    <w:multiLevelType w:val="hybridMultilevel"/>
    <w:tmpl w:val="817AB7E0"/>
    <w:lvl w:ilvl="0" w:tplc="C318F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A240A"/>
    <w:multiLevelType w:val="hybridMultilevel"/>
    <w:tmpl w:val="A0DCB6F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3A4A3A"/>
    <w:multiLevelType w:val="hybridMultilevel"/>
    <w:tmpl w:val="BF3837DE"/>
    <w:lvl w:ilvl="0" w:tplc="0402000D">
      <w:start w:val="1"/>
      <w:numFmt w:val="bullet"/>
      <w:lvlText w:val=""/>
      <w:lvlJc w:val="left"/>
      <w:pPr>
        <w:ind w:left="90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4" w15:restartNumberingAfterBreak="0">
    <w:nsid w:val="227D3E05"/>
    <w:multiLevelType w:val="hybridMultilevel"/>
    <w:tmpl w:val="30AA4B06"/>
    <w:lvl w:ilvl="0" w:tplc="881864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30695"/>
    <w:multiLevelType w:val="hybridMultilevel"/>
    <w:tmpl w:val="6B3C574E"/>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BDC5483"/>
    <w:multiLevelType w:val="hybridMultilevel"/>
    <w:tmpl w:val="CE8EB37E"/>
    <w:lvl w:ilvl="0" w:tplc="0402000D">
      <w:start w:val="1"/>
      <w:numFmt w:val="bullet"/>
      <w:lvlText w:val=""/>
      <w:lvlJc w:val="left"/>
      <w:pPr>
        <w:ind w:left="900" w:hanging="360"/>
      </w:pPr>
      <w:rPr>
        <w:rFonts w:ascii="Wingdings" w:hAnsi="Wingdings" w:hint="default"/>
      </w:rPr>
    </w:lvl>
    <w:lvl w:ilvl="1" w:tplc="04020003">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7" w15:restartNumberingAfterBreak="0">
    <w:nsid w:val="2C7D77A0"/>
    <w:multiLevelType w:val="hybridMultilevel"/>
    <w:tmpl w:val="1D86EAFE"/>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2C93402C"/>
    <w:multiLevelType w:val="hybridMultilevel"/>
    <w:tmpl w:val="45789CD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FC12A6B"/>
    <w:multiLevelType w:val="hybridMultilevel"/>
    <w:tmpl w:val="00227A2E"/>
    <w:lvl w:ilvl="0" w:tplc="082A8EA4">
      <w:start w:val="5"/>
      <w:numFmt w:val="bullet"/>
      <w:lvlText w:val="-"/>
      <w:lvlJc w:val="left"/>
      <w:pPr>
        <w:ind w:left="720" w:hanging="360"/>
      </w:pPr>
      <w:rPr>
        <w:rFonts w:ascii="Times New Roman" w:eastAsia="Arial"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1635056"/>
    <w:multiLevelType w:val="hybridMultilevel"/>
    <w:tmpl w:val="56E64292"/>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15:restartNumberingAfterBreak="0">
    <w:nsid w:val="350E2067"/>
    <w:multiLevelType w:val="hybridMultilevel"/>
    <w:tmpl w:val="AE16204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406E7D78"/>
    <w:multiLevelType w:val="hybridMultilevel"/>
    <w:tmpl w:val="8D2663DC"/>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3A974CF"/>
    <w:multiLevelType w:val="hybridMultilevel"/>
    <w:tmpl w:val="0ABC29FC"/>
    <w:lvl w:ilvl="0" w:tplc="EE12E37E">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3E9167C"/>
    <w:multiLevelType w:val="multilevel"/>
    <w:tmpl w:val="6E44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280211"/>
    <w:multiLevelType w:val="hybridMultilevel"/>
    <w:tmpl w:val="CCF69B20"/>
    <w:lvl w:ilvl="0" w:tplc="04020001">
      <w:start w:val="1"/>
      <w:numFmt w:val="bullet"/>
      <w:lvlText w:val=""/>
      <w:lvlJc w:val="left"/>
      <w:pPr>
        <w:ind w:left="900" w:hanging="360"/>
      </w:pPr>
      <w:rPr>
        <w:rFonts w:ascii="Symbol" w:hAnsi="Symbol"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6" w15:restartNumberingAfterBreak="0">
    <w:nsid w:val="482A2B7B"/>
    <w:multiLevelType w:val="hybridMultilevel"/>
    <w:tmpl w:val="81D69186"/>
    <w:lvl w:ilvl="0" w:tplc="0402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4A77025B"/>
    <w:multiLevelType w:val="hybridMultilevel"/>
    <w:tmpl w:val="F782F28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15:restartNumberingAfterBreak="0">
    <w:nsid w:val="4B45485C"/>
    <w:multiLevelType w:val="hybridMultilevel"/>
    <w:tmpl w:val="80C0AA4E"/>
    <w:lvl w:ilvl="0" w:tplc="0402000D">
      <w:start w:val="1"/>
      <w:numFmt w:val="bullet"/>
      <w:lvlText w:val=""/>
      <w:lvlJc w:val="left"/>
      <w:pPr>
        <w:ind w:left="2149" w:hanging="360"/>
      </w:pPr>
      <w:rPr>
        <w:rFonts w:ascii="Wingdings" w:hAnsi="Wingdings" w:hint="default"/>
      </w:rPr>
    </w:lvl>
    <w:lvl w:ilvl="1" w:tplc="04020003" w:tentative="1">
      <w:start w:val="1"/>
      <w:numFmt w:val="bullet"/>
      <w:lvlText w:val="o"/>
      <w:lvlJc w:val="left"/>
      <w:pPr>
        <w:ind w:left="2869" w:hanging="360"/>
      </w:pPr>
      <w:rPr>
        <w:rFonts w:ascii="Courier New" w:hAnsi="Courier New" w:cs="Courier New" w:hint="default"/>
      </w:rPr>
    </w:lvl>
    <w:lvl w:ilvl="2" w:tplc="04020005" w:tentative="1">
      <w:start w:val="1"/>
      <w:numFmt w:val="bullet"/>
      <w:lvlText w:val=""/>
      <w:lvlJc w:val="left"/>
      <w:pPr>
        <w:ind w:left="3589" w:hanging="360"/>
      </w:pPr>
      <w:rPr>
        <w:rFonts w:ascii="Wingdings" w:hAnsi="Wingdings" w:hint="default"/>
      </w:rPr>
    </w:lvl>
    <w:lvl w:ilvl="3" w:tplc="04020001" w:tentative="1">
      <w:start w:val="1"/>
      <w:numFmt w:val="bullet"/>
      <w:lvlText w:val=""/>
      <w:lvlJc w:val="left"/>
      <w:pPr>
        <w:ind w:left="4309" w:hanging="360"/>
      </w:pPr>
      <w:rPr>
        <w:rFonts w:ascii="Symbol" w:hAnsi="Symbol" w:hint="default"/>
      </w:rPr>
    </w:lvl>
    <w:lvl w:ilvl="4" w:tplc="04020003" w:tentative="1">
      <w:start w:val="1"/>
      <w:numFmt w:val="bullet"/>
      <w:lvlText w:val="o"/>
      <w:lvlJc w:val="left"/>
      <w:pPr>
        <w:ind w:left="5029" w:hanging="360"/>
      </w:pPr>
      <w:rPr>
        <w:rFonts w:ascii="Courier New" w:hAnsi="Courier New" w:cs="Courier New" w:hint="default"/>
      </w:rPr>
    </w:lvl>
    <w:lvl w:ilvl="5" w:tplc="04020005" w:tentative="1">
      <w:start w:val="1"/>
      <w:numFmt w:val="bullet"/>
      <w:lvlText w:val=""/>
      <w:lvlJc w:val="left"/>
      <w:pPr>
        <w:ind w:left="5749" w:hanging="360"/>
      </w:pPr>
      <w:rPr>
        <w:rFonts w:ascii="Wingdings" w:hAnsi="Wingdings" w:hint="default"/>
      </w:rPr>
    </w:lvl>
    <w:lvl w:ilvl="6" w:tplc="04020001" w:tentative="1">
      <w:start w:val="1"/>
      <w:numFmt w:val="bullet"/>
      <w:lvlText w:val=""/>
      <w:lvlJc w:val="left"/>
      <w:pPr>
        <w:ind w:left="6469" w:hanging="360"/>
      </w:pPr>
      <w:rPr>
        <w:rFonts w:ascii="Symbol" w:hAnsi="Symbol" w:hint="default"/>
      </w:rPr>
    </w:lvl>
    <w:lvl w:ilvl="7" w:tplc="04020003" w:tentative="1">
      <w:start w:val="1"/>
      <w:numFmt w:val="bullet"/>
      <w:lvlText w:val="o"/>
      <w:lvlJc w:val="left"/>
      <w:pPr>
        <w:ind w:left="7189" w:hanging="360"/>
      </w:pPr>
      <w:rPr>
        <w:rFonts w:ascii="Courier New" w:hAnsi="Courier New" w:cs="Courier New" w:hint="default"/>
      </w:rPr>
    </w:lvl>
    <w:lvl w:ilvl="8" w:tplc="04020005" w:tentative="1">
      <w:start w:val="1"/>
      <w:numFmt w:val="bullet"/>
      <w:lvlText w:val=""/>
      <w:lvlJc w:val="left"/>
      <w:pPr>
        <w:ind w:left="7909" w:hanging="360"/>
      </w:pPr>
      <w:rPr>
        <w:rFonts w:ascii="Wingdings" w:hAnsi="Wingdings" w:hint="default"/>
      </w:rPr>
    </w:lvl>
  </w:abstractNum>
  <w:abstractNum w:abstractNumId="29" w15:restartNumberingAfterBreak="0">
    <w:nsid w:val="4BC515DF"/>
    <w:multiLevelType w:val="hybridMultilevel"/>
    <w:tmpl w:val="6C0A456C"/>
    <w:lvl w:ilvl="0" w:tplc="EE12E37E">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EE32A7F"/>
    <w:multiLevelType w:val="multilevel"/>
    <w:tmpl w:val="136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0314D"/>
    <w:multiLevelType w:val="hybridMultilevel"/>
    <w:tmpl w:val="BA942DE0"/>
    <w:lvl w:ilvl="0" w:tplc="893AEBF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540B63B1"/>
    <w:multiLevelType w:val="multilevel"/>
    <w:tmpl w:val="A064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C3306C"/>
    <w:multiLevelType w:val="hybridMultilevel"/>
    <w:tmpl w:val="BCC8F59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BD70F1E"/>
    <w:multiLevelType w:val="hybridMultilevel"/>
    <w:tmpl w:val="4B2E83D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5C015DCB"/>
    <w:multiLevelType w:val="hybridMultilevel"/>
    <w:tmpl w:val="115A24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C265F8A"/>
    <w:multiLevelType w:val="hybridMultilevel"/>
    <w:tmpl w:val="1DC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83A53"/>
    <w:multiLevelType w:val="hybridMultilevel"/>
    <w:tmpl w:val="6444E0BA"/>
    <w:lvl w:ilvl="0" w:tplc="EE12E37E">
      <w:start w:val="1"/>
      <w:numFmt w:val="bullet"/>
      <w:lvlText w:val=""/>
      <w:lvlJc w:val="left"/>
      <w:pPr>
        <w:ind w:left="2149" w:hanging="360"/>
      </w:pPr>
      <w:rPr>
        <w:rFonts w:ascii="Wingdings" w:hAnsi="Wingdings" w:hint="default"/>
      </w:rPr>
    </w:lvl>
    <w:lvl w:ilvl="1" w:tplc="04020003">
      <w:start w:val="1"/>
      <w:numFmt w:val="bullet"/>
      <w:lvlText w:val="o"/>
      <w:lvlJc w:val="left"/>
      <w:pPr>
        <w:ind w:left="2869" w:hanging="360"/>
      </w:pPr>
      <w:rPr>
        <w:rFonts w:ascii="Courier New" w:hAnsi="Courier New" w:cs="Courier New" w:hint="default"/>
      </w:rPr>
    </w:lvl>
    <w:lvl w:ilvl="2" w:tplc="04020005" w:tentative="1">
      <w:start w:val="1"/>
      <w:numFmt w:val="bullet"/>
      <w:lvlText w:val=""/>
      <w:lvlJc w:val="left"/>
      <w:pPr>
        <w:ind w:left="3589" w:hanging="360"/>
      </w:pPr>
      <w:rPr>
        <w:rFonts w:ascii="Wingdings" w:hAnsi="Wingdings" w:hint="default"/>
      </w:rPr>
    </w:lvl>
    <w:lvl w:ilvl="3" w:tplc="04020001" w:tentative="1">
      <w:start w:val="1"/>
      <w:numFmt w:val="bullet"/>
      <w:lvlText w:val=""/>
      <w:lvlJc w:val="left"/>
      <w:pPr>
        <w:ind w:left="4309" w:hanging="360"/>
      </w:pPr>
      <w:rPr>
        <w:rFonts w:ascii="Symbol" w:hAnsi="Symbol" w:hint="default"/>
      </w:rPr>
    </w:lvl>
    <w:lvl w:ilvl="4" w:tplc="04020003" w:tentative="1">
      <w:start w:val="1"/>
      <w:numFmt w:val="bullet"/>
      <w:lvlText w:val="o"/>
      <w:lvlJc w:val="left"/>
      <w:pPr>
        <w:ind w:left="5029" w:hanging="360"/>
      </w:pPr>
      <w:rPr>
        <w:rFonts w:ascii="Courier New" w:hAnsi="Courier New" w:cs="Courier New" w:hint="default"/>
      </w:rPr>
    </w:lvl>
    <w:lvl w:ilvl="5" w:tplc="04020005" w:tentative="1">
      <w:start w:val="1"/>
      <w:numFmt w:val="bullet"/>
      <w:lvlText w:val=""/>
      <w:lvlJc w:val="left"/>
      <w:pPr>
        <w:ind w:left="5749" w:hanging="360"/>
      </w:pPr>
      <w:rPr>
        <w:rFonts w:ascii="Wingdings" w:hAnsi="Wingdings" w:hint="default"/>
      </w:rPr>
    </w:lvl>
    <w:lvl w:ilvl="6" w:tplc="04020001" w:tentative="1">
      <w:start w:val="1"/>
      <w:numFmt w:val="bullet"/>
      <w:lvlText w:val=""/>
      <w:lvlJc w:val="left"/>
      <w:pPr>
        <w:ind w:left="6469" w:hanging="360"/>
      </w:pPr>
      <w:rPr>
        <w:rFonts w:ascii="Symbol" w:hAnsi="Symbol" w:hint="default"/>
      </w:rPr>
    </w:lvl>
    <w:lvl w:ilvl="7" w:tplc="04020003" w:tentative="1">
      <w:start w:val="1"/>
      <w:numFmt w:val="bullet"/>
      <w:lvlText w:val="o"/>
      <w:lvlJc w:val="left"/>
      <w:pPr>
        <w:ind w:left="7189" w:hanging="360"/>
      </w:pPr>
      <w:rPr>
        <w:rFonts w:ascii="Courier New" w:hAnsi="Courier New" w:cs="Courier New" w:hint="default"/>
      </w:rPr>
    </w:lvl>
    <w:lvl w:ilvl="8" w:tplc="04020005" w:tentative="1">
      <w:start w:val="1"/>
      <w:numFmt w:val="bullet"/>
      <w:lvlText w:val=""/>
      <w:lvlJc w:val="left"/>
      <w:pPr>
        <w:ind w:left="7909" w:hanging="360"/>
      </w:pPr>
      <w:rPr>
        <w:rFonts w:ascii="Wingdings" w:hAnsi="Wingdings" w:hint="default"/>
      </w:rPr>
    </w:lvl>
  </w:abstractNum>
  <w:abstractNum w:abstractNumId="38" w15:restartNumberingAfterBreak="0">
    <w:nsid w:val="615C45A9"/>
    <w:multiLevelType w:val="hybridMultilevel"/>
    <w:tmpl w:val="81E0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0070A"/>
    <w:multiLevelType w:val="hybridMultilevel"/>
    <w:tmpl w:val="4FE8E208"/>
    <w:lvl w:ilvl="0" w:tplc="EE12E37E">
      <w:start w:val="1"/>
      <w:numFmt w:val="bullet"/>
      <w:lvlText w:val=""/>
      <w:lvlJc w:val="left"/>
      <w:pPr>
        <w:ind w:left="720" w:hanging="360"/>
      </w:pPr>
      <w:rPr>
        <w:rFonts w:ascii="Wingdings" w:hAnsi="Wingdings" w:hint="default"/>
      </w:rPr>
    </w:lvl>
    <w:lvl w:ilvl="1" w:tplc="EE12E37E">
      <w:start w:val="1"/>
      <w:numFmt w:val="bullet"/>
      <w:lvlText w:val=""/>
      <w:lvlJc w:val="left"/>
      <w:pPr>
        <w:ind w:left="3196"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3946C14"/>
    <w:multiLevelType w:val="hybridMultilevel"/>
    <w:tmpl w:val="F9282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AB7305"/>
    <w:multiLevelType w:val="hybridMultilevel"/>
    <w:tmpl w:val="A0CC235E"/>
    <w:lvl w:ilvl="0" w:tplc="EE12E37E">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65291C6D"/>
    <w:multiLevelType w:val="hybridMultilevel"/>
    <w:tmpl w:val="533C88F6"/>
    <w:lvl w:ilvl="0" w:tplc="082A8EA4">
      <w:start w:val="5"/>
      <w:numFmt w:val="bullet"/>
      <w:lvlText w:val="-"/>
      <w:lvlJc w:val="left"/>
      <w:pPr>
        <w:ind w:left="1429" w:hanging="360"/>
      </w:pPr>
      <w:rPr>
        <w:rFonts w:ascii="Times New Roman" w:eastAsia="Arial"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668C5CD3"/>
    <w:multiLevelType w:val="hybridMultilevel"/>
    <w:tmpl w:val="578864D6"/>
    <w:lvl w:ilvl="0" w:tplc="0409000D">
      <w:start w:val="1"/>
      <w:numFmt w:val="bullet"/>
      <w:lvlText w:val=""/>
      <w:lvlJc w:val="left"/>
      <w:pPr>
        <w:ind w:left="1571" w:hanging="360"/>
      </w:pPr>
      <w:rPr>
        <w:rFonts w:ascii="Wingdings" w:hAnsi="Wingdings" w:hint="default"/>
      </w:rPr>
    </w:lvl>
    <w:lvl w:ilvl="1" w:tplc="BB80D33C">
      <w:numFmt w:val="bullet"/>
      <w:lvlText w:val="-"/>
      <w:lvlJc w:val="left"/>
      <w:pPr>
        <w:ind w:left="2291" w:hanging="360"/>
      </w:pPr>
      <w:rPr>
        <w:rFonts w:ascii="Times New Roman" w:eastAsia="Times New Roman" w:hAnsi="Times New Roman" w:cs="Times New Roman" w:hint="default"/>
      </w:rPr>
    </w:lvl>
    <w:lvl w:ilvl="2" w:tplc="04090005" w:tentative="1">
      <w:start w:val="1"/>
      <w:numFmt w:val="bullet"/>
      <w:lvlText w:val=""/>
      <w:lvlJc w:val="left"/>
      <w:pPr>
        <w:ind w:left="3011" w:hanging="360"/>
      </w:pPr>
      <w:rPr>
        <w:rFonts w:ascii="Wingdings" w:hAnsi="Wingdings" w:hint="default"/>
      </w:rPr>
    </w:lvl>
    <w:lvl w:ilvl="3" w:tplc="0409000D">
      <w:start w:val="1"/>
      <w:numFmt w:val="bullet"/>
      <w:lvlText w:val=""/>
      <w:lvlJc w:val="left"/>
      <w:pPr>
        <w:ind w:left="3731" w:hanging="360"/>
      </w:pPr>
      <w:rPr>
        <w:rFonts w:ascii="Wingdings" w:hAnsi="Wingdings"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6F4D2B37"/>
    <w:multiLevelType w:val="hybridMultilevel"/>
    <w:tmpl w:val="2360796A"/>
    <w:lvl w:ilvl="0" w:tplc="EE12E37E">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6FE2013D"/>
    <w:multiLevelType w:val="hybridMultilevel"/>
    <w:tmpl w:val="3EB0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E6462D"/>
    <w:multiLevelType w:val="hybridMultilevel"/>
    <w:tmpl w:val="DDA8EF46"/>
    <w:lvl w:ilvl="0" w:tplc="996EA3F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15:restartNumberingAfterBreak="0">
    <w:nsid w:val="76D930C8"/>
    <w:multiLevelType w:val="hybridMultilevel"/>
    <w:tmpl w:val="677C5B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73E540E"/>
    <w:multiLevelType w:val="multilevel"/>
    <w:tmpl w:val="B5EC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6"/>
  </w:num>
  <w:num w:numId="3">
    <w:abstractNumId w:val="38"/>
  </w:num>
  <w:num w:numId="4">
    <w:abstractNumId w:val="13"/>
  </w:num>
  <w:num w:numId="5">
    <w:abstractNumId w:val="45"/>
  </w:num>
  <w:num w:numId="6">
    <w:abstractNumId w:val="0"/>
  </w:num>
  <w:num w:numId="7">
    <w:abstractNumId w:val="31"/>
  </w:num>
  <w:num w:numId="8">
    <w:abstractNumId w:val="9"/>
  </w:num>
  <w:num w:numId="9">
    <w:abstractNumId w:val="14"/>
  </w:num>
  <w:num w:numId="10">
    <w:abstractNumId w:val="18"/>
  </w:num>
  <w:num w:numId="11">
    <w:abstractNumId w:val="7"/>
  </w:num>
  <w:num w:numId="12">
    <w:abstractNumId w:val="16"/>
  </w:num>
  <w:num w:numId="13">
    <w:abstractNumId w:val="22"/>
  </w:num>
  <w:num w:numId="14">
    <w:abstractNumId w:val="42"/>
  </w:num>
  <w:num w:numId="15">
    <w:abstractNumId w:val="19"/>
  </w:num>
  <w:num w:numId="16">
    <w:abstractNumId w:val="44"/>
  </w:num>
  <w:num w:numId="17">
    <w:abstractNumId w:val="29"/>
  </w:num>
  <w:num w:numId="18">
    <w:abstractNumId w:val="1"/>
  </w:num>
  <w:num w:numId="19">
    <w:abstractNumId w:val="41"/>
  </w:num>
  <w:num w:numId="20">
    <w:abstractNumId w:val="37"/>
  </w:num>
  <w:num w:numId="21">
    <w:abstractNumId w:val="8"/>
  </w:num>
  <w:num w:numId="22">
    <w:abstractNumId w:val="4"/>
  </w:num>
  <w:num w:numId="23">
    <w:abstractNumId w:val="25"/>
  </w:num>
  <w:num w:numId="24">
    <w:abstractNumId w:val="12"/>
  </w:num>
  <w:num w:numId="25">
    <w:abstractNumId w:val="15"/>
  </w:num>
  <w:num w:numId="26">
    <w:abstractNumId w:val="24"/>
  </w:num>
  <w:num w:numId="27">
    <w:abstractNumId w:val="30"/>
  </w:num>
  <w:num w:numId="28">
    <w:abstractNumId w:val="3"/>
  </w:num>
  <w:num w:numId="29">
    <w:abstractNumId w:val="11"/>
  </w:num>
  <w:num w:numId="30">
    <w:abstractNumId w:val="23"/>
  </w:num>
  <w:num w:numId="31">
    <w:abstractNumId w:val="39"/>
  </w:num>
  <w:num w:numId="32">
    <w:abstractNumId w:val="46"/>
  </w:num>
  <w:num w:numId="33">
    <w:abstractNumId w:val="48"/>
  </w:num>
  <w:num w:numId="34">
    <w:abstractNumId w:val="32"/>
  </w:num>
  <w:num w:numId="35">
    <w:abstractNumId w:val="34"/>
  </w:num>
  <w:num w:numId="36">
    <w:abstractNumId w:val="43"/>
  </w:num>
  <w:num w:numId="37">
    <w:abstractNumId w:val="40"/>
  </w:num>
  <w:num w:numId="38">
    <w:abstractNumId w:val="47"/>
  </w:num>
  <w:num w:numId="39">
    <w:abstractNumId w:val="35"/>
  </w:num>
  <w:num w:numId="40">
    <w:abstractNumId w:val="33"/>
  </w:num>
  <w:num w:numId="41">
    <w:abstractNumId w:val="27"/>
  </w:num>
  <w:num w:numId="42">
    <w:abstractNumId w:val="2"/>
  </w:num>
  <w:num w:numId="43">
    <w:abstractNumId w:val="6"/>
  </w:num>
  <w:num w:numId="44">
    <w:abstractNumId w:val="10"/>
  </w:num>
  <w:num w:numId="45">
    <w:abstractNumId w:val="21"/>
  </w:num>
  <w:num w:numId="46">
    <w:abstractNumId w:val="20"/>
  </w:num>
  <w:num w:numId="47">
    <w:abstractNumId w:val="28"/>
  </w:num>
  <w:num w:numId="48">
    <w:abstractNumId w:val="26"/>
  </w:num>
  <w:num w:numId="4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57"/>
    <w:rsid w:val="000009A0"/>
    <w:rsid w:val="00000AFE"/>
    <w:rsid w:val="00000FAA"/>
    <w:rsid w:val="00002423"/>
    <w:rsid w:val="00002521"/>
    <w:rsid w:val="00002978"/>
    <w:rsid w:val="00002EE4"/>
    <w:rsid w:val="0000469D"/>
    <w:rsid w:val="00005046"/>
    <w:rsid w:val="00005477"/>
    <w:rsid w:val="0001003A"/>
    <w:rsid w:val="00010E75"/>
    <w:rsid w:val="0001134C"/>
    <w:rsid w:val="0001159D"/>
    <w:rsid w:val="00012A5B"/>
    <w:rsid w:val="000137D7"/>
    <w:rsid w:val="000154DE"/>
    <w:rsid w:val="0002157A"/>
    <w:rsid w:val="00021EEC"/>
    <w:rsid w:val="00022B06"/>
    <w:rsid w:val="00023F20"/>
    <w:rsid w:val="0002443C"/>
    <w:rsid w:val="000255F4"/>
    <w:rsid w:val="00027998"/>
    <w:rsid w:val="00030893"/>
    <w:rsid w:val="00031713"/>
    <w:rsid w:val="000334D0"/>
    <w:rsid w:val="000363B4"/>
    <w:rsid w:val="00036E62"/>
    <w:rsid w:val="00036EFB"/>
    <w:rsid w:val="000400B0"/>
    <w:rsid w:val="000401C0"/>
    <w:rsid w:val="000401DC"/>
    <w:rsid w:val="00040A9D"/>
    <w:rsid w:val="00040B31"/>
    <w:rsid w:val="00040EAD"/>
    <w:rsid w:val="00042F98"/>
    <w:rsid w:val="000438F2"/>
    <w:rsid w:val="00043F8D"/>
    <w:rsid w:val="000450D1"/>
    <w:rsid w:val="00045297"/>
    <w:rsid w:val="0004650D"/>
    <w:rsid w:val="0004769D"/>
    <w:rsid w:val="000479BE"/>
    <w:rsid w:val="00051FDC"/>
    <w:rsid w:val="000562CD"/>
    <w:rsid w:val="0005790F"/>
    <w:rsid w:val="00057CB4"/>
    <w:rsid w:val="00060BEE"/>
    <w:rsid w:val="00060FA6"/>
    <w:rsid w:val="00062776"/>
    <w:rsid w:val="00062B50"/>
    <w:rsid w:val="000638FA"/>
    <w:rsid w:val="00063A2E"/>
    <w:rsid w:val="00065ADD"/>
    <w:rsid w:val="00067AE1"/>
    <w:rsid w:val="00070C9B"/>
    <w:rsid w:val="00071779"/>
    <w:rsid w:val="00072DAC"/>
    <w:rsid w:val="00073F6B"/>
    <w:rsid w:val="00076100"/>
    <w:rsid w:val="000771E1"/>
    <w:rsid w:val="00080667"/>
    <w:rsid w:val="0008095E"/>
    <w:rsid w:val="00082C9A"/>
    <w:rsid w:val="00083DF1"/>
    <w:rsid w:val="000848B0"/>
    <w:rsid w:val="00085049"/>
    <w:rsid w:val="00085DC1"/>
    <w:rsid w:val="000863C9"/>
    <w:rsid w:val="00086AE8"/>
    <w:rsid w:val="0009232F"/>
    <w:rsid w:val="00092CEB"/>
    <w:rsid w:val="00093640"/>
    <w:rsid w:val="00093830"/>
    <w:rsid w:val="00096034"/>
    <w:rsid w:val="000961D7"/>
    <w:rsid w:val="0009682E"/>
    <w:rsid w:val="00096FE2"/>
    <w:rsid w:val="00097053"/>
    <w:rsid w:val="00097396"/>
    <w:rsid w:val="00097454"/>
    <w:rsid w:val="00097B82"/>
    <w:rsid w:val="000A0D7F"/>
    <w:rsid w:val="000A11DA"/>
    <w:rsid w:val="000A2222"/>
    <w:rsid w:val="000A314A"/>
    <w:rsid w:val="000A35A8"/>
    <w:rsid w:val="000A460B"/>
    <w:rsid w:val="000A4C66"/>
    <w:rsid w:val="000A4D10"/>
    <w:rsid w:val="000A5556"/>
    <w:rsid w:val="000A5B93"/>
    <w:rsid w:val="000B111B"/>
    <w:rsid w:val="000B4188"/>
    <w:rsid w:val="000B45F7"/>
    <w:rsid w:val="000B4B19"/>
    <w:rsid w:val="000B60E3"/>
    <w:rsid w:val="000B62A1"/>
    <w:rsid w:val="000B6A19"/>
    <w:rsid w:val="000C18E1"/>
    <w:rsid w:val="000C3A20"/>
    <w:rsid w:val="000C4E2D"/>
    <w:rsid w:val="000C5445"/>
    <w:rsid w:val="000C5732"/>
    <w:rsid w:val="000C5EDA"/>
    <w:rsid w:val="000C7EE9"/>
    <w:rsid w:val="000D034C"/>
    <w:rsid w:val="000D0860"/>
    <w:rsid w:val="000D578B"/>
    <w:rsid w:val="000D6636"/>
    <w:rsid w:val="000D6E5D"/>
    <w:rsid w:val="000E0CC4"/>
    <w:rsid w:val="000E10B6"/>
    <w:rsid w:val="000E3A3D"/>
    <w:rsid w:val="000E5DE0"/>
    <w:rsid w:val="000E7606"/>
    <w:rsid w:val="000F0249"/>
    <w:rsid w:val="000F0CC9"/>
    <w:rsid w:val="000F158C"/>
    <w:rsid w:val="000F325C"/>
    <w:rsid w:val="000F5F83"/>
    <w:rsid w:val="000F65AF"/>
    <w:rsid w:val="0010162B"/>
    <w:rsid w:val="00102633"/>
    <w:rsid w:val="00103A42"/>
    <w:rsid w:val="001109BB"/>
    <w:rsid w:val="001134AE"/>
    <w:rsid w:val="0011360B"/>
    <w:rsid w:val="00113C3F"/>
    <w:rsid w:val="00113DEE"/>
    <w:rsid w:val="00115274"/>
    <w:rsid w:val="00116680"/>
    <w:rsid w:val="001201B6"/>
    <w:rsid w:val="00120F94"/>
    <w:rsid w:val="0012145B"/>
    <w:rsid w:val="001217A4"/>
    <w:rsid w:val="00121D17"/>
    <w:rsid w:val="0012234F"/>
    <w:rsid w:val="00123145"/>
    <w:rsid w:val="001240E5"/>
    <w:rsid w:val="001244A0"/>
    <w:rsid w:val="00124F05"/>
    <w:rsid w:val="001257D8"/>
    <w:rsid w:val="00126583"/>
    <w:rsid w:val="00127B3F"/>
    <w:rsid w:val="00132FD4"/>
    <w:rsid w:val="00133BAF"/>
    <w:rsid w:val="00133D38"/>
    <w:rsid w:val="00134B5E"/>
    <w:rsid w:val="0013523A"/>
    <w:rsid w:val="00135A0D"/>
    <w:rsid w:val="00136A41"/>
    <w:rsid w:val="0013720F"/>
    <w:rsid w:val="00137452"/>
    <w:rsid w:val="00140280"/>
    <w:rsid w:val="00140445"/>
    <w:rsid w:val="00141743"/>
    <w:rsid w:val="00141D71"/>
    <w:rsid w:val="0014584B"/>
    <w:rsid w:val="00145E1D"/>
    <w:rsid w:val="00145EE7"/>
    <w:rsid w:val="00150CF1"/>
    <w:rsid w:val="00151C91"/>
    <w:rsid w:val="00152914"/>
    <w:rsid w:val="00153B20"/>
    <w:rsid w:val="00154343"/>
    <w:rsid w:val="0015528D"/>
    <w:rsid w:val="00155359"/>
    <w:rsid w:val="00156A36"/>
    <w:rsid w:val="00157388"/>
    <w:rsid w:val="0016247A"/>
    <w:rsid w:val="00164AD3"/>
    <w:rsid w:val="001665DC"/>
    <w:rsid w:val="00167438"/>
    <w:rsid w:val="001728FA"/>
    <w:rsid w:val="00172919"/>
    <w:rsid w:val="00173023"/>
    <w:rsid w:val="0017397B"/>
    <w:rsid w:val="00173B81"/>
    <w:rsid w:val="00173F0A"/>
    <w:rsid w:val="001745D0"/>
    <w:rsid w:val="0017538C"/>
    <w:rsid w:val="001754F1"/>
    <w:rsid w:val="001762EB"/>
    <w:rsid w:val="00176F81"/>
    <w:rsid w:val="001779F7"/>
    <w:rsid w:val="001807F8"/>
    <w:rsid w:val="00181910"/>
    <w:rsid w:val="00182E68"/>
    <w:rsid w:val="001846BB"/>
    <w:rsid w:val="00185490"/>
    <w:rsid w:val="001876F6"/>
    <w:rsid w:val="00187906"/>
    <w:rsid w:val="00191ADC"/>
    <w:rsid w:val="00192B2F"/>
    <w:rsid w:val="00194405"/>
    <w:rsid w:val="001A279E"/>
    <w:rsid w:val="001A300D"/>
    <w:rsid w:val="001A473E"/>
    <w:rsid w:val="001A61F9"/>
    <w:rsid w:val="001A7DAA"/>
    <w:rsid w:val="001B2453"/>
    <w:rsid w:val="001B4C5B"/>
    <w:rsid w:val="001B5D8B"/>
    <w:rsid w:val="001B69AE"/>
    <w:rsid w:val="001B6C1F"/>
    <w:rsid w:val="001B779F"/>
    <w:rsid w:val="001B7C36"/>
    <w:rsid w:val="001C1418"/>
    <w:rsid w:val="001C280F"/>
    <w:rsid w:val="001C7F51"/>
    <w:rsid w:val="001D2484"/>
    <w:rsid w:val="001D2AE3"/>
    <w:rsid w:val="001D5C6F"/>
    <w:rsid w:val="001E0AF2"/>
    <w:rsid w:val="001E1005"/>
    <w:rsid w:val="001E1909"/>
    <w:rsid w:val="001E39D9"/>
    <w:rsid w:val="001E668B"/>
    <w:rsid w:val="001E76ED"/>
    <w:rsid w:val="001F022E"/>
    <w:rsid w:val="001F08D9"/>
    <w:rsid w:val="001F0E01"/>
    <w:rsid w:val="001F10E4"/>
    <w:rsid w:val="001F1139"/>
    <w:rsid w:val="001F178A"/>
    <w:rsid w:val="001F285D"/>
    <w:rsid w:val="001F3727"/>
    <w:rsid w:val="001F4005"/>
    <w:rsid w:val="001F5AE2"/>
    <w:rsid w:val="001F6513"/>
    <w:rsid w:val="001F7C8A"/>
    <w:rsid w:val="001F7CA0"/>
    <w:rsid w:val="002005DE"/>
    <w:rsid w:val="00200D09"/>
    <w:rsid w:val="0020140A"/>
    <w:rsid w:val="0020240F"/>
    <w:rsid w:val="0020359B"/>
    <w:rsid w:val="00203EFE"/>
    <w:rsid w:val="00204E21"/>
    <w:rsid w:val="00205734"/>
    <w:rsid w:val="002060AB"/>
    <w:rsid w:val="00206CDD"/>
    <w:rsid w:val="00211A7E"/>
    <w:rsid w:val="002128C5"/>
    <w:rsid w:val="00213A47"/>
    <w:rsid w:val="00215277"/>
    <w:rsid w:val="00221158"/>
    <w:rsid w:val="0022118D"/>
    <w:rsid w:val="00221F9E"/>
    <w:rsid w:val="002232C9"/>
    <w:rsid w:val="00224277"/>
    <w:rsid w:val="002254DF"/>
    <w:rsid w:val="00226FB7"/>
    <w:rsid w:val="00227023"/>
    <w:rsid w:val="002278C8"/>
    <w:rsid w:val="00230297"/>
    <w:rsid w:val="0023185C"/>
    <w:rsid w:val="0023318D"/>
    <w:rsid w:val="00233741"/>
    <w:rsid w:val="00235E8D"/>
    <w:rsid w:val="0023780A"/>
    <w:rsid w:val="00237930"/>
    <w:rsid w:val="00240566"/>
    <w:rsid w:val="00241281"/>
    <w:rsid w:val="00243770"/>
    <w:rsid w:val="00244A68"/>
    <w:rsid w:val="00245031"/>
    <w:rsid w:val="00245A84"/>
    <w:rsid w:val="002462DE"/>
    <w:rsid w:val="00246494"/>
    <w:rsid w:val="0024741F"/>
    <w:rsid w:val="00247A01"/>
    <w:rsid w:val="00250C24"/>
    <w:rsid w:val="00251EEB"/>
    <w:rsid w:val="00252019"/>
    <w:rsid w:val="0025276B"/>
    <w:rsid w:val="00252DA2"/>
    <w:rsid w:val="00252EBB"/>
    <w:rsid w:val="00255754"/>
    <w:rsid w:val="00255870"/>
    <w:rsid w:val="00256EB6"/>
    <w:rsid w:val="00256EDA"/>
    <w:rsid w:val="002573D4"/>
    <w:rsid w:val="00257FDE"/>
    <w:rsid w:val="00260690"/>
    <w:rsid w:val="00260C38"/>
    <w:rsid w:val="0026128B"/>
    <w:rsid w:val="00262227"/>
    <w:rsid w:val="00262368"/>
    <w:rsid w:val="00262400"/>
    <w:rsid w:val="0026240F"/>
    <w:rsid w:val="0026347D"/>
    <w:rsid w:val="00263546"/>
    <w:rsid w:val="00264B24"/>
    <w:rsid w:val="00266E52"/>
    <w:rsid w:val="00267C73"/>
    <w:rsid w:val="0027038F"/>
    <w:rsid w:val="002708BB"/>
    <w:rsid w:val="00270D60"/>
    <w:rsid w:val="002713B8"/>
    <w:rsid w:val="0027254C"/>
    <w:rsid w:val="00274A5F"/>
    <w:rsid w:val="00274C0C"/>
    <w:rsid w:val="0027685F"/>
    <w:rsid w:val="002769FB"/>
    <w:rsid w:val="00277885"/>
    <w:rsid w:val="00280538"/>
    <w:rsid w:val="00284420"/>
    <w:rsid w:val="00285445"/>
    <w:rsid w:val="00285555"/>
    <w:rsid w:val="00287218"/>
    <w:rsid w:val="0028770D"/>
    <w:rsid w:val="00287F1B"/>
    <w:rsid w:val="0029135B"/>
    <w:rsid w:val="002915D5"/>
    <w:rsid w:val="00292736"/>
    <w:rsid w:val="002933D3"/>
    <w:rsid w:val="0029371E"/>
    <w:rsid w:val="00294CA3"/>
    <w:rsid w:val="002A0730"/>
    <w:rsid w:val="002A1BA7"/>
    <w:rsid w:val="002A3BB2"/>
    <w:rsid w:val="002A462A"/>
    <w:rsid w:val="002A50B3"/>
    <w:rsid w:val="002A6767"/>
    <w:rsid w:val="002A70D9"/>
    <w:rsid w:val="002A712C"/>
    <w:rsid w:val="002A775F"/>
    <w:rsid w:val="002B173A"/>
    <w:rsid w:val="002B1969"/>
    <w:rsid w:val="002B266B"/>
    <w:rsid w:val="002B2755"/>
    <w:rsid w:val="002B4166"/>
    <w:rsid w:val="002B5E67"/>
    <w:rsid w:val="002B6301"/>
    <w:rsid w:val="002B6E44"/>
    <w:rsid w:val="002B737D"/>
    <w:rsid w:val="002C02C3"/>
    <w:rsid w:val="002C0C05"/>
    <w:rsid w:val="002C0C36"/>
    <w:rsid w:val="002C1810"/>
    <w:rsid w:val="002C1A36"/>
    <w:rsid w:val="002C1A50"/>
    <w:rsid w:val="002C2C54"/>
    <w:rsid w:val="002C30B2"/>
    <w:rsid w:val="002C4FEA"/>
    <w:rsid w:val="002C5902"/>
    <w:rsid w:val="002C5FA9"/>
    <w:rsid w:val="002C67AE"/>
    <w:rsid w:val="002D0383"/>
    <w:rsid w:val="002D0489"/>
    <w:rsid w:val="002D35BF"/>
    <w:rsid w:val="002D4CB4"/>
    <w:rsid w:val="002D5367"/>
    <w:rsid w:val="002D56A5"/>
    <w:rsid w:val="002D5CB6"/>
    <w:rsid w:val="002D6CDD"/>
    <w:rsid w:val="002D7EBB"/>
    <w:rsid w:val="002E4EA9"/>
    <w:rsid w:val="002E663B"/>
    <w:rsid w:val="002F0F2D"/>
    <w:rsid w:val="002F2199"/>
    <w:rsid w:val="002F363E"/>
    <w:rsid w:val="002F6445"/>
    <w:rsid w:val="003009D4"/>
    <w:rsid w:val="003020D4"/>
    <w:rsid w:val="003022E0"/>
    <w:rsid w:val="00302BF4"/>
    <w:rsid w:val="003033BA"/>
    <w:rsid w:val="00303EEE"/>
    <w:rsid w:val="0030589F"/>
    <w:rsid w:val="003066E8"/>
    <w:rsid w:val="00307739"/>
    <w:rsid w:val="00310EFB"/>
    <w:rsid w:val="003118C0"/>
    <w:rsid w:val="00311A67"/>
    <w:rsid w:val="0031470F"/>
    <w:rsid w:val="003156DC"/>
    <w:rsid w:val="00315E91"/>
    <w:rsid w:val="00317AC6"/>
    <w:rsid w:val="00323848"/>
    <w:rsid w:val="003240FB"/>
    <w:rsid w:val="003242FE"/>
    <w:rsid w:val="003261B1"/>
    <w:rsid w:val="0032635C"/>
    <w:rsid w:val="00326AB3"/>
    <w:rsid w:val="003273FF"/>
    <w:rsid w:val="00327BCA"/>
    <w:rsid w:val="00331DC8"/>
    <w:rsid w:val="00331F0E"/>
    <w:rsid w:val="00333674"/>
    <w:rsid w:val="003342DA"/>
    <w:rsid w:val="003348EC"/>
    <w:rsid w:val="00334DD4"/>
    <w:rsid w:val="00334F5D"/>
    <w:rsid w:val="00340146"/>
    <w:rsid w:val="00340D23"/>
    <w:rsid w:val="00346CAF"/>
    <w:rsid w:val="0035027A"/>
    <w:rsid w:val="003508A6"/>
    <w:rsid w:val="00350ED2"/>
    <w:rsid w:val="00351403"/>
    <w:rsid w:val="0035165A"/>
    <w:rsid w:val="003516C2"/>
    <w:rsid w:val="00352703"/>
    <w:rsid w:val="00355DAF"/>
    <w:rsid w:val="0035753A"/>
    <w:rsid w:val="003627D9"/>
    <w:rsid w:val="00363E3F"/>
    <w:rsid w:val="00364919"/>
    <w:rsid w:val="003657A1"/>
    <w:rsid w:val="003661FD"/>
    <w:rsid w:val="003664AF"/>
    <w:rsid w:val="00370AFF"/>
    <w:rsid w:val="00370D65"/>
    <w:rsid w:val="003716D8"/>
    <w:rsid w:val="00372398"/>
    <w:rsid w:val="003725EC"/>
    <w:rsid w:val="00372F25"/>
    <w:rsid w:val="00374948"/>
    <w:rsid w:val="00374FAB"/>
    <w:rsid w:val="003759E3"/>
    <w:rsid w:val="0037652D"/>
    <w:rsid w:val="0037653D"/>
    <w:rsid w:val="00376C81"/>
    <w:rsid w:val="00380F1E"/>
    <w:rsid w:val="003825FA"/>
    <w:rsid w:val="0038648A"/>
    <w:rsid w:val="00387852"/>
    <w:rsid w:val="00387876"/>
    <w:rsid w:val="00387F08"/>
    <w:rsid w:val="00390161"/>
    <w:rsid w:val="00390A2F"/>
    <w:rsid w:val="00391526"/>
    <w:rsid w:val="00391F16"/>
    <w:rsid w:val="00394035"/>
    <w:rsid w:val="00394D6B"/>
    <w:rsid w:val="0039505C"/>
    <w:rsid w:val="0039529D"/>
    <w:rsid w:val="003958D6"/>
    <w:rsid w:val="00396255"/>
    <w:rsid w:val="0039642B"/>
    <w:rsid w:val="00397C00"/>
    <w:rsid w:val="003A09E5"/>
    <w:rsid w:val="003A0E5B"/>
    <w:rsid w:val="003A1BB1"/>
    <w:rsid w:val="003A1CAE"/>
    <w:rsid w:val="003A1CBA"/>
    <w:rsid w:val="003A2777"/>
    <w:rsid w:val="003A277A"/>
    <w:rsid w:val="003A3C76"/>
    <w:rsid w:val="003A4632"/>
    <w:rsid w:val="003A5723"/>
    <w:rsid w:val="003A754E"/>
    <w:rsid w:val="003B146C"/>
    <w:rsid w:val="003B1CFF"/>
    <w:rsid w:val="003B2FAC"/>
    <w:rsid w:val="003B306F"/>
    <w:rsid w:val="003B3439"/>
    <w:rsid w:val="003B4050"/>
    <w:rsid w:val="003B406D"/>
    <w:rsid w:val="003B51A1"/>
    <w:rsid w:val="003B592C"/>
    <w:rsid w:val="003B5D0A"/>
    <w:rsid w:val="003C1471"/>
    <w:rsid w:val="003C24CF"/>
    <w:rsid w:val="003C3C57"/>
    <w:rsid w:val="003C4F7D"/>
    <w:rsid w:val="003C5005"/>
    <w:rsid w:val="003C512B"/>
    <w:rsid w:val="003C64DF"/>
    <w:rsid w:val="003C65BF"/>
    <w:rsid w:val="003D030F"/>
    <w:rsid w:val="003D1587"/>
    <w:rsid w:val="003D183E"/>
    <w:rsid w:val="003D7680"/>
    <w:rsid w:val="003E0D29"/>
    <w:rsid w:val="003E14C9"/>
    <w:rsid w:val="003E2441"/>
    <w:rsid w:val="003E344F"/>
    <w:rsid w:val="003E7864"/>
    <w:rsid w:val="003F0779"/>
    <w:rsid w:val="003F0975"/>
    <w:rsid w:val="003F1981"/>
    <w:rsid w:val="003F36F6"/>
    <w:rsid w:val="003F4B1D"/>
    <w:rsid w:val="003F564B"/>
    <w:rsid w:val="003F5B87"/>
    <w:rsid w:val="003F5D66"/>
    <w:rsid w:val="003F6A35"/>
    <w:rsid w:val="003F78BD"/>
    <w:rsid w:val="004004AF"/>
    <w:rsid w:val="00401361"/>
    <w:rsid w:val="00404ED1"/>
    <w:rsid w:val="004053AA"/>
    <w:rsid w:val="00405888"/>
    <w:rsid w:val="00405C48"/>
    <w:rsid w:val="004061CF"/>
    <w:rsid w:val="004074AE"/>
    <w:rsid w:val="004120AE"/>
    <w:rsid w:val="00413B68"/>
    <w:rsid w:val="004165D1"/>
    <w:rsid w:val="004169C9"/>
    <w:rsid w:val="00416C16"/>
    <w:rsid w:val="00417CF4"/>
    <w:rsid w:val="00421B1A"/>
    <w:rsid w:val="004235BE"/>
    <w:rsid w:val="00423AD0"/>
    <w:rsid w:val="00423B03"/>
    <w:rsid w:val="00425227"/>
    <w:rsid w:val="00425616"/>
    <w:rsid w:val="004256F7"/>
    <w:rsid w:val="0042718A"/>
    <w:rsid w:val="004335E7"/>
    <w:rsid w:val="004336ED"/>
    <w:rsid w:val="0043602F"/>
    <w:rsid w:val="0044062C"/>
    <w:rsid w:val="004435D5"/>
    <w:rsid w:val="00443943"/>
    <w:rsid w:val="00445BAB"/>
    <w:rsid w:val="00446C96"/>
    <w:rsid w:val="004470DA"/>
    <w:rsid w:val="00447641"/>
    <w:rsid w:val="00447E25"/>
    <w:rsid w:val="004503EB"/>
    <w:rsid w:val="004516C9"/>
    <w:rsid w:val="00452107"/>
    <w:rsid w:val="00452670"/>
    <w:rsid w:val="00453A44"/>
    <w:rsid w:val="004571CF"/>
    <w:rsid w:val="00457480"/>
    <w:rsid w:val="00461210"/>
    <w:rsid w:val="00462C37"/>
    <w:rsid w:val="00462DEF"/>
    <w:rsid w:val="00466C46"/>
    <w:rsid w:val="004709C7"/>
    <w:rsid w:val="00470CB9"/>
    <w:rsid w:val="00470D82"/>
    <w:rsid w:val="0047182F"/>
    <w:rsid w:val="00472409"/>
    <w:rsid w:val="00474638"/>
    <w:rsid w:val="00475EE4"/>
    <w:rsid w:val="00477AE5"/>
    <w:rsid w:val="0048103A"/>
    <w:rsid w:val="00481E9E"/>
    <w:rsid w:val="00482BAF"/>
    <w:rsid w:val="00483F9E"/>
    <w:rsid w:val="004845FE"/>
    <w:rsid w:val="00484620"/>
    <w:rsid w:val="00484997"/>
    <w:rsid w:val="00484DBC"/>
    <w:rsid w:val="004858CD"/>
    <w:rsid w:val="004861E9"/>
    <w:rsid w:val="00486852"/>
    <w:rsid w:val="00490197"/>
    <w:rsid w:val="004901AC"/>
    <w:rsid w:val="00492467"/>
    <w:rsid w:val="00492A12"/>
    <w:rsid w:val="00492A49"/>
    <w:rsid w:val="0049344C"/>
    <w:rsid w:val="004936E8"/>
    <w:rsid w:val="00493B97"/>
    <w:rsid w:val="00494C8A"/>
    <w:rsid w:val="00496E93"/>
    <w:rsid w:val="00497660"/>
    <w:rsid w:val="00497F08"/>
    <w:rsid w:val="004A08DB"/>
    <w:rsid w:val="004A08F4"/>
    <w:rsid w:val="004A1038"/>
    <w:rsid w:val="004A17D1"/>
    <w:rsid w:val="004A3370"/>
    <w:rsid w:val="004A38AB"/>
    <w:rsid w:val="004A3EF6"/>
    <w:rsid w:val="004A4B88"/>
    <w:rsid w:val="004A4ECB"/>
    <w:rsid w:val="004A5474"/>
    <w:rsid w:val="004A57B5"/>
    <w:rsid w:val="004A7916"/>
    <w:rsid w:val="004B272E"/>
    <w:rsid w:val="004B2A74"/>
    <w:rsid w:val="004B4F8B"/>
    <w:rsid w:val="004B58C5"/>
    <w:rsid w:val="004B7D0E"/>
    <w:rsid w:val="004C0CFE"/>
    <w:rsid w:val="004C11EF"/>
    <w:rsid w:val="004C2AE1"/>
    <w:rsid w:val="004C2E18"/>
    <w:rsid w:val="004C321A"/>
    <w:rsid w:val="004C4B74"/>
    <w:rsid w:val="004C4D8E"/>
    <w:rsid w:val="004C59AB"/>
    <w:rsid w:val="004C6116"/>
    <w:rsid w:val="004C7BE9"/>
    <w:rsid w:val="004C7D8E"/>
    <w:rsid w:val="004D009F"/>
    <w:rsid w:val="004D249E"/>
    <w:rsid w:val="004D2956"/>
    <w:rsid w:val="004D4581"/>
    <w:rsid w:val="004D5F0A"/>
    <w:rsid w:val="004D777D"/>
    <w:rsid w:val="004E0EAF"/>
    <w:rsid w:val="004E11E5"/>
    <w:rsid w:val="004E2117"/>
    <w:rsid w:val="004E3B15"/>
    <w:rsid w:val="004E49B7"/>
    <w:rsid w:val="004E4B7B"/>
    <w:rsid w:val="004E6943"/>
    <w:rsid w:val="004F018E"/>
    <w:rsid w:val="004F1E5B"/>
    <w:rsid w:val="004F3151"/>
    <w:rsid w:val="004F470A"/>
    <w:rsid w:val="004F6372"/>
    <w:rsid w:val="004F685E"/>
    <w:rsid w:val="004F7AA4"/>
    <w:rsid w:val="00501DE1"/>
    <w:rsid w:val="0050457D"/>
    <w:rsid w:val="00507FCB"/>
    <w:rsid w:val="00512960"/>
    <w:rsid w:val="00512B0B"/>
    <w:rsid w:val="00515E62"/>
    <w:rsid w:val="00515FE9"/>
    <w:rsid w:val="005166CC"/>
    <w:rsid w:val="005169DA"/>
    <w:rsid w:val="00521C60"/>
    <w:rsid w:val="0052359F"/>
    <w:rsid w:val="005235EC"/>
    <w:rsid w:val="00523A9C"/>
    <w:rsid w:val="005240D5"/>
    <w:rsid w:val="0052729A"/>
    <w:rsid w:val="00530625"/>
    <w:rsid w:val="00533D43"/>
    <w:rsid w:val="00533EEF"/>
    <w:rsid w:val="00534006"/>
    <w:rsid w:val="00534B7D"/>
    <w:rsid w:val="0053728A"/>
    <w:rsid w:val="00540CBD"/>
    <w:rsid w:val="00540D8E"/>
    <w:rsid w:val="00541B77"/>
    <w:rsid w:val="00541DDF"/>
    <w:rsid w:val="005422BF"/>
    <w:rsid w:val="00542B29"/>
    <w:rsid w:val="005456B9"/>
    <w:rsid w:val="005457FF"/>
    <w:rsid w:val="005459AB"/>
    <w:rsid w:val="0054713D"/>
    <w:rsid w:val="0055010F"/>
    <w:rsid w:val="00552BB5"/>
    <w:rsid w:val="0055315C"/>
    <w:rsid w:val="00553293"/>
    <w:rsid w:val="0055358E"/>
    <w:rsid w:val="00553B6B"/>
    <w:rsid w:val="00553B8B"/>
    <w:rsid w:val="00553BE6"/>
    <w:rsid w:val="00555BE9"/>
    <w:rsid w:val="005566C1"/>
    <w:rsid w:val="00557105"/>
    <w:rsid w:val="00562A21"/>
    <w:rsid w:val="00565C44"/>
    <w:rsid w:val="00567F06"/>
    <w:rsid w:val="00570663"/>
    <w:rsid w:val="00570DC1"/>
    <w:rsid w:val="005716E5"/>
    <w:rsid w:val="005745D4"/>
    <w:rsid w:val="005768C8"/>
    <w:rsid w:val="00581362"/>
    <w:rsid w:val="00581A00"/>
    <w:rsid w:val="00581B11"/>
    <w:rsid w:val="0058240D"/>
    <w:rsid w:val="005825D1"/>
    <w:rsid w:val="005853C6"/>
    <w:rsid w:val="00585B41"/>
    <w:rsid w:val="00586C4A"/>
    <w:rsid w:val="00586DB4"/>
    <w:rsid w:val="00590085"/>
    <w:rsid w:val="00590D50"/>
    <w:rsid w:val="00591950"/>
    <w:rsid w:val="005921A9"/>
    <w:rsid w:val="005930DB"/>
    <w:rsid w:val="005946A7"/>
    <w:rsid w:val="00595455"/>
    <w:rsid w:val="00596874"/>
    <w:rsid w:val="005A1317"/>
    <w:rsid w:val="005A1837"/>
    <w:rsid w:val="005A2FBF"/>
    <w:rsid w:val="005A3170"/>
    <w:rsid w:val="005A52A2"/>
    <w:rsid w:val="005A5FE6"/>
    <w:rsid w:val="005A7B15"/>
    <w:rsid w:val="005A7C29"/>
    <w:rsid w:val="005B1534"/>
    <w:rsid w:val="005B2411"/>
    <w:rsid w:val="005B32C0"/>
    <w:rsid w:val="005B3707"/>
    <w:rsid w:val="005B45BB"/>
    <w:rsid w:val="005B6DBB"/>
    <w:rsid w:val="005C01EA"/>
    <w:rsid w:val="005C179A"/>
    <w:rsid w:val="005C18F8"/>
    <w:rsid w:val="005C3218"/>
    <w:rsid w:val="005C3582"/>
    <w:rsid w:val="005C36AE"/>
    <w:rsid w:val="005C44C2"/>
    <w:rsid w:val="005C5D11"/>
    <w:rsid w:val="005D0C0F"/>
    <w:rsid w:val="005D0DE6"/>
    <w:rsid w:val="005D1388"/>
    <w:rsid w:val="005D21C8"/>
    <w:rsid w:val="005D2BCB"/>
    <w:rsid w:val="005D3CAA"/>
    <w:rsid w:val="005D4296"/>
    <w:rsid w:val="005D5023"/>
    <w:rsid w:val="005D5ECC"/>
    <w:rsid w:val="005D6BC1"/>
    <w:rsid w:val="005D71A5"/>
    <w:rsid w:val="005E0F58"/>
    <w:rsid w:val="005E15BB"/>
    <w:rsid w:val="005E19AA"/>
    <w:rsid w:val="005E2F7F"/>
    <w:rsid w:val="005E3D72"/>
    <w:rsid w:val="005E4872"/>
    <w:rsid w:val="005E6260"/>
    <w:rsid w:val="005E7300"/>
    <w:rsid w:val="005F0F09"/>
    <w:rsid w:val="005F3910"/>
    <w:rsid w:val="005F5274"/>
    <w:rsid w:val="005F671D"/>
    <w:rsid w:val="006010E1"/>
    <w:rsid w:val="00601D36"/>
    <w:rsid w:val="00603932"/>
    <w:rsid w:val="00603F32"/>
    <w:rsid w:val="006048BC"/>
    <w:rsid w:val="00604C92"/>
    <w:rsid w:val="00604CEC"/>
    <w:rsid w:val="00604FA2"/>
    <w:rsid w:val="006075EB"/>
    <w:rsid w:val="00607819"/>
    <w:rsid w:val="00610526"/>
    <w:rsid w:val="006117BB"/>
    <w:rsid w:val="00612792"/>
    <w:rsid w:val="006134E1"/>
    <w:rsid w:val="00613FA6"/>
    <w:rsid w:val="006178A6"/>
    <w:rsid w:val="00620D7B"/>
    <w:rsid w:val="0062353C"/>
    <w:rsid w:val="006241AE"/>
    <w:rsid w:val="0062679D"/>
    <w:rsid w:val="0063002E"/>
    <w:rsid w:val="00630780"/>
    <w:rsid w:val="006307E9"/>
    <w:rsid w:val="00631B68"/>
    <w:rsid w:val="00632E01"/>
    <w:rsid w:val="00633C75"/>
    <w:rsid w:val="00634511"/>
    <w:rsid w:val="00634B4B"/>
    <w:rsid w:val="0063531D"/>
    <w:rsid w:val="00635B4C"/>
    <w:rsid w:val="00635BCF"/>
    <w:rsid w:val="00635BEA"/>
    <w:rsid w:val="0063637E"/>
    <w:rsid w:val="0063670B"/>
    <w:rsid w:val="00637DDE"/>
    <w:rsid w:val="00642AA9"/>
    <w:rsid w:val="00642DED"/>
    <w:rsid w:val="0064517B"/>
    <w:rsid w:val="00646D06"/>
    <w:rsid w:val="006514C7"/>
    <w:rsid w:val="006523F1"/>
    <w:rsid w:val="00652C0D"/>
    <w:rsid w:val="00653ABD"/>
    <w:rsid w:val="00654B5D"/>
    <w:rsid w:val="00657C7B"/>
    <w:rsid w:val="00660662"/>
    <w:rsid w:val="006616A7"/>
    <w:rsid w:val="00661759"/>
    <w:rsid w:val="00662263"/>
    <w:rsid w:val="0066424F"/>
    <w:rsid w:val="00666550"/>
    <w:rsid w:val="006675E0"/>
    <w:rsid w:val="00670BC9"/>
    <w:rsid w:val="00670D2A"/>
    <w:rsid w:val="00671464"/>
    <w:rsid w:val="00671EA3"/>
    <w:rsid w:val="00672350"/>
    <w:rsid w:val="0067298C"/>
    <w:rsid w:val="0067347B"/>
    <w:rsid w:val="00674B4C"/>
    <w:rsid w:val="006755DF"/>
    <w:rsid w:val="006766BA"/>
    <w:rsid w:val="00676A9D"/>
    <w:rsid w:val="00676ADB"/>
    <w:rsid w:val="00676CA7"/>
    <w:rsid w:val="0068152B"/>
    <w:rsid w:val="00681CC3"/>
    <w:rsid w:val="00681E2E"/>
    <w:rsid w:val="006824AA"/>
    <w:rsid w:val="00682D8D"/>
    <w:rsid w:val="00683575"/>
    <w:rsid w:val="0068451D"/>
    <w:rsid w:val="006855D5"/>
    <w:rsid w:val="00686E71"/>
    <w:rsid w:val="00687D35"/>
    <w:rsid w:val="006905EF"/>
    <w:rsid w:val="00690E1D"/>
    <w:rsid w:val="00690F1D"/>
    <w:rsid w:val="00690F29"/>
    <w:rsid w:val="0069171C"/>
    <w:rsid w:val="006919DE"/>
    <w:rsid w:val="00691A39"/>
    <w:rsid w:val="00692B3E"/>
    <w:rsid w:val="0069418D"/>
    <w:rsid w:val="0069468E"/>
    <w:rsid w:val="00695313"/>
    <w:rsid w:val="00695728"/>
    <w:rsid w:val="00695CAD"/>
    <w:rsid w:val="00696104"/>
    <w:rsid w:val="0069614C"/>
    <w:rsid w:val="00696B52"/>
    <w:rsid w:val="0069728A"/>
    <w:rsid w:val="00697A89"/>
    <w:rsid w:val="006A055C"/>
    <w:rsid w:val="006A57DF"/>
    <w:rsid w:val="006A5D8F"/>
    <w:rsid w:val="006B0419"/>
    <w:rsid w:val="006B0471"/>
    <w:rsid w:val="006B1FE0"/>
    <w:rsid w:val="006B20BD"/>
    <w:rsid w:val="006B3995"/>
    <w:rsid w:val="006B50B5"/>
    <w:rsid w:val="006B53E2"/>
    <w:rsid w:val="006B5F30"/>
    <w:rsid w:val="006B6069"/>
    <w:rsid w:val="006B78BE"/>
    <w:rsid w:val="006C08EB"/>
    <w:rsid w:val="006C1ADC"/>
    <w:rsid w:val="006C2EFF"/>
    <w:rsid w:val="006C34BD"/>
    <w:rsid w:val="006C52C6"/>
    <w:rsid w:val="006C65D7"/>
    <w:rsid w:val="006C6F9A"/>
    <w:rsid w:val="006C7364"/>
    <w:rsid w:val="006D0D75"/>
    <w:rsid w:val="006D1110"/>
    <w:rsid w:val="006D1939"/>
    <w:rsid w:val="006D6AEF"/>
    <w:rsid w:val="006D706A"/>
    <w:rsid w:val="006E09F2"/>
    <w:rsid w:val="006E227C"/>
    <w:rsid w:val="006E2B3E"/>
    <w:rsid w:val="006E3B77"/>
    <w:rsid w:val="006E3FF6"/>
    <w:rsid w:val="006E4806"/>
    <w:rsid w:val="006E7395"/>
    <w:rsid w:val="006E7AE7"/>
    <w:rsid w:val="006E7B44"/>
    <w:rsid w:val="006F0127"/>
    <w:rsid w:val="006F0E7B"/>
    <w:rsid w:val="006F11D1"/>
    <w:rsid w:val="006F14E3"/>
    <w:rsid w:val="006F1B34"/>
    <w:rsid w:val="006F2CEB"/>
    <w:rsid w:val="006F46A4"/>
    <w:rsid w:val="006F4C87"/>
    <w:rsid w:val="006F4CC9"/>
    <w:rsid w:val="006F52C7"/>
    <w:rsid w:val="006F7FDC"/>
    <w:rsid w:val="00700F35"/>
    <w:rsid w:val="007011A1"/>
    <w:rsid w:val="00701996"/>
    <w:rsid w:val="00701B91"/>
    <w:rsid w:val="0070470E"/>
    <w:rsid w:val="007064B0"/>
    <w:rsid w:val="00706A1A"/>
    <w:rsid w:val="0070754A"/>
    <w:rsid w:val="00707CC4"/>
    <w:rsid w:val="00710780"/>
    <w:rsid w:val="00710F4E"/>
    <w:rsid w:val="00713718"/>
    <w:rsid w:val="00713778"/>
    <w:rsid w:val="00714652"/>
    <w:rsid w:val="007168C1"/>
    <w:rsid w:val="0072166B"/>
    <w:rsid w:val="007223D0"/>
    <w:rsid w:val="007249F2"/>
    <w:rsid w:val="00724AD5"/>
    <w:rsid w:val="00724B7F"/>
    <w:rsid w:val="00725470"/>
    <w:rsid w:val="007255D5"/>
    <w:rsid w:val="00732C7C"/>
    <w:rsid w:val="00732E16"/>
    <w:rsid w:val="007336C6"/>
    <w:rsid w:val="007345F6"/>
    <w:rsid w:val="00734A91"/>
    <w:rsid w:val="007364BB"/>
    <w:rsid w:val="00736A59"/>
    <w:rsid w:val="00740889"/>
    <w:rsid w:val="0074158C"/>
    <w:rsid w:val="0074247B"/>
    <w:rsid w:val="00742B94"/>
    <w:rsid w:val="007431D7"/>
    <w:rsid w:val="00743A6D"/>
    <w:rsid w:val="0074459F"/>
    <w:rsid w:val="00744E4A"/>
    <w:rsid w:val="0074697F"/>
    <w:rsid w:val="00751CE4"/>
    <w:rsid w:val="00752085"/>
    <w:rsid w:val="00752C93"/>
    <w:rsid w:val="00755697"/>
    <w:rsid w:val="0075678D"/>
    <w:rsid w:val="007568F6"/>
    <w:rsid w:val="00757485"/>
    <w:rsid w:val="0075778E"/>
    <w:rsid w:val="007635A0"/>
    <w:rsid w:val="00763AA1"/>
    <w:rsid w:val="0076539D"/>
    <w:rsid w:val="0076548F"/>
    <w:rsid w:val="00765905"/>
    <w:rsid w:val="00766270"/>
    <w:rsid w:val="00766BEC"/>
    <w:rsid w:val="0077077C"/>
    <w:rsid w:val="007754C3"/>
    <w:rsid w:val="007755A9"/>
    <w:rsid w:val="007760D1"/>
    <w:rsid w:val="00776125"/>
    <w:rsid w:val="00776CA1"/>
    <w:rsid w:val="00776F09"/>
    <w:rsid w:val="0078011D"/>
    <w:rsid w:val="00782F21"/>
    <w:rsid w:val="00784302"/>
    <w:rsid w:val="00785359"/>
    <w:rsid w:val="00790202"/>
    <w:rsid w:val="0079053D"/>
    <w:rsid w:val="00792874"/>
    <w:rsid w:val="00792AB0"/>
    <w:rsid w:val="007939A4"/>
    <w:rsid w:val="00794CE7"/>
    <w:rsid w:val="00796E43"/>
    <w:rsid w:val="00797ACD"/>
    <w:rsid w:val="00797F72"/>
    <w:rsid w:val="007A08C4"/>
    <w:rsid w:val="007A224F"/>
    <w:rsid w:val="007A2DBA"/>
    <w:rsid w:val="007A36A7"/>
    <w:rsid w:val="007A4333"/>
    <w:rsid w:val="007A450E"/>
    <w:rsid w:val="007A57B7"/>
    <w:rsid w:val="007A5E71"/>
    <w:rsid w:val="007A60A6"/>
    <w:rsid w:val="007A64AF"/>
    <w:rsid w:val="007A6755"/>
    <w:rsid w:val="007A711B"/>
    <w:rsid w:val="007B0B00"/>
    <w:rsid w:val="007B0E72"/>
    <w:rsid w:val="007B0E9E"/>
    <w:rsid w:val="007B131C"/>
    <w:rsid w:val="007B1599"/>
    <w:rsid w:val="007B4973"/>
    <w:rsid w:val="007B5EAC"/>
    <w:rsid w:val="007B63AE"/>
    <w:rsid w:val="007B7E93"/>
    <w:rsid w:val="007C0257"/>
    <w:rsid w:val="007C1B80"/>
    <w:rsid w:val="007C35AA"/>
    <w:rsid w:val="007C3FEC"/>
    <w:rsid w:val="007C4236"/>
    <w:rsid w:val="007C6BD5"/>
    <w:rsid w:val="007C706E"/>
    <w:rsid w:val="007D19DF"/>
    <w:rsid w:val="007D22B4"/>
    <w:rsid w:val="007D5780"/>
    <w:rsid w:val="007D58D7"/>
    <w:rsid w:val="007D672C"/>
    <w:rsid w:val="007D6AE5"/>
    <w:rsid w:val="007D7BEC"/>
    <w:rsid w:val="007E1D18"/>
    <w:rsid w:val="007E366F"/>
    <w:rsid w:val="007E3A4E"/>
    <w:rsid w:val="007E517E"/>
    <w:rsid w:val="007E52D8"/>
    <w:rsid w:val="007E5D81"/>
    <w:rsid w:val="007F0E3F"/>
    <w:rsid w:val="007F12DD"/>
    <w:rsid w:val="007F15EE"/>
    <w:rsid w:val="007F1C72"/>
    <w:rsid w:val="007F2952"/>
    <w:rsid w:val="007F5AE0"/>
    <w:rsid w:val="007F79FF"/>
    <w:rsid w:val="00800E57"/>
    <w:rsid w:val="008045FB"/>
    <w:rsid w:val="0081004F"/>
    <w:rsid w:val="00811AA4"/>
    <w:rsid w:val="00811C4B"/>
    <w:rsid w:val="00813AC9"/>
    <w:rsid w:val="00815478"/>
    <w:rsid w:val="00815A09"/>
    <w:rsid w:val="008167EE"/>
    <w:rsid w:val="00816B3B"/>
    <w:rsid w:val="008172D9"/>
    <w:rsid w:val="00817644"/>
    <w:rsid w:val="0082142A"/>
    <w:rsid w:val="008259CB"/>
    <w:rsid w:val="00825E18"/>
    <w:rsid w:val="00826835"/>
    <w:rsid w:val="00830DED"/>
    <w:rsid w:val="00830F50"/>
    <w:rsid w:val="0083160D"/>
    <w:rsid w:val="00833322"/>
    <w:rsid w:val="0083388C"/>
    <w:rsid w:val="008351EE"/>
    <w:rsid w:val="008368D2"/>
    <w:rsid w:val="00840277"/>
    <w:rsid w:val="00841495"/>
    <w:rsid w:val="00842AF5"/>
    <w:rsid w:val="00842C10"/>
    <w:rsid w:val="00842F30"/>
    <w:rsid w:val="00845843"/>
    <w:rsid w:val="0084658D"/>
    <w:rsid w:val="00850625"/>
    <w:rsid w:val="008524E4"/>
    <w:rsid w:val="0085387C"/>
    <w:rsid w:val="00854437"/>
    <w:rsid w:val="0085461E"/>
    <w:rsid w:val="0085635F"/>
    <w:rsid w:val="008616C0"/>
    <w:rsid w:val="00862263"/>
    <w:rsid w:val="00865C71"/>
    <w:rsid w:val="0086681C"/>
    <w:rsid w:val="00871BC9"/>
    <w:rsid w:val="00871D9A"/>
    <w:rsid w:val="00874C4D"/>
    <w:rsid w:val="008750CA"/>
    <w:rsid w:val="008753AE"/>
    <w:rsid w:val="00875824"/>
    <w:rsid w:val="00877B87"/>
    <w:rsid w:val="00881A20"/>
    <w:rsid w:val="00881F51"/>
    <w:rsid w:val="00883AE7"/>
    <w:rsid w:val="00883D5D"/>
    <w:rsid w:val="00883DFC"/>
    <w:rsid w:val="008845FF"/>
    <w:rsid w:val="00885FAE"/>
    <w:rsid w:val="00886408"/>
    <w:rsid w:val="008871AF"/>
    <w:rsid w:val="008872D6"/>
    <w:rsid w:val="0089243E"/>
    <w:rsid w:val="008947E4"/>
    <w:rsid w:val="00894FBF"/>
    <w:rsid w:val="008957C3"/>
    <w:rsid w:val="00895921"/>
    <w:rsid w:val="00896A66"/>
    <w:rsid w:val="00897E25"/>
    <w:rsid w:val="008A0611"/>
    <w:rsid w:val="008A0FEF"/>
    <w:rsid w:val="008A1A4C"/>
    <w:rsid w:val="008A25F7"/>
    <w:rsid w:val="008A360B"/>
    <w:rsid w:val="008A5211"/>
    <w:rsid w:val="008B0AE9"/>
    <w:rsid w:val="008B1131"/>
    <w:rsid w:val="008B2E07"/>
    <w:rsid w:val="008B4875"/>
    <w:rsid w:val="008B71FF"/>
    <w:rsid w:val="008B7712"/>
    <w:rsid w:val="008B7F98"/>
    <w:rsid w:val="008C0DE8"/>
    <w:rsid w:val="008C23F8"/>
    <w:rsid w:val="008C319F"/>
    <w:rsid w:val="008C37C7"/>
    <w:rsid w:val="008C5216"/>
    <w:rsid w:val="008C5580"/>
    <w:rsid w:val="008C5775"/>
    <w:rsid w:val="008D3AAE"/>
    <w:rsid w:val="008D515E"/>
    <w:rsid w:val="008D5A4E"/>
    <w:rsid w:val="008D6BC1"/>
    <w:rsid w:val="008D6F3A"/>
    <w:rsid w:val="008D747C"/>
    <w:rsid w:val="008E0905"/>
    <w:rsid w:val="008E17DD"/>
    <w:rsid w:val="008E1B09"/>
    <w:rsid w:val="008E2743"/>
    <w:rsid w:val="008E3E8F"/>
    <w:rsid w:val="008E5064"/>
    <w:rsid w:val="008E7FB9"/>
    <w:rsid w:val="008F0B70"/>
    <w:rsid w:val="008F0EA5"/>
    <w:rsid w:val="008F2180"/>
    <w:rsid w:val="008F779D"/>
    <w:rsid w:val="008F7DD9"/>
    <w:rsid w:val="009006AD"/>
    <w:rsid w:val="00900D3A"/>
    <w:rsid w:val="0090143E"/>
    <w:rsid w:val="009046B1"/>
    <w:rsid w:val="00905AEC"/>
    <w:rsid w:val="009062CB"/>
    <w:rsid w:val="0091202A"/>
    <w:rsid w:val="00912877"/>
    <w:rsid w:val="0091406A"/>
    <w:rsid w:val="0091614D"/>
    <w:rsid w:val="0092447E"/>
    <w:rsid w:val="009244DC"/>
    <w:rsid w:val="00925298"/>
    <w:rsid w:val="00926742"/>
    <w:rsid w:val="009268E3"/>
    <w:rsid w:val="00926CB2"/>
    <w:rsid w:val="00927B56"/>
    <w:rsid w:val="009303ED"/>
    <w:rsid w:val="00931669"/>
    <w:rsid w:val="00935179"/>
    <w:rsid w:val="00936CAC"/>
    <w:rsid w:val="009370F6"/>
    <w:rsid w:val="009405E2"/>
    <w:rsid w:val="00942760"/>
    <w:rsid w:val="009445A9"/>
    <w:rsid w:val="00944A76"/>
    <w:rsid w:val="0094616B"/>
    <w:rsid w:val="00946ED3"/>
    <w:rsid w:val="00950E50"/>
    <w:rsid w:val="0095361A"/>
    <w:rsid w:val="00953EC4"/>
    <w:rsid w:val="00956219"/>
    <w:rsid w:val="00956659"/>
    <w:rsid w:val="00957851"/>
    <w:rsid w:val="0096030A"/>
    <w:rsid w:val="009605F5"/>
    <w:rsid w:val="0096150D"/>
    <w:rsid w:val="00962623"/>
    <w:rsid w:val="009635E5"/>
    <w:rsid w:val="00963D66"/>
    <w:rsid w:val="00964F48"/>
    <w:rsid w:val="00965ED8"/>
    <w:rsid w:val="009661CC"/>
    <w:rsid w:val="00970952"/>
    <w:rsid w:val="00972621"/>
    <w:rsid w:val="009745CF"/>
    <w:rsid w:val="00975376"/>
    <w:rsid w:val="009753F4"/>
    <w:rsid w:val="00977775"/>
    <w:rsid w:val="00977ACB"/>
    <w:rsid w:val="00981630"/>
    <w:rsid w:val="00981893"/>
    <w:rsid w:val="009833E2"/>
    <w:rsid w:val="00984293"/>
    <w:rsid w:val="00984B39"/>
    <w:rsid w:val="0098749A"/>
    <w:rsid w:val="0098778C"/>
    <w:rsid w:val="00987C08"/>
    <w:rsid w:val="009903A7"/>
    <w:rsid w:val="00991782"/>
    <w:rsid w:val="00993DDC"/>
    <w:rsid w:val="00994852"/>
    <w:rsid w:val="00995340"/>
    <w:rsid w:val="009968BD"/>
    <w:rsid w:val="009A0345"/>
    <w:rsid w:val="009A1BDC"/>
    <w:rsid w:val="009A243F"/>
    <w:rsid w:val="009A54E1"/>
    <w:rsid w:val="009B0644"/>
    <w:rsid w:val="009B0FEA"/>
    <w:rsid w:val="009B40BB"/>
    <w:rsid w:val="009B5606"/>
    <w:rsid w:val="009C03D8"/>
    <w:rsid w:val="009C163D"/>
    <w:rsid w:val="009C19FE"/>
    <w:rsid w:val="009C2F71"/>
    <w:rsid w:val="009C4A0F"/>
    <w:rsid w:val="009C4A69"/>
    <w:rsid w:val="009C5403"/>
    <w:rsid w:val="009D26F2"/>
    <w:rsid w:val="009D56DF"/>
    <w:rsid w:val="009D679E"/>
    <w:rsid w:val="009E0446"/>
    <w:rsid w:val="009E1381"/>
    <w:rsid w:val="009E15E7"/>
    <w:rsid w:val="009E2C3B"/>
    <w:rsid w:val="009E3555"/>
    <w:rsid w:val="009E41C7"/>
    <w:rsid w:val="009E4A67"/>
    <w:rsid w:val="009E4D44"/>
    <w:rsid w:val="009E4E7E"/>
    <w:rsid w:val="009E67EC"/>
    <w:rsid w:val="009F0CB4"/>
    <w:rsid w:val="009F2D68"/>
    <w:rsid w:val="009F353D"/>
    <w:rsid w:val="00A01140"/>
    <w:rsid w:val="00A01CB8"/>
    <w:rsid w:val="00A035B2"/>
    <w:rsid w:val="00A04452"/>
    <w:rsid w:val="00A06C45"/>
    <w:rsid w:val="00A10383"/>
    <w:rsid w:val="00A10984"/>
    <w:rsid w:val="00A119D0"/>
    <w:rsid w:val="00A11C7C"/>
    <w:rsid w:val="00A120E9"/>
    <w:rsid w:val="00A13246"/>
    <w:rsid w:val="00A14CA7"/>
    <w:rsid w:val="00A15560"/>
    <w:rsid w:val="00A2074D"/>
    <w:rsid w:val="00A21AA3"/>
    <w:rsid w:val="00A23619"/>
    <w:rsid w:val="00A23649"/>
    <w:rsid w:val="00A23AC6"/>
    <w:rsid w:val="00A23D13"/>
    <w:rsid w:val="00A24416"/>
    <w:rsid w:val="00A2499B"/>
    <w:rsid w:val="00A26045"/>
    <w:rsid w:val="00A261A8"/>
    <w:rsid w:val="00A3048D"/>
    <w:rsid w:val="00A30831"/>
    <w:rsid w:val="00A340D4"/>
    <w:rsid w:val="00A34C8F"/>
    <w:rsid w:val="00A3524C"/>
    <w:rsid w:val="00A35E6F"/>
    <w:rsid w:val="00A37193"/>
    <w:rsid w:val="00A3748A"/>
    <w:rsid w:val="00A406AB"/>
    <w:rsid w:val="00A4105D"/>
    <w:rsid w:val="00A427C7"/>
    <w:rsid w:val="00A4365E"/>
    <w:rsid w:val="00A44A0D"/>
    <w:rsid w:val="00A44C17"/>
    <w:rsid w:val="00A44E80"/>
    <w:rsid w:val="00A45199"/>
    <w:rsid w:val="00A466C7"/>
    <w:rsid w:val="00A46A60"/>
    <w:rsid w:val="00A47346"/>
    <w:rsid w:val="00A4769C"/>
    <w:rsid w:val="00A47F06"/>
    <w:rsid w:val="00A50D63"/>
    <w:rsid w:val="00A51359"/>
    <w:rsid w:val="00A51A23"/>
    <w:rsid w:val="00A526E7"/>
    <w:rsid w:val="00A52AF3"/>
    <w:rsid w:val="00A54AAB"/>
    <w:rsid w:val="00A556CA"/>
    <w:rsid w:val="00A55AF9"/>
    <w:rsid w:val="00A56746"/>
    <w:rsid w:val="00A61062"/>
    <w:rsid w:val="00A61CEC"/>
    <w:rsid w:val="00A6205A"/>
    <w:rsid w:val="00A63545"/>
    <w:rsid w:val="00A636D4"/>
    <w:rsid w:val="00A644D5"/>
    <w:rsid w:val="00A652F2"/>
    <w:rsid w:val="00A65864"/>
    <w:rsid w:val="00A65F6A"/>
    <w:rsid w:val="00A67A8E"/>
    <w:rsid w:val="00A707A7"/>
    <w:rsid w:val="00A7237A"/>
    <w:rsid w:val="00A72E56"/>
    <w:rsid w:val="00A73326"/>
    <w:rsid w:val="00A751B6"/>
    <w:rsid w:val="00A761E9"/>
    <w:rsid w:val="00A76D1B"/>
    <w:rsid w:val="00A76F78"/>
    <w:rsid w:val="00A77029"/>
    <w:rsid w:val="00A80118"/>
    <w:rsid w:val="00A828EC"/>
    <w:rsid w:val="00A912EC"/>
    <w:rsid w:val="00A91BE3"/>
    <w:rsid w:val="00A94FF8"/>
    <w:rsid w:val="00A95429"/>
    <w:rsid w:val="00A9754E"/>
    <w:rsid w:val="00A978CA"/>
    <w:rsid w:val="00A97BD5"/>
    <w:rsid w:val="00A97EBB"/>
    <w:rsid w:val="00AA0194"/>
    <w:rsid w:val="00AA0EDE"/>
    <w:rsid w:val="00AA0F05"/>
    <w:rsid w:val="00AA0FDD"/>
    <w:rsid w:val="00AA2079"/>
    <w:rsid w:val="00AA3E80"/>
    <w:rsid w:val="00AA5B6D"/>
    <w:rsid w:val="00AA6940"/>
    <w:rsid w:val="00AB0A06"/>
    <w:rsid w:val="00AB1311"/>
    <w:rsid w:val="00AB24E7"/>
    <w:rsid w:val="00AB25F1"/>
    <w:rsid w:val="00AB319E"/>
    <w:rsid w:val="00AB34F9"/>
    <w:rsid w:val="00AB5034"/>
    <w:rsid w:val="00AB52F8"/>
    <w:rsid w:val="00AB549F"/>
    <w:rsid w:val="00AB5BC4"/>
    <w:rsid w:val="00AB7A01"/>
    <w:rsid w:val="00AC147B"/>
    <w:rsid w:val="00AC274E"/>
    <w:rsid w:val="00AC3A4B"/>
    <w:rsid w:val="00AC438D"/>
    <w:rsid w:val="00AC44AA"/>
    <w:rsid w:val="00AC4690"/>
    <w:rsid w:val="00AC4D14"/>
    <w:rsid w:val="00AC4DFB"/>
    <w:rsid w:val="00AC6923"/>
    <w:rsid w:val="00AD08DD"/>
    <w:rsid w:val="00AD39B6"/>
    <w:rsid w:val="00AD5EA5"/>
    <w:rsid w:val="00AD5FF4"/>
    <w:rsid w:val="00AD7797"/>
    <w:rsid w:val="00AD7E6F"/>
    <w:rsid w:val="00AE1B79"/>
    <w:rsid w:val="00AE310A"/>
    <w:rsid w:val="00AE5F47"/>
    <w:rsid w:val="00AE67E7"/>
    <w:rsid w:val="00AE6D23"/>
    <w:rsid w:val="00AE6FAB"/>
    <w:rsid w:val="00AE7245"/>
    <w:rsid w:val="00AE76E3"/>
    <w:rsid w:val="00AF02E3"/>
    <w:rsid w:val="00AF0A24"/>
    <w:rsid w:val="00AF103F"/>
    <w:rsid w:val="00AF28E5"/>
    <w:rsid w:val="00AF2998"/>
    <w:rsid w:val="00AF2C8B"/>
    <w:rsid w:val="00AF2FE0"/>
    <w:rsid w:val="00AF33C2"/>
    <w:rsid w:val="00AF3AA2"/>
    <w:rsid w:val="00AF3E1B"/>
    <w:rsid w:val="00AF602C"/>
    <w:rsid w:val="00AF6948"/>
    <w:rsid w:val="00B00B1E"/>
    <w:rsid w:val="00B00DCB"/>
    <w:rsid w:val="00B026E7"/>
    <w:rsid w:val="00B038ED"/>
    <w:rsid w:val="00B0423B"/>
    <w:rsid w:val="00B05A1E"/>
    <w:rsid w:val="00B06674"/>
    <w:rsid w:val="00B06E0F"/>
    <w:rsid w:val="00B07F4F"/>
    <w:rsid w:val="00B110E7"/>
    <w:rsid w:val="00B11D5B"/>
    <w:rsid w:val="00B147FB"/>
    <w:rsid w:val="00B164E6"/>
    <w:rsid w:val="00B16FCD"/>
    <w:rsid w:val="00B17797"/>
    <w:rsid w:val="00B177C8"/>
    <w:rsid w:val="00B17D48"/>
    <w:rsid w:val="00B2076D"/>
    <w:rsid w:val="00B211C8"/>
    <w:rsid w:val="00B21539"/>
    <w:rsid w:val="00B22548"/>
    <w:rsid w:val="00B23FB8"/>
    <w:rsid w:val="00B23FC7"/>
    <w:rsid w:val="00B2420F"/>
    <w:rsid w:val="00B2761D"/>
    <w:rsid w:val="00B27A5D"/>
    <w:rsid w:val="00B27C05"/>
    <w:rsid w:val="00B27D17"/>
    <w:rsid w:val="00B317D8"/>
    <w:rsid w:val="00B3217B"/>
    <w:rsid w:val="00B32537"/>
    <w:rsid w:val="00B33FF4"/>
    <w:rsid w:val="00B35135"/>
    <w:rsid w:val="00B366B3"/>
    <w:rsid w:val="00B401BC"/>
    <w:rsid w:val="00B432FD"/>
    <w:rsid w:val="00B435B7"/>
    <w:rsid w:val="00B46722"/>
    <w:rsid w:val="00B467CF"/>
    <w:rsid w:val="00B4730A"/>
    <w:rsid w:val="00B47675"/>
    <w:rsid w:val="00B5132A"/>
    <w:rsid w:val="00B51689"/>
    <w:rsid w:val="00B52439"/>
    <w:rsid w:val="00B53D6C"/>
    <w:rsid w:val="00B5407C"/>
    <w:rsid w:val="00B54502"/>
    <w:rsid w:val="00B55D0A"/>
    <w:rsid w:val="00B563DF"/>
    <w:rsid w:val="00B6149A"/>
    <w:rsid w:val="00B619F2"/>
    <w:rsid w:val="00B637BD"/>
    <w:rsid w:val="00B63802"/>
    <w:rsid w:val="00B64450"/>
    <w:rsid w:val="00B64459"/>
    <w:rsid w:val="00B647C1"/>
    <w:rsid w:val="00B648DC"/>
    <w:rsid w:val="00B66567"/>
    <w:rsid w:val="00B667DD"/>
    <w:rsid w:val="00B66A14"/>
    <w:rsid w:val="00B66ADE"/>
    <w:rsid w:val="00B67609"/>
    <w:rsid w:val="00B747B5"/>
    <w:rsid w:val="00B74E6E"/>
    <w:rsid w:val="00B75289"/>
    <w:rsid w:val="00B75A84"/>
    <w:rsid w:val="00B761A4"/>
    <w:rsid w:val="00B77A59"/>
    <w:rsid w:val="00B77F0B"/>
    <w:rsid w:val="00B8004F"/>
    <w:rsid w:val="00B803BD"/>
    <w:rsid w:val="00B81D3B"/>
    <w:rsid w:val="00B8451D"/>
    <w:rsid w:val="00B847DF"/>
    <w:rsid w:val="00B87D23"/>
    <w:rsid w:val="00B9316A"/>
    <w:rsid w:val="00B9322A"/>
    <w:rsid w:val="00B94554"/>
    <w:rsid w:val="00B948AF"/>
    <w:rsid w:val="00B96706"/>
    <w:rsid w:val="00B971FD"/>
    <w:rsid w:val="00B972C3"/>
    <w:rsid w:val="00BA15DD"/>
    <w:rsid w:val="00BA1BCE"/>
    <w:rsid w:val="00BA5151"/>
    <w:rsid w:val="00BA576D"/>
    <w:rsid w:val="00BA61A1"/>
    <w:rsid w:val="00BA70B4"/>
    <w:rsid w:val="00BB2514"/>
    <w:rsid w:val="00BB35AA"/>
    <w:rsid w:val="00BB730A"/>
    <w:rsid w:val="00BB78CA"/>
    <w:rsid w:val="00BC1293"/>
    <w:rsid w:val="00BC1B97"/>
    <w:rsid w:val="00BC5664"/>
    <w:rsid w:val="00BC59E7"/>
    <w:rsid w:val="00BC6D39"/>
    <w:rsid w:val="00BD0041"/>
    <w:rsid w:val="00BD0065"/>
    <w:rsid w:val="00BD05E4"/>
    <w:rsid w:val="00BD1CA1"/>
    <w:rsid w:val="00BD3B43"/>
    <w:rsid w:val="00BD5383"/>
    <w:rsid w:val="00BD5E6B"/>
    <w:rsid w:val="00BD6DB4"/>
    <w:rsid w:val="00BD7F49"/>
    <w:rsid w:val="00BE0ACC"/>
    <w:rsid w:val="00BE0B62"/>
    <w:rsid w:val="00BE19D5"/>
    <w:rsid w:val="00BE4852"/>
    <w:rsid w:val="00BE5621"/>
    <w:rsid w:val="00BE7F46"/>
    <w:rsid w:val="00BF0710"/>
    <w:rsid w:val="00BF09A8"/>
    <w:rsid w:val="00BF15E5"/>
    <w:rsid w:val="00BF56AD"/>
    <w:rsid w:val="00BF773E"/>
    <w:rsid w:val="00BF7856"/>
    <w:rsid w:val="00BF7EFB"/>
    <w:rsid w:val="00C00A47"/>
    <w:rsid w:val="00C0164A"/>
    <w:rsid w:val="00C017D7"/>
    <w:rsid w:val="00C020FF"/>
    <w:rsid w:val="00C03867"/>
    <w:rsid w:val="00C04351"/>
    <w:rsid w:val="00C04C2D"/>
    <w:rsid w:val="00C059DD"/>
    <w:rsid w:val="00C05D23"/>
    <w:rsid w:val="00C05FC5"/>
    <w:rsid w:val="00C07E55"/>
    <w:rsid w:val="00C1067B"/>
    <w:rsid w:val="00C10D60"/>
    <w:rsid w:val="00C11CA3"/>
    <w:rsid w:val="00C1475E"/>
    <w:rsid w:val="00C1651C"/>
    <w:rsid w:val="00C219B6"/>
    <w:rsid w:val="00C2204E"/>
    <w:rsid w:val="00C23C55"/>
    <w:rsid w:val="00C27D73"/>
    <w:rsid w:val="00C304F8"/>
    <w:rsid w:val="00C30C23"/>
    <w:rsid w:val="00C31641"/>
    <w:rsid w:val="00C326AA"/>
    <w:rsid w:val="00C3481D"/>
    <w:rsid w:val="00C35789"/>
    <w:rsid w:val="00C40531"/>
    <w:rsid w:val="00C40580"/>
    <w:rsid w:val="00C41784"/>
    <w:rsid w:val="00C42225"/>
    <w:rsid w:val="00C43DA7"/>
    <w:rsid w:val="00C43FFE"/>
    <w:rsid w:val="00C44181"/>
    <w:rsid w:val="00C441FC"/>
    <w:rsid w:val="00C46C5C"/>
    <w:rsid w:val="00C52478"/>
    <w:rsid w:val="00C5271F"/>
    <w:rsid w:val="00C52CD3"/>
    <w:rsid w:val="00C53754"/>
    <w:rsid w:val="00C53BE5"/>
    <w:rsid w:val="00C540EA"/>
    <w:rsid w:val="00C548A3"/>
    <w:rsid w:val="00C57E90"/>
    <w:rsid w:val="00C6141B"/>
    <w:rsid w:val="00C64A9F"/>
    <w:rsid w:val="00C67A61"/>
    <w:rsid w:val="00C705BF"/>
    <w:rsid w:val="00C70798"/>
    <w:rsid w:val="00C721DA"/>
    <w:rsid w:val="00C724FB"/>
    <w:rsid w:val="00C73A6B"/>
    <w:rsid w:val="00C7433E"/>
    <w:rsid w:val="00C7786F"/>
    <w:rsid w:val="00C8231A"/>
    <w:rsid w:val="00C8384C"/>
    <w:rsid w:val="00C83CA0"/>
    <w:rsid w:val="00C83D33"/>
    <w:rsid w:val="00C8790C"/>
    <w:rsid w:val="00C9244C"/>
    <w:rsid w:val="00C94E41"/>
    <w:rsid w:val="00C94FD0"/>
    <w:rsid w:val="00C9588E"/>
    <w:rsid w:val="00C9749B"/>
    <w:rsid w:val="00C97777"/>
    <w:rsid w:val="00CA1286"/>
    <w:rsid w:val="00CA2F23"/>
    <w:rsid w:val="00CA326B"/>
    <w:rsid w:val="00CA46B2"/>
    <w:rsid w:val="00CA4DE5"/>
    <w:rsid w:val="00CA4FF2"/>
    <w:rsid w:val="00CA5CA0"/>
    <w:rsid w:val="00CA5FB8"/>
    <w:rsid w:val="00CB1668"/>
    <w:rsid w:val="00CB1B73"/>
    <w:rsid w:val="00CB4432"/>
    <w:rsid w:val="00CC10BB"/>
    <w:rsid w:val="00CC19CA"/>
    <w:rsid w:val="00CC4267"/>
    <w:rsid w:val="00CC456E"/>
    <w:rsid w:val="00CC5E57"/>
    <w:rsid w:val="00CC5EB8"/>
    <w:rsid w:val="00CC779A"/>
    <w:rsid w:val="00CD021B"/>
    <w:rsid w:val="00CD34DC"/>
    <w:rsid w:val="00CD514B"/>
    <w:rsid w:val="00CD5EFA"/>
    <w:rsid w:val="00CD60EF"/>
    <w:rsid w:val="00CD63E7"/>
    <w:rsid w:val="00CD75D4"/>
    <w:rsid w:val="00CE0642"/>
    <w:rsid w:val="00CE0D02"/>
    <w:rsid w:val="00CE22A2"/>
    <w:rsid w:val="00CE3668"/>
    <w:rsid w:val="00CE5A5F"/>
    <w:rsid w:val="00CE6031"/>
    <w:rsid w:val="00CF2157"/>
    <w:rsid w:val="00CF48F5"/>
    <w:rsid w:val="00CF640E"/>
    <w:rsid w:val="00CF6789"/>
    <w:rsid w:val="00CF6CB8"/>
    <w:rsid w:val="00CF7070"/>
    <w:rsid w:val="00CF718C"/>
    <w:rsid w:val="00CF7460"/>
    <w:rsid w:val="00CF7EED"/>
    <w:rsid w:val="00CF7F59"/>
    <w:rsid w:val="00D02C5F"/>
    <w:rsid w:val="00D02F3C"/>
    <w:rsid w:val="00D03110"/>
    <w:rsid w:val="00D0420E"/>
    <w:rsid w:val="00D051AB"/>
    <w:rsid w:val="00D06EA6"/>
    <w:rsid w:val="00D07465"/>
    <w:rsid w:val="00D07CCA"/>
    <w:rsid w:val="00D07E6C"/>
    <w:rsid w:val="00D117F3"/>
    <w:rsid w:val="00D12F3E"/>
    <w:rsid w:val="00D14C3E"/>
    <w:rsid w:val="00D162C5"/>
    <w:rsid w:val="00D16664"/>
    <w:rsid w:val="00D202A8"/>
    <w:rsid w:val="00D20D5D"/>
    <w:rsid w:val="00D21F63"/>
    <w:rsid w:val="00D22EE1"/>
    <w:rsid w:val="00D244D6"/>
    <w:rsid w:val="00D24D3C"/>
    <w:rsid w:val="00D26810"/>
    <w:rsid w:val="00D277DA"/>
    <w:rsid w:val="00D278B2"/>
    <w:rsid w:val="00D27E8A"/>
    <w:rsid w:val="00D30E16"/>
    <w:rsid w:val="00D30EB0"/>
    <w:rsid w:val="00D31B73"/>
    <w:rsid w:val="00D32BC4"/>
    <w:rsid w:val="00D347C2"/>
    <w:rsid w:val="00D34994"/>
    <w:rsid w:val="00D34FCA"/>
    <w:rsid w:val="00D35278"/>
    <w:rsid w:val="00D362D1"/>
    <w:rsid w:val="00D367DB"/>
    <w:rsid w:val="00D369DC"/>
    <w:rsid w:val="00D41716"/>
    <w:rsid w:val="00D422E7"/>
    <w:rsid w:val="00D439D2"/>
    <w:rsid w:val="00D4790C"/>
    <w:rsid w:val="00D5257C"/>
    <w:rsid w:val="00D54C03"/>
    <w:rsid w:val="00D553D8"/>
    <w:rsid w:val="00D61F53"/>
    <w:rsid w:val="00D6335E"/>
    <w:rsid w:val="00D66FA0"/>
    <w:rsid w:val="00D6793A"/>
    <w:rsid w:val="00D71FC2"/>
    <w:rsid w:val="00D72F72"/>
    <w:rsid w:val="00D73504"/>
    <w:rsid w:val="00D74E93"/>
    <w:rsid w:val="00D75D86"/>
    <w:rsid w:val="00D766BC"/>
    <w:rsid w:val="00D7759B"/>
    <w:rsid w:val="00D80A79"/>
    <w:rsid w:val="00D82B4B"/>
    <w:rsid w:val="00D83BC1"/>
    <w:rsid w:val="00D84ED4"/>
    <w:rsid w:val="00D85B07"/>
    <w:rsid w:val="00D86732"/>
    <w:rsid w:val="00D86D27"/>
    <w:rsid w:val="00D87460"/>
    <w:rsid w:val="00D92239"/>
    <w:rsid w:val="00D92B02"/>
    <w:rsid w:val="00D9531A"/>
    <w:rsid w:val="00D95C05"/>
    <w:rsid w:val="00D97DB5"/>
    <w:rsid w:val="00DA0544"/>
    <w:rsid w:val="00DA16FF"/>
    <w:rsid w:val="00DA20F6"/>
    <w:rsid w:val="00DA3DA4"/>
    <w:rsid w:val="00DA45DB"/>
    <w:rsid w:val="00DA4B16"/>
    <w:rsid w:val="00DB0515"/>
    <w:rsid w:val="00DB0748"/>
    <w:rsid w:val="00DB2AA5"/>
    <w:rsid w:val="00DB5FE4"/>
    <w:rsid w:val="00DB73B2"/>
    <w:rsid w:val="00DC1803"/>
    <w:rsid w:val="00DC1D0F"/>
    <w:rsid w:val="00DC508E"/>
    <w:rsid w:val="00DC5F20"/>
    <w:rsid w:val="00DC7FBF"/>
    <w:rsid w:val="00DD120C"/>
    <w:rsid w:val="00DD1C09"/>
    <w:rsid w:val="00DD2ABA"/>
    <w:rsid w:val="00DD3320"/>
    <w:rsid w:val="00DD5887"/>
    <w:rsid w:val="00DD66CB"/>
    <w:rsid w:val="00DD77A7"/>
    <w:rsid w:val="00DD7DFD"/>
    <w:rsid w:val="00DE0427"/>
    <w:rsid w:val="00DE24EE"/>
    <w:rsid w:val="00DE2615"/>
    <w:rsid w:val="00DE2982"/>
    <w:rsid w:val="00DE30B3"/>
    <w:rsid w:val="00DE3C65"/>
    <w:rsid w:val="00DE433F"/>
    <w:rsid w:val="00DE4B14"/>
    <w:rsid w:val="00DE6653"/>
    <w:rsid w:val="00DE74F3"/>
    <w:rsid w:val="00DE796C"/>
    <w:rsid w:val="00DF0431"/>
    <w:rsid w:val="00DF25E9"/>
    <w:rsid w:val="00DF2657"/>
    <w:rsid w:val="00DF7852"/>
    <w:rsid w:val="00E00A1B"/>
    <w:rsid w:val="00E023DC"/>
    <w:rsid w:val="00E02736"/>
    <w:rsid w:val="00E02D39"/>
    <w:rsid w:val="00E0362F"/>
    <w:rsid w:val="00E03A7D"/>
    <w:rsid w:val="00E04697"/>
    <w:rsid w:val="00E06596"/>
    <w:rsid w:val="00E077B4"/>
    <w:rsid w:val="00E10AA9"/>
    <w:rsid w:val="00E116E6"/>
    <w:rsid w:val="00E11F55"/>
    <w:rsid w:val="00E1265C"/>
    <w:rsid w:val="00E136DF"/>
    <w:rsid w:val="00E14C26"/>
    <w:rsid w:val="00E14F77"/>
    <w:rsid w:val="00E14FAE"/>
    <w:rsid w:val="00E1526A"/>
    <w:rsid w:val="00E15940"/>
    <w:rsid w:val="00E15D9B"/>
    <w:rsid w:val="00E16851"/>
    <w:rsid w:val="00E16A42"/>
    <w:rsid w:val="00E17068"/>
    <w:rsid w:val="00E23D18"/>
    <w:rsid w:val="00E24574"/>
    <w:rsid w:val="00E246BC"/>
    <w:rsid w:val="00E2608F"/>
    <w:rsid w:val="00E279BD"/>
    <w:rsid w:val="00E30358"/>
    <w:rsid w:val="00E30646"/>
    <w:rsid w:val="00E314BF"/>
    <w:rsid w:val="00E32375"/>
    <w:rsid w:val="00E34275"/>
    <w:rsid w:val="00E36D94"/>
    <w:rsid w:val="00E40FDE"/>
    <w:rsid w:val="00E4172C"/>
    <w:rsid w:val="00E41A84"/>
    <w:rsid w:val="00E4272E"/>
    <w:rsid w:val="00E42F39"/>
    <w:rsid w:val="00E43F89"/>
    <w:rsid w:val="00E44A2A"/>
    <w:rsid w:val="00E464DD"/>
    <w:rsid w:val="00E505C3"/>
    <w:rsid w:val="00E50B5C"/>
    <w:rsid w:val="00E50C29"/>
    <w:rsid w:val="00E527A9"/>
    <w:rsid w:val="00E56C41"/>
    <w:rsid w:val="00E57652"/>
    <w:rsid w:val="00E60E08"/>
    <w:rsid w:val="00E6108A"/>
    <w:rsid w:val="00E62C4D"/>
    <w:rsid w:val="00E635C1"/>
    <w:rsid w:val="00E65411"/>
    <w:rsid w:val="00E669FD"/>
    <w:rsid w:val="00E66FAA"/>
    <w:rsid w:val="00E67799"/>
    <w:rsid w:val="00E702FA"/>
    <w:rsid w:val="00E71F3B"/>
    <w:rsid w:val="00E73DFE"/>
    <w:rsid w:val="00E74292"/>
    <w:rsid w:val="00E74C91"/>
    <w:rsid w:val="00E74D84"/>
    <w:rsid w:val="00E755C0"/>
    <w:rsid w:val="00E7647C"/>
    <w:rsid w:val="00E7665F"/>
    <w:rsid w:val="00E76B3C"/>
    <w:rsid w:val="00E810BE"/>
    <w:rsid w:val="00E814E5"/>
    <w:rsid w:val="00E84446"/>
    <w:rsid w:val="00E84986"/>
    <w:rsid w:val="00E865D1"/>
    <w:rsid w:val="00E867C2"/>
    <w:rsid w:val="00E86AC3"/>
    <w:rsid w:val="00E94AA5"/>
    <w:rsid w:val="00E95653"/>
    <w:rsid w:val="00E9626D"/>
    <w:rsid w:val="00E96874"/>
    <w:rsid w:val="00E968F9"/>
    <w:rsid w:val="00E96EC0"/>
    <w:rsid w:val="00E96EE1"/>
    <w:rsid w:val="00E970AE"/>
    <w:rsid w:val="00E974EF"/>
    <w:rsid w:val="00EA0559"/>
    <w:rsid w:val="00EA080F"/>
    <w:rsid w:val="00EA1E38"/>
    <w:rsid w:val="00EA1F22"/>
    <w:rsid w:val="00EA2239"/>
    <w:rsid w:val="00EA22D4"/>
    <w:rsid w:val="00EA4140"/>
    <w:rsid w:val="00EA591E"/>
    <w:rsid w:val="00EA5EF0"/>
    <w:rsid w:val="00EB328E"/>
    <w:rsid w:val="00EB4754"/>
    <w:rsid w:val="00EB6151"/>
    <w:rsid w:val="00EB78D0"/>
    <w:rsid w:val="00EB7DA2"/>
    <w:rsid w:val="00EC2104"/>
    <w:rsid w:val="00EC2CED"/>
    <w:rsid w:val="00EC301F"/>
    <w:rsid w:val="00EC5E6A"/>
    <w:rsid w:val="00EC6157"/>
    <w:rsid w:val="00EC7199"/>
    <w:rsid w:val="00EC7FA1"/>
    <w:rsid w:val="00ED1E5F"/>
    <w:rsid w:val="00ED324B"/>
    <w:rsid w:val="00ED33E1"/>
    <w:rsid w:val="00ED39E7"/>
    <w:rsid w:val="00ED3FFB"/>
    <w:rsid w:val="00ED4065"/>
    <w:rsid w:val="00ED498D"/>
    <w:rsid w:val="00ED5110"/>
    <w:rsid w:val="00ED5D9A"/>
    <w:rsid w:val="00EE0E3E"/>
    <w:rsid w:val="00EE1DBB"/>
    <w:rsid w:val="00EE27A6"/>
    <w:rsid w:val="00EE63CA"/>
    <w:rsid w:val="00EE6D82"/>
    <w:rsid w:val="00EE7044"/>
    <w:rsid w:val="00EF0BEE"/>
    <w:rsid w:val="00EF1DF6"/>
    <w:rsid w:val="00EF356F"/>
    <w:rsid w:val="00EF3716"/>
    <w:rsid w:val="00EF39E7"/>
    <w:rsid w:val="00EF48B5"/>
    <w:rsid w:val="00EF62AF"/>
    <w:rsid w:val="00F004B4"/>
    <w:rsid w:val="00F00C05"/>
    <w:rsid w:val="00F02CEB"/>
    <w:rsid w:val="00F02DE3"/>
    <w:rsid w:val="00F03715"/>
    <w:rsid w:val="00F03A00"/>
    <w:rsid w:val="00F03B44"/>
    <w:rsid w:val="00F04296"/>
    <w:rsid w:val="00F05C62"/>
    <w:rsid w:val="00F077BB"/>
    <w:rsid w:val="00F078BD"/>
    <w:rsid w:val="00F07E79"/>
    <w:rsid w:val="00F11AF2"/>
    <w:rsid w:val="00F1242C"/>
    <w:rsid w:val="00F1298E"/>
    <w:rsid w:val="00F12B27"/>
    <w:rsid w:val="00F15489"/>
    <w:rsid w:val="00F16DE6"/>
    <w:rsid w:val="00F20002"/>
    <w:rsid w:val="00F20869"/>
    <w:rsid w:val="00F20A1D"/>
    <w:rsid w:val="00F20EC8"/>
    <w:rsid w:val="00F214B8"/>
    <w:rsid w:val="00F220AA"/>
    <w:rsid w:val="00F2356B"/>
    <w:rsid w:val="00F23647"/>
    <w:rsid w:val="00F24624"/>
    <w:rsid w:val="00F25099"/>
    <w:rsid w:val="00F25901"/>
    <w:rsid w:val="00F25C37"/>
    <w:rsid w:val="00F25DE4"/>
    <w:rsid w:val="00F2736B"/>
    <w:rsid w:val="00F3192B"/>
    <w:rsid w:val="00F321FB"/>
    <w:rsid w:val="00F32483"/>
    <w:rsid w:val="00F338FA"/>
    <w:rsid w:val="00F354A1"/>
    <w:rsid w:val="00F3562B"/>
    <w:rsid w:val="00F364DF"/>
    <w:rsid w:val="00F37463"/>
    <w:rsid w:val="00F41978"/>
    <w:rsid w:val="00F41B92"/>
    <w:rsid w:val="00F45D4A"/>
    <w:rsid w:val="00F4639F"/>
    <w:rsid w:val="00F46D4D"/>
    <w:rsid w:val="00F47242"/>
    <w:rsid w:val="00F47DE5"/>
    <w:rsid w:val="00F502FB"/>
    <w:rsid w:val="00F51F72"/>
    <w:rsid w:val="00F52F2D"/>
    <w:rsid w:val="00F53533"/>
    <w:rsid w:val="00F55378"/>
    <w:rsid w:val="00F55A2F"/>
    <w:rsid w:val="00F57164"/>
    <w:rsid w:val="00F57C30"/>
    <w:rsid w:val="00F609F1"/>
    <w:rsid w:val="00F60B75"/>
    <w:rsid w:val="00F62573"/>
    <w:rsid w:val="00F6274C"/>
    <w:rsid w:val="00F62D21"/>
    <w:rsid w:val="00F63726"/>
    <w:rsid w:val="00F63C23"/>
    <w:rsid w:val="00F64660"/>
    <w:rsid w:val="00F64941"/>
    <w:rsid w:val="00F65D5A"/>
    <w:rsid w:val="00F664E8"/>
    <w:rsid w:val="00F66C9A"/>
    <w:rsid w:val="00F67939"/>
    <w:rsid w:val="00F67C60"/>
    <w:rsid w:val="00F70D89"/>
    <w:rsid w:val="00F71599"/>
    <w:rsid w:val="00F73F81"/>
    <w:rsid w:val="00F74DCF"/>
    <w:rsid w:val="00F75C62"/>
    <w:rsid w:val="00F75D8A"/>
    <w:rsid w:val="00F7676C"/>
    <w:rsid w:val="00F776DD"/>
    <w:rsid w:val="00F80409"/>
    <w:rsid w:val="00F80C8E"/>
    <w:rsid w:val="00F80D88"/>
    <w:rsid w:val="00F82175"/>
    <w:rsid w:val="00F8514A"/>
    <w:rsid w:val="00F86718"/>
    <w:rsid w:val="00F86A58"/>
    <w:rsid w:val="00F87759"/>
    <w:rsid w:val="00F87D2B"/>
    <w:rsid w:val="00F90D85"/>
    <w:rsid w:val="00F91753"/>
    <w:rsid w:val="00F91BA9"/>
    <w:rsid w:val="00F91FF3"/>
    <w:rsid w:val="00F921D2"/>
    <w:rsid w:val="00F93275"/>
    <w:rsid w:val="00F964E8"/>
    <w:rsid w:val="00F970F1"/>
    <w:rsid w:val="00F97A98"/>
    <w:rsid w:val="00FA0579"/>
    <w:rsid w:val="00FA0DC0"/>
    <w:rsid w:val="00FA2E35"/>
    <w:rsid w:val="00FA351E"/>
    <w:rsid w:val="00FA3578"/>
    <w:rsid w:val="00FA4449"/>
    <w:rsid w:val="00FA4829"/>
    <w:rsid w:val="00FA4C2D"/>
    <w:rsid w:val="00FA5CC3"/>
    <w:rsid w:val="00FA7C7B"/>
    <w:rsid w:val="00FB1EEB"/>
    <w:rsid w:val="00FB202B"/>
    <w:rsid w:val="00FB34F8"/>
    <w:rsid w:val="00FB4F9E"/>
    <w:rsid w:val="00FC067C"/>
    <w:rsid w:val="00FC0DFB"/>
    <w:rsid w:val="00FC1C17"/>
    <w:rsid w:val="00FC2EB7"/>
    <w:rsid w:val="00FC7F79"/>
    <w:rsid w:val="00FD12F1"/>
    <w:rsid w:val="00FD5CD1"/>
    <w:rsid w:val="00FD6371"/>
    <w:rsid w:val="00FD679B"/>
    <w:rsid w:val="00FE0D00"/>
    <w:rsid w:val="00FE4985"/>
    <w:rsid w:val="00FE4F67"/>
    <w:rsid w:val="00FE6C0C"/>
    <w:rsid w:val="00FE7178"/>
    <w:rsid w:val="00FE79A2"/>
    <w:rsid w:val="00FE7D80"/>
    <w:rsid w:val="00FF2344"/>
    <w:rsid w:val="00FF2D4B"/>
    <w:rsid w:val="00FF44E1"/>
    <w:rsid w:val="00FF4DA9"/>
    <w:rsid w:val="00FF68C6"/>
    <w:rsid w:val="00FF6CA7"/>
    <w:rsid w:val="00FF70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F1508"/>
  <w15:docId w15:val="{B4611B51-236D-48DD-A5D4-A0F2AF38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57"/>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113DEE"/>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3DEE"/>
    <w:pPr>
      <w:keepNext/>
      <w:keepLines/>
      <w:spacing w:before="200"/>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uiPriority w:val="9"/>
    <w:unhideWhenUsed/>
    <w:qFormat/>
    <w:rsid w:val="00C4053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876F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9"/>
    <w:qFormat/>
    <w:rsid w:val="00CF21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CF2157"/>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CF2157"/>
    <w:pPr>
      <w:spacing w:after="280" w:line="280" w:lineRule="atLeast"/>
    </w:pPr>
    <w:rPr>
      <w:rFonts w:cs="Arial"/>
      <w:bCs/>
      <w:color w:val="0A55A3"/>
      <w:sz w:val="42"/>
      <w:szCs w:val="32"/>
      <w:lang w:eastAsia="en-US"/>
    </w:rPr>
  </w:style>
  <w:style w:type="character" w:customStyle="1" w:styleId="TitleChar">
    <w:name w:val="Title Char"/>
    <w:basedOn w:val="DefaultParagraphFont"/>
    <w:link w:val="Title"/>
    <w:rsid w:val="00CF2157"/>
    <w:rPr>
      <w:rFonts w:ascii="Times New Roman" w:eastAsia="Times New Roman" w:hAnsi="Times New Roman" w:cs="Arial"/>
      <w:bCs/>
      <w:color w:val="0A55A3"/>
      <w:sz w:val="42"/>
      <w:szCs w:val="32"/>
      <w:lang w:val="bg-BG"/>
    </w:rPr>
  </w:style>
  <w:style w:type="character" w:styleId="CommentReference">
    <w:name w:val="annotation reference"/>
    <w:basedOn w:val="DefaultParagraphFont"/>
    <w:uiPriority w:val="99"/>
    <w:semiHidden/>
    <w:unhideWhenUsed/>
    <w:rsid w:val="003B592C"/>
    <w:rPr>
      <w:sz w:val="16"/>
      <w:szCs w:val="16"/>
    </w:rPr>
  </w:style>
  <w:style w:type="paragraph" w:styleId="CommentText">
    <w:name w:val="annotation text"/>
    <w:basedOn w:val="Normal"/>
    <w:link w:val="CommentTextChar"/>
    <w:uiPriority w:val="99"/>
    <w:unhideWhenUsed/>
    <w:rsid w:val="003B592C"/>
    <w:rPr>
      <w:sz w:val="20"/>
      <w:szCs w:val="20"/>
    </w:rPr>
  </w:style>
  <w:style w:type="character" w:customStyle="1" w:styleId="CommentTextChar">
    <w:name w:val="Comment Text Char"/>
    <w:basedOn w:val="DefaultParagraphFont"/>
    <w:link w:val="CommentText"/>
    <w:uiPriority w:val="99"/>
    <w:rsid w:val="003B592C"/>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3B592C"/>
    <w:rPr>
      <w:b/>
      <w:bCs/>
    </w:rPr>
  </w:style>
  <w:style w:type="character" w:customStyle="1" w:styleId="CommentSubjectChar">
    <w:name w:val="Comment Subject Char"/>
    <w:basedOn w:val="CommentTextChar"/>
    <w:link w:val="CommentSubject"/>
    <w:uiPriority w:val="99"/>
    <w:semiHidden/>
    <w:rsid w:val="003B592C"/>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3B5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92C"/>
    <w:rPr>
      <w:rFonts w:ascii="Segoe UI" w:eastAsia="Times New Roman" w:hAnsi="Segoe UI" w:cs="Segoe UI"/>
      <w:sz w:val="18"/>
      <w:szCs w:val="18"/>
      <w:lang w:val="bg-BG" w:eastAsia="bg-BG"/>
    </w:rPr>
  </w:style>
  <w:style w:type="character" w:styleId="Hyperlink">
    <w:name w:val="Hyperlink"/>
    <w:uiPriority w:val="99"/>
    <w:rsid w:val="00E36D94"/>
    <w:rPr>
      <w:color w:val="0000FF"/>
      <w:u w:val="single"/>
    </w:rPr>
  </w:style>
  <w:style w:type="paragraph" w:styleId="Subtitle">
    <w:name w:val="Subtitle"/>
    <w:basedOn w:val="Normal"/>
    <w:link w:val="SubtitleChar"/>
    <w:qFormat/>
    <w:rsid w:val="00E36D94"/>
    <w:pPr>
      <w:spacing w:after="280" w:line="280" w:lineRule="atLeast"/>
    </w:pPr>
    <w:rPr>
      <w:rFonts w:cs="Arial"/>
      <w:color w:val="0A55A3"/>
      <w:sz w:val="28"/>
      <w:lang w:eastAsia="en-US"/>
    </w:rPr>
  </w:style>
  <w:style w:type="character" w:customStyle="1" w:styleId="SubtitleChar">
    <w:name w:val="Subtitle Char"/>
    <w:basedOn w:val="DefaultParagraphFont"/>
    <w:link w:val="Subtitle"/>
    <w:rsid w:val="00E36D94"/>
    <w:rPr>
      <w:rFonts w:ascii="Times New Roman" w:eastAsia="Times New Roman" w:hAnsi="Times New Roman" w:cs="Arial"/>
      <w:color w:val="0A55A3"/>
      <w:sz w:val="28"/>
      <w:szCs w:val="24"/>
      <w:lang w:val="bg-BG"/>
    </w:rPr>
  </w:style>
  <w:style w:type="paragraph" w:styleId="TOC1">
    <w:name w:val="toc 1"/>
    <w:basedOn w:val="Normal"/>
    <w:next w:val="Normal"/>
    <w:uiPriority w:val="39"/>
    <w:rsid w:val="00E36D94"/>
    <w:pPr>
      <w:tabs>
        <w:tab w:val="left" w:pos="284"/>
        <w:tab w:val="right" w:pos="7938"/>
      </w:tabs>
      <w:spacing w:before="280" w:line="280" w:lineRule="atLeast"/>
      <w:ind w:left="284" w:right="567" w:hanging="284"/>
    </w:pPr>
    <w:rPr>
      <w:b/>
      <w:sz w:val="22"/>
      <w:lang w:eastAsia="en-US"/>
    </w:rPr>
  </w:style>
  <w:style w:type="paragraph" w:styleId="TOC2">
    <w:name w:val="toc 2"/>
    <w:basedOn w:val="Normal"/>
    <w:next w:val="Normal"/>
    <w:uiPriority w:val="39"/>
    <w:rsid w:val="00E36D94"/>
    <w:pPr>
      <w:tabs>
        <w:tab w:val="left" w:pos="709"/>
        <w:tab w:val="right" w:pos="7938"/>
      </w:tabs>
      <w:spacing w:line="280" w:lineRule="atLeast"/>
      <w:ind w:left="709" w:right="567" w:hanging="425"/>
    </w:pPr>
    <w:rPr>
      <w:sz w:val="22"/>
      <w:lang w:eastAsia="en-US"/>
    </w:rPr>
  </w:style>
  <w:style w:type="paragraph" w:styleId="TOC3">
    <w:name w:val="toc 3"/>
    <w:basedOn w:val="Normal"/>
    <w:next w:val="Normal"/>
    <w:autoRedefine/>
    <w:uiPriority w:val="39"/>
    <w:unhideWhenUsed/>
    <w:rsid w:val="00E36D94"/>
    <w:pPr>
      <w:spacing w:after="100"/>
      <w:ind w:left="480"/>
    </w:pPr>
  </w:style>
  <w:style w:type="paragraph" w:styleId="ListParagraph">
    <w:name w:val="List Paragraph"/>
    <w:aliases w:val="text bullet,Paragraphe de liste1"/>
    <w:basedOn w:val="Normal"/>
    <w:link w:val="ListParagraphChar"/>
    <w:uiPriority w:val="34"/>
    <w:qFormat/>
    <w:rsid w:val="00E669FD"/>
    <w:pPr>
      <w:ind w:left="720"/>
      <w:contextualSpacing/>
    </w:pPr>
  </w:style>
  <w:style w:type="paragraph" w:styleId="Header">
    <w:name w:val="header"/>
    <w:basedOn w:val="Normal"/>
    <w:link w:val="HeaderChar"/>
    <w:uiPriority w:val="99"/>
    <w:unhideWhenUsed/>
    <w:rsid w:val="00E76B3C"/>
    <w:pPr>
      <w:tabs>
        <w:tab w:val="center" w:pos="4703"/>
        <w:tab w:val="right" w:pos="9406"/>
      </w:tabs>
    </w:pPr>
  </w:style>
  <w:style w:type="character" w:customStyle="1" w:styleId="HeaderChar">
    <w:name w:val="Header Char"/>
    <w:basedOn w:val="DefaultParagraphFont"/>
    <w:link w:val="Header"/>
    <w:uiPriority w:val="99"/>
    <w:rsid w:val="00E76B3C"/>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E76B3C"/>
    <w:pPr>
      <w:tabs>
        <w:tab w:val="center" w:pos="4703"/>
        <w:tab w:val="right" w:pos="9406"/>
      </w:tabs>
    </w:pPr>
  </w:style>
  <w:style w:type="character" w:customStyle="1" w:styleId="FooterChar">
    <w:name w:val="Footer Char"/>
    <w:basedOn w:val="DefaultParagraphFont"/>
    <w:link w:val="Footer"/>
    <w:uiPriority w:val="99"/>
    <w:rsid w:val="00E76B3C"/>
    <w:rPr>
      <w:rFonts w:ascii="Times New Roman" w:eastAsia="Times New Roman" w:hAnsi="Times New Roman" w:cs="Times New Roman"/>
      <w:sz w:val="24"/>
      <w:szCs w:val="24"/>
      <w:lang w:val="bg-BG" w:eastAsia="bg-BG"/>
    </w:rPr>
  </w:style>
  <w:style w:type="paragraph" w:styleId="BodyText">
    <w:name w:val="Body Text"/>
    <w:basedOn w:val="Normal"/>
    <w:link w:val="BodyTextChar"/>
    <w:rsid w:val="00896A66"/>
    <w:pPr>
      <w:spacing w:after="120"/>
    </w:pPr>
    <w:rPr>
      <w:sz w:val="20"/>
      <w:szCs w:val="20"/>
    </w:rPr>
  </w:style>
  <w:style w:type="character" w:customStyle="1" w:styleId="BodyTextChar">
    <w:name w:val="Body Text Char"/>
    <w:basedOn w:val="DefaultParagraphFont"/>
    <w:link w:val="BodyText"/>
    <w:rsid w:val="00896A66"/>
    <w:rPr>
      <w:rFonts w:ascii="Times New Roman" w:eastAsia="Times New Roman" w:hAnsi="Times New Roman" w:cs="Times New Roman"/>
      <w:sz w:val="20"/>
      <w:szCs w:val="20"/>
      <w:lang w:val="bg-BG" w:eastAsia="bg-BG"/>
    </w:rPr>
  </w:style>
  <w:style w:type="character" w:customStyle="1" w:styleId="ListParagraphChar">
    <w:name w:val="List Paragraph Char"/>
    <w:aliases w:val="text bullet Char,Paragraphe de liste1 Char"/>
    <w:link w:val="ListParagraph"/>
    <w:uiPriority w:val="34"/>
    <w:qFormat/>
    <w:rsid w:val="00E7665F"/>
    <w:rPr>
      <w:rFonts w:ascii="Times New Roman" w:eastAsia="Times New Roman" w:hAnsi="Times New Roman" w:cs="Times New Roman"/>
      <w:sz w:val="24"/>
      <w:szCs w:val="24"/>
      <w:lang w:val="bg-BG" w:eastAsia="bg-BG"/>
    </w:rPr>
  </w:style>
  <w:style w:type="paragraph" w:styleId="NormalWeb">
    <w:name w:val="Normal (Web)"/>
    <w:basedOn w:val="Normal"/>
    <w:uiPriority w:val="99"/>
    <w:rsid w:val="00603932"/>
    <w:pPr>
      <w:spacing w:before="100" w:beforeAutospacing="1" w:after="100" w:afterAutospacing="1"/>
    </w:pPr>
    <w:rPr>
      <w:color w:val="253161"/>
    </w:rPr>
  </w:style>
  <w:style w:type="paragraph" w:styleId="FootnoteText">
    <w:name w:val="footnote text"/>
    <w:basedOn w:val="Normal"/>
    <w:link w:val="FootnoteTextChar"/>
    <w:uiPriority w:val="99"/>
    <w:semiHidden/>
    <w:unhideWhenUsed/>
    <w:rsid w:val="009D26F2"/>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9D26F2"/>
    <w:rPr>
      <w:sz w:val="20"/>
      <w:szCs w:val="20"/>
    </w:rPr>
  </w:style>
  <w:style w:type="character" w:styleId="FootnoteReference">
    <w:name w:val="footnote reference"/>
    <w:basedOn w:val="DefaultParagraphFont"/>
    <w:semiHidden/>
    <w:unhideWhenUsed/>
    <w:rsid w:val="009D26F2"/>
    <w:rPr>
      <w:vertAlign w:val="superscript"/>
    </w:rPr>
  </w:style>
  <w:style w:type="paragraph" w:customStyle="1" w:styleId="Default">
    <w:name w:val="Default"/>
    <w:rsid w:val="00C94FD0"/>
    <w:pPr>
      <w:autoSpaceDE w:val="0"/>
      <w:autoSpaceDN w:val="0"/>
      <w:adjustRightInd w:val="0"/>
      <w:spacing w:after="0" w:line="240" w:lineRule="auto"/>
    </w:pPr>
    <w:rPr>
      <w:rFonts w:ascii="EUAlbertina" w:eastAsia="Times New Roman" w:hAnsi="EUAlbertina" w:cs="EUAlbertina"/>
      <w:color w:val="000000"/>
      <w:sz w:val="24"/>
      <w:szCs w:val="24"/>
      <w:lang w:val="bg-BG" w:eastAsia="bg-BG"/>
    </w:rPr>
  </w:style>
  <w:style w:type="paragraph" w:styleId="BodyText2">
    <w:name w:val="Body Text 2"/>
    <w:basedOn w:val="Normal"/>
    <w:link w:val="BodyText2Char"/>
    <w:uiPriority w:val="99"/>
    <w:semiHidden/>
    <w:unhideWhenUsed/>
    <w:rsid w:val="00FE7D80"/>
    <w:pPr>
      <w:spacing w:after="120" w:line="480" w:lineRule="auto"/>
    </w:pPr>
  </w:style>
  <w:style w:type="character" w:customStyle="1" w:styleId="BodyText2Char">
    <w:name w:val="Body Text 2 Char"/>
    <w:basedOn w:val="DefaultParagraphFont"/>
    <w:link w:val="BodyText2"/>
    <w:uiPriority w:val="99"/>
    <w:semiHidden/>
    <w:rsid w:val="00FE7D80"/>
    <w:rPr>
      <w:rFonts w:ascii="Times New Roman" w:eastAsia="Times New Roman" w:hAnsi="Times New Roman" w:cs="Times New Roman"/>
      <w:sz w:val="24"/>
      <w:szCs w:val="24"/>
      <w:lang w:val="bg-BG" w:eastAsia="bg-BG"/>
    </w:rPr>
  </w:style>
  <w:style w:type="character" w:customStyle="1" w:styleId="newdocreference">
    <w:name w:val="newdocreference"/>
    <w:basedOn w:val="DefaultParagraphFont"/>
    <w:rsid w:val="00C7433E"/>
  </w:style>
  <w:style w:type="paragraph" w:customStyle="1" w:styleId="a3520normal">
    <w:name w:val="a___35__20_normal"/>
    <w:basedOn w:val="Normal"/>
    <w:rsid w:val="001240E5"/>
    <w:pPr>
      <w:spacing w:after="120"/>
      <w:jc w:val="both"/>
    </w:pPr>
  </w:style>
  <w:style w:type="character" w:styleId="Strong">
    <w:name w:val="Strong"/>
    <w:uiPriority w:val="22"/>
    <w:qFormat/>
    <w:rsid w:val="001240E5"/>
    <w:rPr>
      <w:b/>
      <w:bCs/>
    </w:rPr>
  </w:style>
  <w:style w:type="character" w:customStyle="1" w:styleId="Heading2Char">
    <w:name w:val="Heading 2 Char"/>
    <w:basedOn w:val="DefaultParagraphFont"/>
    <w:link w:val="Heading2"/>
    <w:uiPriority w:val="9"/>
    <w:rsid w:val="00113DEE"/>
    <w:rPr>
      <w:rFonts w:ascii="Times New Roman" w:eastAsiaTheme="majorEastAsia" w:hAnsi="Times New Roman" w:cstheme="majorBidi"/>
      <w:b/>
      <w:bCs/>
      <w:color w:val="5B9BD5" w:themeColor="accent1"/>
      <w:sz w:val="26"/>
      <w:szCs w:val="26"/>
      <w:lang w:val="bg-BG" w:eastAsia="bg-BG"/>
    </w:rPr>
  </w:style>
  <w:style w:type="character" w:customStyle="1" w:styleId="Heading3Char">
    <w:name w:val="Heading 3 Char"/>
    <w:basedOn w:val="DefaultParagraphFont"/>
    <w:link w:val="Heading3"/>
    <w:rsid w:val="00C40531"/>
    <w:rPr>
      <w:rFonts w:asciiTheme="majorHAnsi" w:eastAsiaTheme="majorEastAsia" w:hAnsiTheme="majorHAnsi" w:cstheme="majorBidi"/>
      <w:color w:val="1F4D78" w:themeColor="accent1" w:themeShade="7F"/>
      <w:sz w:val="24"/>
      <w:szCs w:val="24"/>
      <w:lang w:val="bg-BG" w:eastAsia="bg-BG"/>
    </w:rPr>
  </w:style>
  <w:style w:type="character" w:customStyle="1" w:styleId="Heading1Char">
    <w:name w:val="Heading 1 Char"/>
    <w:basedOn w:val="DefaultParagraphFont"/>
    <w:link w:val="Heading1"/>
    <w:uiPriority w:val="9"/>
    <w:rsid w:val="00113DEE"/>
    <w:rPr>
      <w:rFonts w:ascii="Times New Roman" w:eastAsiaTheme="majorEastAsia" w:hAnsi="Times New Roman" w:cstheme="majorBidi"/>
      <w:color w:val="2E74B5" w:themeColor="accent1" w:themeShade="BF"/>
      <w:sz w:val="32"/>
      <w:szCs w:val="32"/>
      <w:lang w:val="bg-BG" w:eastAsia="bg-BG"/>
    </w:rPr>
  </w:style>
  <w:style w:type="paragraph" w:styleId="TOCHeading">
    <w:name w:val="TOC Heading"/>
    <w:basedOn w:val="Heading1"/>
    <w:next w:val="Normal"/>
    <w:uiPriority w:val="39"/>
    <w:unhideWhenUsed/>
    <w:qFormat/>
    <w:rsid w:val="00F62D21"/>
    <w:pPr>
      <w:spacing w:line="259" w:lineRule="auto"/>
      <w:outlineLvl w:val="9"/>
    </w:pPr>
    <w:rPr>
      <w:lang w:val="en-US" w:eastAsia="en-US"/>
    </w:rPr>
  </w:style>
  <w:style w:type="character" w:styleId="IntenseEmphasis">
    <w:name w:val="Intense Emphasis"/>
    <w:basedOn w:val="DefaultParagraphFont"/>
    <w:uiPriority w:val="21"/>
    <w:qFormat/>
    <w:rsid w:val="00DF25E9"/>
    <w:rPr>
      <w:i/>
      <w:iCs/>
      <w:color w:val="5B9BD5" w:themeColor="accent1"/>
    </w:rPr>
  </w:style>
  <w:style w:type="character" w:customStyle="1" w:styleId="markedcontent">
    <w:name w:val="markedcontent"/>
    <w:basedOn w:val="DefaultParagraphFont"/>
    <w:rsid w:val="00E86AC3"/>
  </w:style>
  <w:style w:type="paragraph" w:styleId="BodyTextIndent3">
    <w:name w:val="Body Text Indent 3"/>
    <w:basedOn w:val="Normal"/>
    <w:link w:val="BodyTextIndent3Char"/>
    <w:uiPriority w:val="99"/>
    <w:unhideWhenUsed/>
    <w:rsid w:val="00E44A2A"/>
    <w:pPr>
      <w:spacing w:after="120"/>
      <w:ind w:left="283"/>
    </w:pPr>
    <w:rPr>
      <w:sz w:val="16"/>
      <w:szCs w:val="16"/>
    </w:rPr>
  </w:style>
  <w:style w:type="character" w:customStyle="1" w:styleId="BodyTextIndent3Char">
    <w:name w:val="Body Text Indent 3 Char"/>
    <w:basedOn w:val="DefaultParagraphFont"/>
    <w:link w:val="BodyTextIndent3"/>
    <w:uiPriority w:val="99"/>
    <w:rsid w:val="00E44A2A"/>
    <w:rPr>
      <w:rFonts w:ascii="Times New Roman" w:eastAsia="Times New Roman" w:hAnsi="Times New Roman" w:cs="Times New Roman"/>
      <w:sz w:val="16"/>
      <w:szCs w:val="16"/>
      <w:lang w:val="bg-BG" w:eastAsia="bg-BG"/>
    </w:rPr>
  </w:style>
  <w:style w:type="character" w:styleId="Emphasis">
    <w:name w:val="Emphasis"/>
    <w:basedOn w:val="DefaultParagraphFont"/>
    <w:uiPriority w:val="20"/>
    <w:qFormat/>
    <w:rsid w:val="00C724FB"/>
    <w:rPr>
      <w:i/>
      <w:iCs/>
    </w:rPr>
  </w:style>
  <w:style w:type="paragraph" w:styleId="Revision">
    <w:name w:val="Revision"/>
    <w:hidden/>
    <w:uiPriority w:val="99"/>
    <w:semiHidden/>
    <w:rsid w:val="007E366F"/>
    <w:pPr>
      <w:spacing w:after="0" w:line="240" w:lineRule="auto"/>
    </w:pPr>
    <w:rPr>
      <w:rFonts w:ascii="Times New Roman" w:eastAsia="Times New Roman" w:hAnsi="Times New Roman" w:cs="Times New Roman"/>
      <w:sz w:val="24"/>
      <w:szCs w:val="24"/>
      <w:lang w:val="bg-BG" w:eastAsia="bg-BG"/>
    </w:rPr>
  </w:style>
  <w:style w:type="paragraph" w:styleId="PlainText">
    <w:name w:val="Plain Text"/>
    <w:basedOn w:val="Normal"/>
    <w:link w:val="PlainTextChar"/>
    <w:uiPriority w:val="99"/>
    <w:unhideWhenUsed/>
    <w:rsid w:val="00A04452"/>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A04452"/>
    <w:rPr>
      <w:rFonts w:ascii="Calibri" w:hAnsi="Calibri"/>
      <w:szCs w:val="21"/>
    </w:rPr>
  </w:style>
  <w:style w:type="character" w:customStyle="1" w:styleId="breadcrumblast">
    <w:name w:val="breadcrumb_last"/>
    <w:basedOn w:val="DefaultParagraphFont"/>
    <w:rsid w:val="0027038F"/>
  </w:style>
  <w:style w:type="character" w:customStyle="1" w:styleId="Heading4Char">
    <w:name w:val="Heading 4 Char"/>
    <w:basedOn w:val="DefaultParagraphFont"/>
    <w:link w:val="Heading4"/>
    <w:uiPriority w:val="9"/>
    <w:semiHidden/>
    <w:rsid w:val="001876F6"/>
    <w:rPr>
      <w:rFonts w:asciiTheme="majorHAnsi" w:eastAsiaTheme="majorEastAsia" w:hAnsiTheme="majorHAnsi" w:cstheme="majorBidi"/>
      <w:i/>
      <w:iCs/>
      <w:color w:val="2E74B5" w:themeColor="accent1" w:themeShade="B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92">
      <w:bodyDiv w:val="1"/>
      <w:marLeft w:val="0"/>
      <w:marRight w:val="0"/>
      <w:marTop w:val="0"/>
      <w:marBottom w:val="0"/>
      <w:divBdr>
        <w:top w:val="none" w:sz="0" w:space="0" w:color="auto"/>
        <w:left w:val="none" w:sz="0" w:space="0" w:color="auto"/>
        <w:bottom w:val="none" w:sz="0" w:space="0" w:color="auto"/>
        <w:right w:val="none" w:sz="0" w:space="0" w:color="auto"/>
      </w:divBdr>
    </w:div>
    <w:div w:id="30961170">
      <w:bodyDiv w:val="1"/>
      <w:marLeft w:val="0"/>
      <w:marRight w:val="0"/>
      <w:marTop w:val="0"/>
      <w:marBottom w:val="0"/>
      <w:divBdr>
        <w:top w:val="none" w:sz="0" w:space="0" w:color="auto"/>
        <w:left w:val="none" w:sz="0" w:space="0" w:color="auto"/>
        <w:bottom w:val="none" w:sz="0" w:space="0" w:color="auto"/>
        <w:right w:val="none" w:sz="0" w:space="0" w:color="auto"/>
      </w:divBdr>
    </w:div>
    <w:div w:id="66536045">
      <w:bodyDiv w:val="1"/>
      <w:marLeft w:val="0"/>
      <w:marRight w:val="0"/>
      <w:marTop w:val="0"/>
      <w:marBottom w:val="0"/>
      <w:divBdr>
        <w:top w:val="none" w:sz="0" w:space="0" w:color="auto"/>
        <w:left w:val="none" w:sz="0" w:space="0" w:color="auto"/>
        <w:bottom w:val="none" w:sz="0" w:space="0" w:color="auto"/>
        <w:right w:val="none" w:sz="0" w:space="0" w:color="auto"/>
      </w:divBdr>
    </w:div>
    <w:div w:id="76680367">
      <w:bodyDiv w:val="1"/>
      <w:marLeft w:val="0"/>
      <w:marRight w:val="0"/>
      <w:marTop w:val="0"/>
      <w:marBottom w:val="0"/>
      <w:divBdr>
        <w:top w:val="none" w:sz="0" w:space="0" w:color="auto"/>
        <w:left w:val="none" w:sz="0" w:space="0" w:color="auto"/>
        <w:bottom w:val="none" w:sz="0" w:space="0" w:color="auto"/>
        <w:right w:val="none" w:sz="0" w:space="0" w:color="auto"/>
      </w:divBdr>
    </w:div>
    <w:div w:id="146435012">
      <w:bodyDiv w:val="1"/>
      <w:marLeft w:val="0"/>
      <w:marRight w:val="0"/>
      <w:marTop w:val="0"/>
      <w:marBottom w:val="0"/>
      <w:divBdr>
        <w:top w:val="none" w:sz="0" w:space="0" w:color="auto"/>
        <w:left w:val="none" w:sz="0" w:space="0" w:color="auto"/>
        <w:bottom w:val="none" w:sz="0" w:space="0" w:color="auto"/>
        <w:right w:val="none" w:sz="0" w:space="0" w:color="auto"/>
      </w:divBdr>
    </w:div>
    <w:div w:id="173762214">
      <w:bodyDiv w:val="1"/>
      <w:marLeft w:val="0"/>
      <w:marRight w:val="0"/>
      <w:marTop w:val="0"/>
      <w:marBottom w:val="0"/>
      <w:divBdr>
        <w:top w:val="none" w:sz="0" w:space="0" w:color="auto"/>
        <w:left w:val="none" w:sz="0" w:space="0" w:color="auto"/>
        <w:bottom w:val="none" w:sz="0" w:space="0" w:color="auto"/>
        <w:right w:val="none" w:sz="0" w:space="0" w:color="auto"/>
      </w:divBdr>
    </w:div>
    <w:div w:id="189685329">
      <w:bodyDiv w:val="1"/>
      <w:marLeft w:val="0"/>
      <w:marRight w:val="0"/>
      <w:marTop w:val="0"/>
      <w:marBottom w:val="0"/>
      <w:divBdr>
        <w:top w:val="none" w:sz="0" w:space="0" w:color="auto"/>
        <w:left w:val="none" w:sz="0" w:space="0" w:color="auto"/>
        <w:bottom w:val="none" w:sz="0" w:space="0" w:color="auto"/>
        <w:right w:val="none" w:sz="0" w:space="0" w:color="auto"/>
      </w:divBdr>
    </w:div>
    <w:div w:id="194126829">
      <w:bodyDiv w:val="1"/>
      <w:marLeft w:val="0"/>
      <w:marRight w:val="0"/>
      <w:marTop w:val="0"/>
      <w:marBottom w:val="0"/>
      <w:divBdr>
        <w:top w:val="none" w:sz="0" w:space="0" w:color="auto"/>
        <w:left w:val="none" w:sz="0" w:space="0" w:color="auto"/>
        <w:bottom w:val="none" w:sz="0" w:space="0" w:color="auto"/>
        <w:right w:val="none" w:sz="0" w:space="0" w:color="auto"/>
      </w:divBdr>
    </w:div>
    <w:div w:id="21026654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89479153">
      <w:bodyDiv w:val="1"/>
      <w:marLeft w:val="0"/>
      <w:marRight w:val="0"/>
      <w:marTop w:val="0"/>
      <w:marBottom w:val="0"/>
      <w:divBdr>
        <w:top w:val="none" w:sz="0" w:space="0" w:color="auto"/>
        <w:left w:val="none" w:sz="0" w:space="0" w:color="auto"/>
        <w:bottom w:val="none" w:sz="0" w:space="0" w:color="auto"/>
        <w:right w:val="none" w:sz="0" w:space="0" w:color="auto"/>
      </w:divBdr>
    </w:div>
    <w:div w:id="290942558">
      <w:bodyDiv w:val="1"/>
      <w:marLeft w:val="0"/>
      <w:marRight w:val="0"/>
      <w:marTop w:val="0"/>
      <w:marBottom w:val="0"/>
      <w:divBdr>
        <w:top w:val="none" w:sz="0" w:space="0" w:color="auto"/>
        <w:left w:val="none" w:sz="0" w:space="0" w:color="auto"/>
        <w:bottom w:val="none" w:sz="0" w:space="0" w:color="auto"/>
        <w:right w:val="none" w:sz="0" w:space="0" w:color="auto"/>
      </w:divBdr>
    </w:div>
    <w:div w:id="290985412">
      <w:bodyDiv w:val="1"/>
      <w:marLeft w:val="0"/>
      <w:marRight w:val="0"/>
      <w:marTop w:val="0"/>
      <w:marBottom w:val="0"/>
      <w:divBdr>
        <w:top w:val="none" w:sz="0" w:space="0" w:color="auto"/>
        <w:left w:val="none" w:sz="0" w:space="0" w:color="auto"/>
        <w:bottom w:val="none" w:sz="0" w:space="0" w:color="auto"/>
        <w:right w:val="none" w:sz="0" w:space="0" w:color="auto"/>
      </w:divBdr>
    </w:div>
    <w:div w:id="292250068">
      <w:bodyDiv w:val="1"/>
      <w:marLeft w:val="0"/>
      <w:marRight w:val="0"/>
      <w:marTop w:val="0"/>
      <w:marBottom w:val="0"/>
      <w:divBdr>
        <w:top w:val="none" w:sz="0" w:space="0" w:color="auto"/>
        <w:left w:val="none" w:sz="0" w:space="0" w:color="auto"/>
        <w:bottom w:val="none" w:sz="0" w:space="0" w:color="auto"/>
        <w:right w:val="none" w:sz="0" w:space="0" w:color="auto"/>
      </w:divBdr>
    </w:div>
    <w:div w:id="348331606">
      <w:bodyDiv w:val="1"/>
      <w:marLeft w:val="0"/>
      <w:marRight w:val="0"/>
      <w:marTop w:val="0"/>
      <w:marBottom w:val="0"/>
      <w:divBdr>
        <w:top w:val="none" w:sz="0" w:space="0" w:color="auto"/>
        <w:left w:val="none" w:sz="0" w:space="0" w:color="auto"/>
        <w:bottom w:val="none" w:sz="0" w:space="0" w:color="auto"/>
        <w:right w:val="none" w:sz="0" w:space="0" w:color="auto"/>
      </w:divBdr>
    </w:div>
    <w:div w:id="354120343">
      <w:bodyDiv w:val="1"/>
      <w:marLeft w:val="0"/>
      <w:marRight w:val="0"/>
      <w:marTop w:val="0"/>
      <w:marBottom w:val="0"/>
      <w:divBdr>
        <w:top w:val="none" w:sz="0" w:space="0" w:color="auto"/>
        <w:left w:val="none" w:sz="0" w:space="0" w:color="auto"/>
        <w:bottom w:val="none" w:sz="0" w:space="0" w:color="auto"/>
        <w:right w:val="none" w:sz="0" w:space="0" w:color="auto"/>
      </w:divBdr>
    </w:div>
    <w:div w:id="354966671">
      <w:bodyDiv w:val="1"/>
      <w:marLeft w:val="0"/>
      <w:marRight w:val="0"/>
      <w:marTop w:val="0"/>
      <w:marBottom w:val="0"/>
      <w:divBdr>
        <w:top w:val="none" w:sz="0" w:space="0" w:color="auto"/>
        <w:left w:val="none" w:sz="0" w:space="0" w:color="auto"/>
        <w:bottom w:val="none" w:sz="0" w:space="0" w:color="auto"/>
        <w:right w:val="none" w:sz="0" w:space="0" w:color="auto"/>
      </w:divBdr>
    </w:div>
    <w:div w:id="372000979">
      <w:bodyDiv w:val="1"/>
      <w:marLeft w:val="0"/>
      <w:marRight w:val="0"/>
      <w:marTop w:val="0"/>
      <w:marBottom w:val="0"/>
      <w:divBdr>
        <w:top w:val="none" w:sz="0" w:space="0" w:color="auto"/>
        <w:left w:val="none" w:sz="0" w:space="0" w:color="auto"/>
        <w:bottom w:val="none" w:sz="0" w:space="0" w:color="auto"/>
        <w:right w:val="none" w:sz="0" w:space="0" w:color="auto"/>
      </w:divBdr>
    </w:div>
    <w:div w:id="376121663">
      <w:bodyDiv w:val="1"/>
      <w:marLeft w:val="0"/>
      <w:marRight w:val="0"/>
      <w:marTop w:val="0"/>
      <w:marBottom w:val="0"/>
      <w:divBdr>
        <w:top w:val="none" w:sz="0" w:space="0" w:color="auto"/>
        <w:left w:val="none" w:sz="0" w:space="0" w:color="auto"/>
        <w:bottom w:val="none" w:sz="0" w:space="0" w:color="auto"/>
        <w:right w:val="none" w:sz="0" w:space="0" w:color="auto"/>
      </w:divBdr>
    </w:div>
    <w:div w:id="386999517">
      <w:bodyDiv w:val="1"/>
      <w:marLeft w:val="0"/>
      <w:marRight w:val="0"/>
      <w:marTop w:val="0"/>
      <w:marBottom w:val="0"/>
      <w:divBdr>
        <w:top w:val="none" w:sz="0" w:space="0" w:color="auto"/>
        <w:left w:val="none" w:sz="0" w:space="0" w:color="auto"/>
        <w:bottom w:val="none" w:sz="0" w:space="0" w:color="auto"/>
        <w:right w:val="none" w:sz="0" w:space="0" w:color="auto"/>
      </w:divBdr>
    </w:div>
    <w:div w:id="444691064">
      <w:bodyDiv w:val="1"/>
      <w:marLeft w:val="0"/>
      <w:marRight w:val="0"/>
      <w:marTop w:val="0"/>
      <w:marBottom w:val="0"/>
      <w:divBdr>
        <w:top w:val="none" w:sz="0" w:space="0" w:color="auto"/>
        <w:left w:val="none" w:sz="0" w:space="0" w:color="auto"/>
        <w:bottom w:val="none" w:sz="0" w:space="0" w:color="auto"/>
        <w:right w:val="none" w:sz="0" w:space="0" w:color="auto"/>
      </w:divBdr>
    </w:div>
    <w:div w:id="465661294">
      <w:bodyDiv w:val="1"/>
      <w:marLeft w:val="0"/>
      <w:marRight w:val="0"/>
      <w:marTop w:val="0"/>
      <w:marBottom w:val="0"/>
      <w:divBdr>
        <w:top w:val="none" w:sz="0" w:space="0" w:color="auto"/>
        <w:left w:val="none" w:sz="0" w:space="0" w:color="auto"/>
        <w:bottom w:val="none" w:sz="0" w:space="0" w:color="auto"/>
        <w:right w:val="none" w:sz="0" w:space="0" w:color="auto"/>
      </w:divBdr>
    </w:div>
    <w:div w:id="491289663">
      <w:bodyDiv w:val="1"/>
      <w:marLeft w:val="0"/>
      <w:marRight w:val="0"/>
      <w:marTop w:val="0"/>
      <w:marBottom w:val="0"/>
      <w:divBdr>
        <w:top w:val="none" w:sz="0" w:space="0" w:color="auto"/>
        <w:left w:val="none" w:sz="0" w:space="0" w:color="auto"/>
        <w:bottom w:val="none" w:sz="0" w:space="0" w:color="auto"/>
        <w:right w:val="none" w:sz="0" w:space="0" w:color="auto"/>
      </w:divBdr>
    </w:div>
    <w:div w:id="492642336">
      <w:bodyDiv w:val="1"/>
      <w:marLeft w:val="0"/>
      <w:marRight w:val="0"/>
      <w:marTop w:val="0"/>
      <w:marBottom w:val="0"/>
      <w:divBdr>
        <w:top w:val="none" w:sz="0" w:space="0" w:color="auto"/>
        <w:left w:val="none" w:sz="0" w:space="0" w:color="auto"/>
        <w:bottom w:val="none" w:sz="0" w:space="0" w:color="auto"/>
        <w:right w:val="none" w:sz="0" w:space="0" w:color="auto"/>
      </w:divBdr>
    </w:div>
    <w:div w:id="499390992">
      <w:bodyDiv w:val="1"/>
      <w:marLeft w:val="0"/>
      <w:marRight w:val="0"/>
      <w:marTop w:val="0"/>
      <w:marBottom w:val="0"/>
      <w:divBdr>
        <w:top w:val="none" w:sz="0" w:space="0" w:color="auto"/>
        <w:left w:val="none" w:sz="0" w:space="0" w:color="auto"/>
        <w:bottom w:val="none" w:sz="0" w:space="0" w:color="auto"/>
        <w:right w:val="none" w:sz="0" w:space="0" w:color="auto"/>
      </w:divBdr>
    </w:div>
    <w:div w:id="500463553">
      <w:bodyDiv w:val="1"/>
      <w:marLeft w:val="0"/>
      <w:marRight w:val="0"/>
      <w:marTop w:val="0"/>
      <w:marBottom w:val="0"/>
      <w:divBdr>
        <w:top w:val="none" w:sz="0" w:space="0" w:color="auto"/>
        <w:left w:val="none" w:sz="0" w:space="0" w:color="auto"/>
        <w:bottom w:val="none" w:sz="0" w:space="0" w:color="auto"/>
        <w:right w:val="none" w:sz="0" w:space="0" w:color="auto"/>
      </w:divBdr>
    </w:div>
    <w:div w:id="502596378">
      <w:bodyDiv w:val="1"/>
      <w:marLeft w:val="0"/>
      <w:marRight w:val="0"/>
      <w:marTop w:val="0"/>
      <w:marBottom w:val="0"/>
      <w:divBdr>
        <w:top w:val="none" w:sz="0" w:space="0" w:color="auto"/>
        <w:left w:val="none" w:sz="0" w:space="0" w:color="auto"/>
        <w:bottom w:val="none" w:sz="0" w:space="0" w:color="auto"/>
        <w:right w:val="none" w:sz="0" w:space="0" w:color="auto"/>
      </w:divBdr>
    </w:div>
    <w:div w:id="536432903">
      <w:bodyDiv w:val="1"/>
      <w:marLeft w:val="0"/>
      <w:marRight w:val="0"/>
      <w:marTop w:val="0"/>
      <w:marBottom w:val="0"/>
      <w:divBdr>
        <w:top w:val="none" w:sz="0" w:space="0" w:color="auto"/>
        <w:left w:val="none" w:sz="0" w:space="0" w:color="auto"/>
        <w:bottom w:val="none" w:sz="0" w:space="0" w:color="auto"/>
        <w:right w:val="none" w:sz="0" w:space="0" w:color="auto"/>
      </w:divBdr>
    </w:div>
    <w:div w:id="589967213">
      <w:bodyDiv w:val="1"/>
      <w:marLeft w:val="0"/>
      <w:marRight w:val="0"/>
      <w:marTop w:val="0"/>
      <w:marBottom w:val="0"/>
      <w:divBdr>
        <w:top w:val="none" w:sz="0" w:space="0" w:color="auto"/>
        <w:left w:val="none" w:sz="0" w:space="0" w:color="auto"/>
        <w:bottom w:val="none" w:sz="0" w:space="0" w:color="auto"/>
        <w:right w:val="none" w:sz="0" w:space="0" w:color="auto"/>
      </w:divBdr>
      <w:divsChild>
        <w:div w:id="320233826">
          <w:marLeft w:val="0"/>
          <w:marRight w:val="0"/>
          <w:marTop w:val="0"/>
          <w:marBottom w:val="0"/>
          <w:divBdr>
            <w:top w:val="none" w:sz="0" w:space="0" w:color="auto"/>
            <w:left w:val="none" w:sz="0" w:space="0" w:color="auto"/>
            <w:bottom w:val="none" w:sz="0" w:space="0" w:color="auto"/>
            <w:right w:val="none" w:sz="0" w:space="0" w:color="auto"/>
          </w:divBdr>
        </w:div>
      </w:divsChild>
    </w:div>
    <w:div w:id="589972417">
      <w:bodyDiv w:val="1"/>
      <w:marLeft w:val="0"/>
      <w:marRight w:val="0"/>
      <w:marTop w:val="0"/>
      <w:marBottom w:val="0"/>
      <w:divBdr>
        <w:top w:val="none" w:sz="0" w:space="0" w:color="auto"/>
        <w:left w:val="none" w:sz="0" w:space="0" w:color="auto"/>
        <w:bottom w:val="none" w:sz="0" w:space="0" w:color="auto"/>
        <w:right w:val="none" w:sz="0" w:space="0" w:color="auto"/>
      </w:divBdr>
    </w:div>
    <w:div w:id="590747341">
      <w:bodyDiv w:val="1"/>
      <w:marLeft w:val="0"/>
      <w:marRight w:val="0"/>
      <w:marTop w:val="0"/>
      <w:marBottom w:val="0"/>
      <w:divBdr>
        <w:top w:val="none" w:sz="0" w:space="0" w:color="auto"/>
        <w:left w:val="none" w:sz="0" w:space="0" w:color="auto"/>
        <w:bottom w:val="none" w:sz="0" w:space="0" w:color="auto"/>
        <w:right w:val="none" w:sz="0" w:space="0" w:color="auto"/>
      </w:divBdr>
    </w:div>
    <w:div w:id="643043185">
      <w:bodyDiv w:val="1"/>
      <w:marLeft w:val="0"/>
      <w:marRight w:val="0"/>
      <w:marTop w:val="0"/>
      <w:marBottom w:val="0"/>
      <w:divBdr>
        <w:top w:val="none" w:sz="0" w:space="0" w:color="auto"/>
        <w:left w:val="none" w:sz="0" w:space="0" w:color="auto"/>
        <w:bottom w:val="none" w:sz="0" w:space="0" w:color="auto"/>
        <w:right w:val="none" w:sz="0" w:space="0" w:color="auto"/>
      </w:divBdr>
    </w:div>
    <w:div w:id="644505858">
      <w:bodyDiv w:val="1"/>
      <w:marLeft w:val="0"/>
      <w:marRight w:val="0"/>
      <w:marTop w:val="0"/>
      <w:marBottom w:val="0"/>
      <w:divBdr>
        <w:top w:val="none" w:sz="0" w:space="0" w:color="auto"/>
        <w:left w:val="none" w:sz="0" w:space="0" w:color="auto"/>
        <w:bottom w:val="none" w:sz="0" w:space="0" w:color="auto"/>
        <w:right w:val="none" w:sz="0" w:space="0" w:color="auto"/>
      </w:divBdr>
    </w:div>
    <w:div w:id="687484294">
      <w:bodyDiv w:val="1"/>
      <w:marLeft w:val="0"/>
      <w:marRight w:val="0"/>
      <w:marTop w:val="0"/>
      <w:marBottom w:val="0"/>
      <w:divBdr>
        <w:top w:val="none" w:sz="0" w:space="0" w:color="auto"/>
        <w:left w:val="none" w:sz="0" w:space="0" w:color="auto"/>
        <w:bottom w:val="none" w:sz="0" w:space="0" w:color="auto"/>
        <w:right w:val="none" w:sz="0" w:space="0" w:color="auto"/>
      </w:divBdr>
    </w:div>
    <w:div w:id="694382723">
      <w:bodyDiv w:val="1"/>
      <w:marLeft w:val="0"/>
      <w:marRight w:val="0"/>
      <w:marTop w:val="0"/>
      <w:marBottom w:val="0"/>
      <w:divBdr>
        <w:top w:val="none" w:sz="0" w:space="0" w:color="auto"/>
        <w:left w:val="none" w:sz="0" w:space="0" w:color="auto"/>
        <w:bottom w:val="none" w:sz="0" w:space="0" w:color="auto"/>
        <w:right w:val="none" w:sz="0" w:space="0" w:color="auto"/>
      </w:divBdr>
    </w:div>
    <w:div w:id="772943787">
      <w:bodyDiv w:val="1"/>
      <w:marLeft w:val="0"/>
      <w:marRight w:val="0"/>
      <w:marTop w:val="0"/>
      <w:marBottom w:val="0"/>
      <w:divBdr>
        <w:top w:val="none" w:sz="0" w:space="0" w:color="auto"/>
        <w:left w:val="none" w:sz="0" w:space="0" w:color="auto"/>
        <w:bottom w:val="none" w:sz="0" w:space="0" w:color="auto"/>
        <w:right w:val="none" w:sz="0" w:space="0" w:color="auto"/>
      </w:divBdr>
    </w:div>
    <w:div w:id="779761493">
      <w:bodyDiv w:val="1"/>
      <w:marLeft w:val="0"/>
      <w:marRight w:val="0"/>
      <w:marTop w:val="0"/>
      <w:marBottom w:val="0"/>
      <w:divBdr>
        <w:top w:val="none" w:sz="0" w:space="0" w:color="auto"/>
        <w:left w:val="none" w:sz="0" w:space="0" w:color="auto"/>
        <w:bottom w:val="none" w:sz="0" w:space="0" w:color="auto"/>
        <w:right w:val="none" w:sz="0" w:space="0" w:color="auto"/>
      </w:divBdr>
    </w:div>
    <w:div w:id="800730620">
      <w:bodyDiv w:val="1"/>
      <w:marLeft w:val="0"/>
      <w:marRight w:val="0"/>
      <w:marTop w:val="0"/>
      <w:marBottom w:val="0"/>
      <w:divBdr>
        <w:top w:val="none" w:sz="0" w:space="0" w:color="auto"/>
        <w:left w:val="none" w:sz="0" w:space="0" w:color="auto"/>
        <w:bottom w:val="none" w:sz="0" w:space="0" w:color="auto"/>
        <w:right w:val="none" w:sz="0" w:space="0" w:color="auto"/>
      </w:divBdr>
    </w:div>
    <w:div w:id="806968569">
      <w:bodyDiv w:val="1"/>
      <w:marLeft w:val="0"/>
      <w:marRight w:val="0"/>
      <w:marTop w:val="0"/>
      <w:marBottom w:val="0"/>
      <w:divBdr>
        <w:top w:val="none" w:sz="0" w:space="0" w:color="auto"/>
        <w:left w:val="none" w:sz="0" w:space="0" w:color="auto"/>
        <w:bottom w:val="none" w:sz="0" w:space="0" w:color="auto"/>
        <w:right w:val="none" w:sz="0" w:space="0" w:color="auto"/>
      </w:divBdr>
    </w:div>
    <w:div w:id="808088131">
      <w:bodyDiv w:val="1"/>
      <w:marLeft w:val="0"/>
      <w:marRight w:val="0"/>
      <w:marTop w:val="0"/>
      <w:marBottom w:val="0"/>
      <w:divBdr>
        <w:top w:val="none" w:sz="0" w:space="0" w:color="auto"/>
        <w:left w:val="none" w:sz="0" w:space="0" w:color="auto"/>
        <w:bottom w:val="none" w:sz="0" w:space="0" w:color="auto"/>
        <w:right w:val="none" w:sz="0" w:space="0" w:color="auto"/>
      </w:divBdr>
    </w:div>
    <w:div w:id="827207833">
      <w:bodyDiv w:val="1"/>
      <w:marLeft w:val="0"/>
      <w:marRight w:val="0"/>
      <w:marTop w:val="0"/>
      <w:marBottom w:val="0"/>
      <w:divBdr>
        <w:top w:val="none" w:sz="0" w:space="0" w:color="auto"/>
        <w:left w:val="none" w:sz="0" w:space="0" w:color="auto"/>
        <w:bottom w:val="none" w:sz="0" w:space="0" w:color="auto"/>
        <w:right w:val="none" w:sz="0" w:space="0" w:color="auto"/>
      </w:divBdr>
    </w:div>
    <w:div w:id="882054776">
      <w:bodyDiv w:val="1"/>
      <w:marLeft w:val="0"/>
      <w:marRight w:val="0"/>
      <w:marTop w:val="0"/>
      <w:marBottom w:val="0"/>
      <w:divBdr>
        <w:top w:val="none" w:sz="0" w:space="0" w:color="auto"/>
        <w:left w:val="none" w:sz="0" w:space="0" w:color="auto"/>
        <w:bottom w:val="none" w:sz="0" w:space="0" w:color="auto"/>
        <w:right w:val="none" w:sz="0" w:space="0" w:color="auto"/>
      </w:divBdr>
      <w:divsChild>
        <w:div w:id="1864589674">
          <w:marLeft w:val="0"/>
          <w:marRight w:val="0"/>
          <w:marTop w:val="0"/>
          <w:marBottom w:val="0"/>
          <w:divBdr>
            <w:top w:val="none" w:sz="0" w:space="0" w:color="auto"/>
            <w:left w:val="none" w:sz="0" w:space="0" w:color="auto"/>
            <w:bottom w:val="none" w:sz="0" w:space="0" w:color="auto"/>
            <w:right w:val="none" w:sz="0" w:space="0" w:color="auto"/>
          </w:divBdr>
        </w:div>
      </w:divsChild>
    </w:div>
    <w:div w:id="894852489">
      <w:bodyDiv w:val="1"/>
      <w:marLeft w:val="0"/>
      <w:marRight w:val="0"/>
      <w:marTop w:val="0"/>
      <w:marBottom w:val="0"/>
      <w:divBdr>
        <w:top w:val="none" w:sz="0" w:space="0" w:color="auto"/>
        <w:left w:val="none" w:sz="0" w:space="0" w:color="auto"/>
        <w:bottom w:val="none" w:sz="0" w:space="0" w:color="auto"/>
        <w:right w:val="none" w:sz="0" w:space="0" w:color="auto"/>
      </w:divBdr>
    </w:div>
    <w:div w:id="912737158">
      <w:bodyDiv w:val="1"/>
      <w:marLeft w:val="0"/>
      <w:marRight w:val="0"/>
      <w:marTop w:val="0"/>
      <w:marBottom w:val="0"/>
      <w:divBdr>
        <w:top w:val="none" w:sz="0" w:space="0" w:color="auto"/>
        <w:left w:val="none" w:sz="0" w:space="0" w:color="auto"/>
        <w:bottom w:val="none" w:sz="0" w:space="0" w:color="auto"/>
        <w:right w:val="none" w:sz="0" w:space="0" w:color="auto"/>
      </w:divBdr>
    </w:div>
    <w:div w:id="933517444">
      <w:bodyDiv w:val="1"/>
      <w:marLeft w:val="0"/>
      <w:marRight w:val="0"/>
      <w:marTop w:val="0"/>
      <w:marBottom w:val="0"/>
      <w:divBdr>
        <w:top w:val="none" w:sz="0" w:space="0" w:color="auto"/>
        <w:left w:val="none" w:sz="0" w:space="0" w:color="auto"/>
        <w:bottom w:val="none" w:sz="0" w:space="0" w:color="auto"/>
        <w:right w:val="none" w:sz="0" w:space="0" w:color="auto"/>
      </w:divBdr>
    </w:div>
    <w:div w:id="940836395">
      <w:bodyDiv w:val="1"/>
      <w:marLeft w:val="0"/>
      <w:marRight w:val="0"/>
      <w:marTop w:val="0"/>
      <w:marBottom w:val="0"/>
      <w:divBdr>
        <w:top w:val="none" w:sz="0" w:space="0" w:color="auto"/>
        <w:left w:val="none" w:sz="0" w:space="0" w:color="auto"/>
        <w:bottom w:val="none" w:sz="0" w:space="0" w:color="auto"/>
        <w:right w:val="none" w:sz="0" w:space="0" w:color="auto"/>
      </w:divBdr>
    </w:div>
    <w:div w:id="965046047">
      <w:bodyDiv w:val="1"/>
      <w:marLeft w:val="0"/>
      <w:marRight w:val="0"/>
      <w:marTop w:val="0"/>
      <w:marBottom w:val="0"/>
      <w:divBdr>
        <w:top w:val="none" w:sz="0" w:space="0" w:color="auto"/>
        <w:left w:val="none" w:sz="0" w:space="0" w:color="auto"/>
        <w:bottom w:val="none" w:sz="0" w:space="0" w:color="auto"/>
        <w:right w:val="none" w:sz="0" w:space="0" w:color="auto"/>
      </w:divBdr>
    </w:div>
    <w:div w:id="987900763">
      <w:bodyDiv w:val="1"/>
      <w:marLeft w:val="0"/>
      <w:marRight w:val="0"/>
      <w:marTop w:val="0"/>
      <w:marBottom w:val="0"/>
      <w:divBdr>
        <w:top w:val="none" w:sz="0" w:space="0" w:color="auto"/>
        <w:left w:val="none" w:sz="0" w:space="0" w:color="auto"/>
        <w:bottom w:val="none" w:sz="0" w:space="0" w:color="auto"/>
        <w:right w:val="none" w:sz="0" w:space="0" w:color="auto"/>
      </w:divBdr>
    </w:div>
    <w:div w:id="989676095">
      <w:bodyDiv w:val="1"/>
      <w:marLeft w:val="0"/>
      <w:marRight w:val="0"/>
      <w:marTop w:val="0"/>
      <w:marBottom w:val="0"/>
      <w:divBdr>
        <w:top w:val="none" w:sz="0" w:space="0" w:color="auto"/>
        <w:left w:val="none" w:sz="0" w:space="0" w:color="auto"/>
        <w:bottom w:val="none" w:sz="0" w:space="0" w:color="auto"/>
        <w:right w:val="none" w:sz="0" w:space="0" w:color="auto"/>
      </w:divBdr>
    </w:div>
    <w:div w:id="1006177684">
      <w:bodyDiv w:val="1"/>
      <w:marLeft w:val="0"/>
      <w:marRight w:val="0"/>
      <w:marTop w:val="0"/>
      <w:marBottom w:val="0"/>
      <w:divBdr>
        <w:top w:val="none" w:sz="0" w:space="0" w:color="auto"/>
        <w:left w:val="none" w:sz="0" w:space="0" w:color="auto"/>
        <w:bottom w:val="none" w:sz="0" w:space="0" w:color="auto"/>
        <w:right w:val="none" w:sz="0" w:space="0" w:color="auto"/>
      </w:divBdr>
    </w:div>
    <w:div w:id="1016426968">
      <w:bodyDiv w:val="1"/>
      <w:marLeft w:val="0"/>
      <w:marRight w:val="0"/>
      <w:marTop w:val="0"/>
      <w:marBottom w:val="0"/>
      <w:divBdr>
        <w:top w:val="none" w:sz="0" w:space="0" w:color="auto"/>
        <w:left w:val="none" w:sz="0" w:space="0" w:color="auto"/>
        <w:bottom w:val="none" w:sz="0" w:space="0" w:color="auto"/>
        <w:right w:val="none" w:sz="0" w:space="0" w:color="auto"/>
      </w:divBdr>
    </w:div>
    <w:div w:id="1031154110">
      <w:bodyDiv w:val="1"/>
      <w:marLeft w:val="0"/>
      <w:marRight w:val="0"/>
      <w:marTop w:val="0"/>
      <w:marBottom w:val="0"/>
      <w:divBdr>
        <w:top w:val="none" w:sz="0" w:space="0" w:color="auto"/>
        <w:left w:val="none" w:sz="0" w:space="0" w:color="auto"/>
        <w:bottom w:val="none" w:sz="0" w:space="0" w:color="auto"/>
        <w:right w:val="none" w:sz="0" w:space="0" w:color="auto"/>
      </w:divBdr>
    </w:div>
    <w:div w:id="1065379118">
      <w:bodyDiv w:val="1"/>
      <w:marLeft w:val="0"/>
      <w:marRight w:val="0"/>
      <w:marTop w:val="0"/>
      <w:marBottom w:val="0"/>
      <w:divBdr>
        <w:top w:val="none" w:sz="0" w:space="0" w:color="auto"/>
        <w:left w:val="none" w:sz="0" w:space="0" w:color="auto"/>
        <w:bottom w:val="none" w:sz="0" w:space="0" w:color="auto"/>
        <w:right w:val="none" w:sz="0" w:space="0" w:color="auto"/>
      </w:divBdr>
    </w:div>
    <w:div w:id="1087919625">
      <w:bodyDiv w:val="1"/>
      <w:marLeft w:val="0"/>
      <w:marRight w:val="0"/>
      <w:marTop w:val="0"/>
      <w:marBottom w:val="0"/>
      <w:divBdr>
        <w:top w:val="none" w:sz="0" w:space="0" w:color="auto"/>
        <w:left w:val="none" w:sz="0" w:space="0" w:color="auto"/>
        <w:bottom w:val="none" w:sz="0" w:space="0" w:color="auto"/>
        <w:right w:val="none" w:sz="0" w:space="0" w:color="auto"/>
      </w:divBdr>
    </w:div>
    <w:div w:id="1129935931">
      <w:bodyDiv w:val="1"/>
      <w:marLeft w:val="0"/>
      <w:marRight w:val="0"/>
      <w:marTop w:val="0"/>
      <w:marBottom w:val="0"/>
      <w:divBdr>
        <w:top w:val="none" w:sz="0" w:space="0" w:color="auto"/>
        <w:left w:val="none" w:sz="0" w:space="0" w:color="auto"/>
        <w:bottom w:val="none" w:sz="0" w:space="0" w:color="auto"/>
        <w:right w:val="none" w:sz="0" w:space="0" w:color="auto"/>
      </w:divBdr>
    </w:div>
    <w:div w:id="1140611796">
      <w:bodyDiv w:val="1"/>
      <w:marLeft w:val="0"/>
      <w:marRight w:val="0"/>
      <w:marTop w:val="0"/>
      <w:marBottom w:val="0"/>
      <w:divBdr>
        <w:top w:val="none" w:sz="0" w:space="0" w:color="auto"/>
        <w:left w:val="none" w:sz="0" w:space="0" w:color="auto"/>
        <w:bottom w:val="none" w:sz="0" w:space="0" w:color="auto"/>
        <w:right w:val="none" w:sz="0" w:space="0" w:color="auto"/>
      </w:divBdr>
    </w:div>
    <w:div w:id="1166553958">
      <w:bodyDiv w:val="1"/>
      <w:marLeft w:val="0"/>
      <w:marRight w:val="0"/>
      <w:marTop w:val="0"/>
      <w:marBottom w:val="0"/>
      <w:divBdr>
        <w:top w:val="none" w:sz="0" w:space="0" w:color="auto"/>
        <w:left w:val="none" w:sz="0" w:space="0" w:color="auto"/>
        <w:bottom w:val="none" w:sz="0" w:space="0" w:color="auto"/>
        <w:right w:val="none" w:sz="0" w:space="0" w:color="auto"/>
      </w:divBdr>
      <w:divsChild>
        <w:div w:id="1179925924">
          <w:marLeft w:val="0"/>
          <w:marRight w:val="0"/>
          <w:marTop w:val="0"/>
          <w:marBottom w:val="0"/>
          <w:divBdr>
            <w:top w:val="none" w:sz="0" w:space="0" w:color="auto"/>
            <w:left w:val="none" w:sz="0" w:space="0" w:color="auto"/>
            <w:bottom w:val="none" w:sz="0" w:space="0" w:color="auto"/>
            <w:right w:val="none" w:sz="0" w:space="0" w:color="auto"/>
          </w:divBdr>
        </w:div>
      </w:divsChild>
    </w:div>
    <w:div w:id="1171290866">
      <w:bodyDiv w:val="1"/>
      <w:marLeft w:val="0"/>
      <w:marRight w:val="0"/>
      <w:marTop w:val="0"/>
      <w:marBottom w:val="0"/>
      <w:divBdr>
        <w:top w:val="none" w:sz="0" w:space="0" w:color="auto"/>
        <w:left w:val="none" w:sz="0" w:space="0" w:color="auto"/>
        <w:bottom w:val="none" w:sz="0" w:space="0" w:color="auto"/>
        <w:right w:val="none" w:sz="0" w:space="0" w:color="auto"/>
      </w:divBdr>
    </w:div>
    <w:div w:id="1191994341">
      <w:bodyDiv w:val="1"/>
      <w:marLeft w:val="0"/>
      <w:marRight w:val="0"/>
      <w:marTop w:val="0"/>
      <w:marBottom w:val="0"/>
      <w:divBdr>
        <w:top w:val="none" w:sz="0" w:space="0" w:color="auto"/>
        <w:left w:val="none" w:sz="0" w:space="0" w:color="auto"/>
        <w:bottom w:val="none" w:sz="0" w:space="0" w:color="auto"/>
        <w:right w:val="none" w:sz="0" w:space="0" w:color="auto"/>
      </w:divBdr>
    </w:div>
    <w:div w:id="1215191893">
      <w:bodyDiv w:val="1"/>
      <w:marLeft w:val="0"/>
      <w:marRight w:val="0"/>
      <w:marTop w:val="0"/>
      <w:marBottom w:val="0"/>
      <w:divBdr>
        <w:top w:val="none" w:sz="0" w:space="0" w:color="auto"/>
        <w:left w:val="none" w:sz="0" w:space="0" w:color="auto"/>
        <w:bottom w:val="none" w:sz="0" w:space="0" w:color="auto"/>
        <w:right w:val="none" w:sz="0" w:space="0" w:color="auto"/>
      </w:divBdr>
    </w:div>
    <w:div w:id="1221133060">
      <w:bodyDiv w:val="1"/>
      <w:marLeft w:val="0"/>
      <w:marRight w:val="0"/>
      <w:marTop w:val="0"/>
      <w:marBottom w:val="0"/>
      <w:divBdr>
        <w:top w:val="none" w:sz="0" w:space="0" w:color="auto"/>
        <w:left w:val="none" w:sz="0" w:space="0" w:color="auto"/>
        <w:bottom w:val="none" w:sz="0" w:space="0" w:color="auto"/>
        <w:right w:val="none" w:sz="0" w:space="0" w:color="auto"/>
      </w:divBdr>
    </w:div>
    <w:div w:id="1222714593">
      <w:bodyDiv w:val="1"/>
      <w:marLeft w:val="0"/>
      <w:marRight w:val="0"/>
      <w:marTop w:val="0"/>
      <w:marBottom w:val="0"/>
      <w:divBdr>
        <w:top w:val="none" w:sz="0" w:space="0" w:color="auto"/>
        <w:left w:val="none" w:sz="0" w:space="0" w:color="auto"/>
        <w:bottom w:val="none" w:sz="0" w:space="0" w:color="auto"/>
        <w:right w:val="none" w:sz="0" w:space="0" w:color="auto"/>
      </w:divBdr>
    </w:div>
    <w:div w:id="1235893196">
      <w:bodyDiv w:val="1"/>
      <w:marLeft w:val="0"/>
      <w:marRight w:val="0"/>
      <w:marTop w:val="0"/>
      <w:marBottom w:val="0"/>
      <w:divBdr>
        <w:top w:val="none" w:sz="0" w:space="0" w:color="auto"/>
        <w:left w:val="none" w:sz="0" w:space="0" w:color="auto"/>
        <w:bottom w:val="none" w:sz="0" w:space="0" w:color="auto"/>
        <w:right w:val="none" w:sz="0" w:space="0" w:color="auto"/>
      </w:divBdr>
    </w:div>
    <w:div w:id="1273512075">
      <w:bodyDiv w:val="1"/>
      <w:marLeft w:val="0"/>
      <w:marRight w:val="0"/>
      <w:marTop w:val="0"/>
      <w:marBottom w:val="0"/>
      <w:divBdr>
        <w:top w:val="none" w:sz="0" w:space="0" w:color="auto"/>
        <w:left w:val="none" w:sz="0" w:space="0" w:color="auto"/>
        <w:bottom w:val="none" w:sz="0" w:space="0" w:color="auto"/>
        <w:right w:val="none" w:sz="0" w:space="0" w:color="auto"/>
      </w:divBdr>
    </w:div>
    <w:div w:id="1307470106">
      <w:bodyDiv w:val="1"/>
      <w:marLeft w:val="0"/>
      <w:marRight w:val="0"/>
      <w:marTop w:val="0"/>
      <w:marBottom w:val="0"/>
      <w:divBdr>
        <w:top w:val="none" w:sz="0" w:space="0" w:color="auto"/>
        <w:left w:val="none" w:sz="0" w:space="0" w:color="auto"/>
        <w:bottom w:val="none" w:sz="0" w:space="0" w:color="auto"/>
        <w:right w:val="none" w:sz="0" w:space="0" w:color="auto"/>
      </w:divBdr>
    </w:div>
    <w:div w:id="1307930037">
      <w:bodyDiv w:val="1"/>
      <w:marLeft w:val="0"/>
      <w:marRight w:val="0"/>
      <w:marTop w:val="0"/>
      <w:marBottom w:val="0"/>
      <w:divBdr>
        <w:top w:val="none" w:sz="0" w:space="0" w:color="auto"/>
        <w:left w:val="none" w:sz="0" w:space="0" w:color="auto"/>
        <w:bottom w:val="none" w:sz="0" w:space="0" w:color="auto"/>
        <w:right w:val="none" w:sz="0" w:space="0" w:color="auto"/>
      </w:divBdr>
    </w:div>
    <w:div w:id="1335111961">
      <w:bodyDiv w:val="1"/>
      <w:marLeft w:val="0"/>
      <w:marRight w:val="0"/>
      <w:marTop w:val="0"/>
      <w:marBottom w:val="0"/>
      <w:divBdr>
        <w:top w:val="none" w:sz="0" w:space="0" w:color="auto"/>
        <w:left w:val="none" w:sz="0" w:space="0" w:color="auto"/>
        <w:bottom w:val="none" w:sz="0" w:space="0" w:color="auto"/>
        <w:right w:val="none" w:sz="0" w:space="0" w:color="auto"/>
      </w:divBdr>
    </w:div>
    <w:div w:id="1347907346">
      <w:bodyDiv w:val="1"/>
      <w:marLeft w:val="0"/>
      <w:marRight w:val="0"/>
      <w:marTop w:val="0"/>
      <w:marBottom w:val="0"/>
      <w:divBdr>
        <w:top w:val="none" w:sz="0" w:space="0" w:color="auto"/>
        <w:left w:val="none" w:sz="0" w:space="0" w:color="auto"/>
        <w:bottom w:val="none" w:sz="0" w:space="0" w:color="auto"/>
        <w:right w:val="none" w:sz="0" w:space="0" w:color="auto"/>
      </w:divBdr>
    </w:div>
    <w:div w:id="1349602698">
      <w:bodyDiv w:val="1"/>
      <w:marLeft w:val="0"/>
      <w:marRight w:val="0"/>
      <w:marTop w:val="0"/>
      <w:marBottom w:val="0"/>
      <w:divBdr>
        <w:top w:val="none" w:sz="0" w:space="0" w:color="auto"/>
        <w:left w:val="none" w:sz="0" w:space="0" w:color="auto"/>
        <w:bottom w:val="none" w:sz="0" w:space="0" w:color="auto"/>
        <w:right w:val="none" w:sz="0" w:space="0" w:color="auto"/>
      </w:divBdr>
    </w:div>
    <w:div w:id="1410151053">
      <w:bodyDiv w:val="1"/>
      <w:marLeft w:val="0"/>
      <w:marRight w:val="0"/>
      <w:marTop w:val="0"/>
      <w:marBottom w:val="0"/>
      <w:divBdr>
        <w:top w:val="none" w:sz="0" w:space="0" w:color="auto"/>
        <w:left w:val="none" w:sz="0" w:space="0" w:color="auto"/>
        <w:bottom w:val="none" w:sz="0" w:space="0" w:color="auto"/>
        <w:right w:val="none" w:sz="0" w:space="0" w:color="auto"/>
      </w:divBdr>
    </w:div>
    <w:div w:id="1410467342">
      <w:bodyDiv w:val="1"/>
      <w:marLeft w:val="0"/>
      <w:marRight w:val="0"/>
      <w:marTop w:val="0"/>
      <w:marBottom w:val="0"/>
      <w:divBdr>
        <w:top w:val="none" w:sz="0" w:space="0" w:color="auto"/>
        <w:left w:val="none" w:sz="0" w:space="0" w:color="auto"/>
        <w:bottom w:val="none" w:sz="0" w:space="0" w:color="auto"/>
        <w:right w:val="none" w:sz="0" w:space="0" w:color="auto"/>
      </w:divBdr>
    </w:div>
    <w:div w:id="1420713106">
      <w:bodyDiv w:val="1"/>
      <w:marLeft w:val="0"/>
      <w:marRight w:val="0"/>
      <w:marTop w:val="0"/>
      <w:marBottom w:val="0"/>
      <w:divBdr>
        <w:top w:val="none" w:sz="0" w:space="0" w:color="auto"/>
        <w:left w:val="none" w:sz="0" w:space="0" w:color="auto"/>
        <w:bottom w:val="none" w:sz="0" w:space="0" w:color="auto"/>
        <w:right w:val="none" w:sz="0" w:space="0" w:color="auto"/>
      </w:divBdr>
    </w:div>
    <w:div w:id="1431001496">
      <w:bodyDiv w:val="1"/>
      <w:marLeft w:val="0"/>
      <w:marRight w:val="0"/>
      <w:marTop w:val="0"/>
      <w:marBottom w:val="0"/>
      <w:divBdr>
        <w:top w:val="none" w:sz="0" w:space="0" w:color="auto"/>
        <w:left w:val="none" w:sz="0" w:space="0" w:color="auto"/>
        <w:bottom w:val="none" w:sz="0" w:space="0" w:color="auto"/>
        <w:right w:val="none" w:sz="0" w:space="0" w:color="auto"/>
      </w:divBdr>
    </w:div>
    <w:div w:id="1431392743">
      <w:bodyDiv w:val="1"/>
      <w:marLeft w:val="0"/>
      <w:marRight w:val="0"/>
      <w:marTop w:val="0"/>
      <w:marBottom w:val="0"/>
      <w:divBdr>
        <w:top w:val="none" w:sz="0" w:space="0" w:color="auto"/>
        <w:left w:val="none" w:sz="0" w:space="0" w:color="auto"/>
        <w:bottom w:val="none" w:sz="0" w:space="0" w:color="auto"/>
        <w:right w:val="none" w:sz="0" w:space="0" w:color="auto"/>
      </w:divBdr>
    </w:div>
    <w:div w:id="1436514424">
      <w:bodyDiv w:val="1"/>
      <w:marLeft w:val="0"/>
      <w:marRight w:val="0"/>
      <w:marTop w:val="0"/>
      <w:marBottom w:val="0"/>
      <w:divBdr>
        <w:top w:val="none" w:sz="0" w:space="0" w:color="auto"/>
        <w:left w:val="none" w:sz="0" w:space="0" w:color="auto"/>
        <w:bottom w:val="none" w:sz="0" w:space="0" w:color="auto"/>
        <w:right w:val="none" w:sz="0" w:space="0" w:color="auto"/>
      </w:divBdr>
    </w:div>
    <w:div w:id="1455908927">
      <w:bodyDiv w:val="1"/>
      <w:marLeft w:val="0"/>
      <w:marRight w:val="0"/>
      <w:marTop w:val="0"/>
      <w:marBottom w:val="0"/>
      <w:divBdr>
        <w:top w:val="none" w:sz="0" w:space="0" w:color="auto"/>
        <w:left w:val="none" w:sz="0" w:space="0" w:color="auto"/>
        <w:bottom w:val="none" w:sz="0" w:space="0" w:color="auto"/>
        <w:right w:val="none" w:sz="0" w:space="0" w:color="auto"/>
      </w:divBdr>
    </w:div>
    <w:div w:id="1552116011">
      <w:bodyDiv w:val="1"/>
      <w:marLeft w:val="0"/>
      <w:marRight w:val="0"/>
      <w:marTop w:val="0"/>
      <w:marBottom w:val="0"/>
      <w:divBdr>
        <w:top w:val="none" w:sz="0" w:space="0" w:color="auto"/>
        <w:left w:val="none" w:sz="0" w:space="0" w:color="auto"/>
        <w:bottom w:val="none" w:sz="0" w:space="0" w:color="auto"/>
        <w:right w:val="none" w:sz="0" w:space="0" w:color="auto"/>
      </w:divBdr>
    </w:div>
    <w:div w:id="1565874423">
      <w:bodyDiv w:val="1"/>
      <w:marLeft w:val="0"/>
      <w:marRight w:val="0"/>
      <w:marTop w:val="0"/>
      <w:marBottom w:val="0"/>
      <w:divBdr>
        <w:top w:val="none" w:sz="0" w:space="0" w:color="auto"/>
        <w:left w:val="none" w:sz="0" w:space="0" w:color="auto"/>
        <w:bottom w:val="none" w:sz="0" w:space="0" w:color="auto"/>
        <w:right w:val="none" w:sz="0" w:space="0" w:color="auto"/>
      </w:divBdr>
    </w:div>
    <w:div w:id="1576475529">
      <w:bodyDiv w:val="1"/>
      <w:marLeft w:val="0"/>
      <w:marRight w:val="0"/>
      <w:marTop w:val="0"/>
      <w:marBottom w:val="0"/>
      <w:divBdr>
        <w:top w:val="none" w:sz="0" w:space="0" w:color="auto"/>
        <w:left w:val="none" w:sz="0" w:space="0" w:color="auto"/>
        <w:bottom w:val="none" w:sz="0" w:space="0" w:color="auto"/>
        <w:right w:val="none" w:sz="0" w:space="0" w:color="auto"/>
      </w:divBdr>
    </w:div>
    <w:div w:id="1579973356">
      <w:bodyDiv w:val="1"/>
      <w:marLeft w:val="0"/>
      <w:marRight w:val="0"/>
      <w:marTop w:val="0"/>
      <w:marBottom w:val="0"/>
      <w:divBdr>
        <w:top w:val="none" w:sz="0" w:space="0" w:color="auto"/>
        <w:left w:val="none" w:sz="0" w:space="0" w:color="auto"/>
        <w:bottom w:val="none" w:sz="0" w:space="0" w:color="auto"/>
        <w:right w:val="none" w:sz="0" w:space="0" w:color="auto"/>
      </w:divBdr>
      <w:divsChild>
        <w:div w:id="1260023878">
          <w:marLeft w:val="0"/>
          <w:marRight w:val="0"/>
          <w:marTop w:val="0"/>
          <w:marBottom w:val="0"/>
          <w:divBdr>
            <w:top w:val="none" w:sz="0" w:space="0" w:color="auto"/>
            <w:left w:val="none" w:sz="0" w:space="0" w:color="auto"/>
            <w:bottom w:val="none" w:sz="0" w:space="0" w:color="auto"/>
            <w:right w:val="none" w:sz="0" w:space="0" w:color="auto"/>
          </w:divBdr>
        </w:div>
      </w:divsChild>
    </w:div>
    <w:div w:id="1605069606">
      <w:bodyDiv w:val="1"/>
      <w:marLeft w:val="0"/>
      <w:marRight w:val="0"/>
      <w:marTop w:val="0"/>
      <w:marBottom w:val="0"/>
      <w:divBdr>
        <w:top w:val="none" w:sz="0" w:space="0" w:color="auto"/>
        <w:left w:val="none" w:sz="0" w:space="0" w:color="auto"/>
        <w:bottom w:val="none" w:sz="0" w:space="0" w:color="auto"/>
        <w:right w:val="none" w:sz="0" w:space="0" w:color="auto"/>
      </w:divBdr>
    </w:div>
    <w:div w:id="1612933446">
      <w:bodyDiv w:val="1"/>
      <w:marLeft w:val="0"/>
      <w:marRight w:val="0"/>
      <w:marTop w:val="0"/>
      <w:marBottom w:val="0"/>
      <w:divBdr>
        <w:top w:val="none" w:sz="0" w:space="0" w:color="auto"/>
        <w:left w:val="none" w:sz="0" w:space="0" w:color="auto"/>
        <w:bottom w:val="none" w:sz="0" w:space="0" w:color="auto"/>
        <w:right w:val="none" w:sz="0" w:space="0" w:color="auto"/>
      </w:divBdr>
    </w:div>
    <w:div w:id="1616401161">
      <w:bodyDiv w:val="1"/>
      <w:marLeft w:val="0"/>
      <w:marRight w:val="0"/>
      <w:marTop w:val="0"/>
      <w:marBottom w:val="0"/>
      <w:divBdr>
        <w:top w:val="none" w:sz="0" w:space="0" w:color="auto"/>
        <w:left w:val="none" w:sz="0" w:space="0" w:color="auto"/>
        <w:bottom w:val="none" w:sz="0" w:space="0" w:color="auto"/>
        <w:right w:val="none" w:sz="0" w:space="0" w:color="auto"/>
      </w:divBdr>
    </w:div>
    <w:div w:id="1653480136">
      <w:bodyDiv w:val="1"/>
      <w:marLeft w:val="0"/>
      <w:marRight w:val="0"/>
      <w:marTop w:val="0"/>
      <w:marBottom w:val="0"/>
      <w:divBdr>
        <w:top w:val="none" w:sz="0" w:space="0" w:color="auto"/>
        <w:left w:val="none" w:sz="0" w:space="0" w:color="auto"/>
        <w:bottom w:val="none" w:sz="0" w:space="0" w:color="auto"/>
        <w:right w:val="none" w:sz="0" w:space="0" w:color="auto"/>
      </w:divBdr>
    </w:div>
    <w:div w:id="1664889968">
      <w:bodyDiv w:val="1"/>
      <w:marLeft w:val="0"/>
      <w:marRight w:val="0"/>
      <w:marTop w:val="0"/>
      <w:marBottom w:val="0"/>
      <w:divBdr>
        <w:top w:val="none" w:sz="0" w:space="0" w:color="auto"/>
        <w:left w:val="none" w:sz="0" w:space="0" w:color="auto"/>
        <w:bottom w:val="none" w:sz="0" w:space="0" w:color="auto"/>
        <w:right w:val="none" w:sz="0" w:space="0" w:color="auto"/>
      </w:divBdr>
    </w:div>
    <w:div w:id="1673098884">
      <w:bodyDiv w:val="1"/>
      <w:marLeft w:val="0"/>
      <w:marRight w:val="0"/>
      <w:marTop w:val="0"/>
      <w:marBottom w:val="0"/>
      <w:divBdr>
        <w:top w:val="none" w:sz="0" w:space="0" w:color="auto"/>
        <w:left w:val="none" w:sz="0" w:space="0" w:color="auto"/>
        <w:bottom w:val="none" w:sz="0" w:space="0" w:color="auto"/>
        <w:right w:val="none" w:sz="0" w:space="0" w:color="auto"/>
      </w:divBdr>
      <w:divsChild>
        <w:div w:id="1928031012">
          <w:marLeft w:val="0"/>
          <w:marRight w:val="0"/>
          <w:marTop w:val="0"/>
          <w:marBottom w:val="0"/>
          <w:divBdr>
            <w:top w:val="none" w:sz="0" w:space="0" w:color="auto"/>
            <w:left w:val="none" w:sz="0" w:space="0" w:color="auto"/>
            <w:bottom w:val="none" w:sz="0" w:space="0" w:color="auto"/>
            <w:right w:val="none" w:sz="0" w:space="0" w:color="auto"/>
          </w:divBdr>
        </w:div>
      </w:divsChild>
    </w:div>
    <w:div w:id="1726484833">
      <w:bodyDiv w:val="1"/>
      <w:marLeft w:val="0"/>
      <w:marRight w:val="0"/>
      <w:marTop w:val="0"/>
      <w:marBottom w:val="0"/>
      <w:divBdr>
        <w:top w:val="none" w:sz="0" w:space="0" w:color="auto"/>
        <w:left w:val="none" w:sz="0" w:space="0" w:color="auto"/>
        <w:bottom w:val="none" w:sz="0" w:space="0" w:color="auto"/>
        <w:right w:val="none" w:sz="0" w:space="0" w:color="auto"/>
      </w:divBdr>
    </w:div>
    <w:div w:id="1765373845">
      <w:bodyDiv w:val="1"/>
      <w:marLeft w:val="0"/>
      <w:marRight w:val="0"/>
      <w:marTop w:val="0"/>
      <w:marBottom w:val="0"/>
      <w:divBdr>
        <w:top w:val="none" w:sz="0" w:space="0" w:color="auto"/>
        <w:left w:val="none" w:sz="0" w:space="0" w:color="auto"/>
        <w:bottom w:val="none" w:sz="0" w:space="0" w:color="auto"/>
        <w:right w:val="none" w:sz="0" w:space="0" w:color="auto"/>
      </w:divBdr>
    </w:div>
    <w:div w:id="1773353661">
      <w:bodyDiv w:val="1"/>
      <w:marLeft w:val="0"/>
      <w:marRight w:val="0"/>
      <w:marTop w:val="0"/>
      <w:marBottom w:val="0"/>
      <w:divBdr>
        <w:top w:val="none" w:sz="0" w:space="0" w:color="auto"/>
        <w:left w:val="none" w:sz="0" w:space="0" w:color="auto"/>
        <w:bottom w:val="none" w:sz="0" w:space="0" w:color="auto"/>
        <w:right w:val="none" w:sz="0" w:space="0" w:color="auto"/>
      </w:divBdr>
    </w:div>
    <w:div w:id="1781993942">
      <w:bodyDiv w:val="1"/>
      <w:marLeft w:val="0"/>
      <w:marRight w:val="0"/>
      <w:marTop w:val="0"/>
      <w:marBottom w:val="0"/>
      <w:divBdr>
        <w:top w:val="none" w:sz="0" w:space="0" w:color="auto"/>
        <w:left w:val="none" w:sz="0" w:space="0" w:color="auto"/>
        <w:bottom w:val="none" w:sz="0" w:space="0" w:color="auto"/>
        <w:right w:val="none" w:sz="0" w:space="0" w:color="auto"/>
      </w:divBdr>
    </w:div>
    <w:div w:id="1800612979">
      <w:bodyDiv w:val="1"/>
      <w:marLeft w:val="0"/>
      <w:marRight w:val="0"/>
      <w:marTop w:val="0"/>
      <w:marBottom w:val="0"/>
      <w:divBdr>
        <w:top w:val="none" w:sz="0" w:space="0" w:color="auto"/>
        <w:left w:val="none" w:sz="0" w:space="0" w:color="auto"/>
        <w:bottom w:val="none" w:sz="0" w:space="0" w:color="auto"/>
        <w:right w:val="none" w:sz="0" w:space="0" w:color="auto"/>
      </w:divBdr>
    </w:div>
    <w:div w:id="1809466963">
      <w:bodyDiv w:val="1"/>
      <w:marLeft w:val="0"/>
      <w:marRight w:val="0"/>
      <w:marTop w:val="0"/>
      <w:marBottom w:val="0"/>
      <w:divBdr>
        <w:top w:val="none" w:sz="0" w:space="0" w:color="auto"/>
        <w:left w:val="none" w:sz="0" w:space="0" w:color="auto"/>
        <w:bottom w:val="none" w:sz="0" w:space="0" w:color="auto"/>
        <w:right w:val="none" w:sz="0" w:space="0" w:color="auto"/>
      </w:divBdr>
    </w:div>
    <w:div w:id="1813521347">
      <w:bodyDiv w:val="1"/>
      <w:marLeft w:val="0"/>
      <w:marRight w:val="0"/>
      <w:marTop w:val="0"/>
      <w:marBottom w:val="0"/>
      <w:divBdr>
        <w:top w:val="none" w:sz="0" w:space="0" w:color="auto"/>
        <w:left w:val="none" w:sz="0" w:space="0" w:color="auto"/>
        <w:bottom w:val="none" w:sz="0" w:space="0" w:color="auto"/>
        <w:right w:val="none" w:sz="0" w:space="0" w:color="auto"/>
      </w:divBdr>
    </w:div>
    <w:div w:id="1824081346">
      <w:bodyDiv w:val="1"/>
      <w:marLeft w:val="0"/>
      <w:marRight w:val="0"/>
      <w:marTop w:val="0"/>
      <w:marBottom w:val="0"/>
      <w:divBdr>
        <w:top w:val="none" w:sz="0" w:space="0" w:color="auto"/>
        <w:left w:val="none" w:sz="0" w:space="0" w:color="auto"/>
        <w:bottom w:val="none" w:sz="0" w:space="0" w:color="auto"/>
        <w:right w:val="none" w:sz="0" w:space="0" w:color="auto"/>
      </w:divBdr>
    </w:div>
    <w:div w:id="1835411850">
      <w:bodyDiv w:val="1"/>
      <w:marLeft w:val="0"/>
      <w:marRight w:val="0"/>
      <w:marTop w:val="0"/>
      <w:marBottom w:val="0"/>
      <w:divBdr>
        <w:top w:val="none" w:sz="0" w:space="0" w:color="auto"/>
        <w:left w:val="none" w:sz="0" w:space="0" w:color="auto"/>
        <w:bottom w:val="none" w:sz="0" w:space="0" w:color="auto"/>
        <w:right w:val="none" w:sz="0" w:space="0" w:color="auto"/>
      </w:divBdr>
    </w:div>
    <w:div w:id="1853377889">
      <w:bodyDiv w:val="1"/>
      <w:marLeft w:val="0"/>
      <w:marRight w:val="0"/>
      <w:marTop w:val="0"/>
      <w:marBottom w:val="0"/>
      <w:divBdr>
        <w:top w:val="none" w:sz="0" w:space="0" w:color="auto"/>
        <w:left w:val="none" w:sz="0" w:space="0" w:color="auto"/>
        <w:bottom w:val="none" w:sz="0" w:space="0" w:color="auto"/>
        <w:right w:val="none" w:sz="0" w:space="0" w:color="auto"/>
      </w:divBdr>
    </w:div>
    <w:div w:id="1866364369">
      <w:bodyDiv w:val="1"/>
      <w:marLeft w:val="0"/>
      <w:marRight w:val="0"/>
      <w:marTop w:val="0"/>
      <w:marBottom w:val="0"/>
      <w:divBdr>
        <w:top w:val="none" w:sz="0" w:space="0" w:color="auto"/>
        <w:left w:val="none" w:sz="0" w:space="0" w:color="auto"/>
        <w:bottom w:val="none" w:sz="0" w:space="0" w:color="auto"/>
        <w:right w:val="none" w:sz="0" w:space="0" w:color="auto"/>
      </w:divBdr>
    </w:div>
    <w:div w:id="1872720178">
      <w:bodyDiv w:val="1"/>
      <w:marLeft w:val="0"/>
      <w:marRight w:val="0"/>
      <w:marTop w:val="0"/>
      <w:marBottom w:val="0"/>
      <w:divBdr>
        <w:top w:val="none" w:sz="0" w:space="0" w:color="auto"/>
        <w:left w:val="none" w:sz="0" w:space="0" w:color="auto"/>
        <w:bottom w:val="none" w:sz="0" w:space="0" w:color="auto"/>
        <w:right w:val="none" w:sz="0" w:space="0" w:color="auto"/>
      </w:divBdr>
    </w:div>
    <w:div w:id="1911773277">
      <w:bodyDiv w:val="1"/>
      <w:marLeft w:val="0"/>
      <w:marRight w:val="0"/>
      <w:marTop w:val="0"/>
      <w:marBottom w:val="0"/>
      <w:divBdr>
        <w:top w:val="none" w:sz="0" w:space="0" w:color="auto"/>
        <w:left w:val="none" w:sz="0" w:space="0" w:color="auto"/>
        <w:bottom w:val="none" w:sz="0" w:space="0" w:color="auto"/>
        <w:right w:val="none" w:sz="0" w:space="0" w:color="auto"/>
      </w:divBdr>
    </w:div>
    <w:div w:id="1924098019">
      <w:bodyDiv w:val="1"/>
      <w:marLeft w:val="0"/>
      <w:marRight w:val="0"/>
      <w:marTop w:val="0"/>
      <w:marBottom w:val="0"/>
      <w:divBdr>
        <w:top w:val="none" w:sz="0" w:space="0" w:color="auto"/>
        <w:left w:val="none" w:sz="0" w:space="0" w:color="auto"/>
        <w:bottom w:val="none" w:sz="0" w:space="0" w:color="auto"/>
        <w:right w:val="none" w:sz="0" w:space="0" w:color="auto"/>
      </w:divBdr>
    </w:div>
    <w:div w:id="1950237021">
      <w:bodyDiv w:val="1"/>
      <w:marLeft w:val="0"/>
      <w:marRight w:val="0"/>
      <w:marTop w:val="0"/>
      <w:marBottom w:val="0"/>
      <w:divBdr>
        <w:top w:val="none" w:sz="0" w:space="0" w:color="auto"/>
        <w:left w:val="none" w:sz="0" w:space="0" w:color="auto"/>
        <w:bottom w:val="none" w:sz="0" w:space="0" w:color="auto"/>
        <w:right w:val="none" w:sz="0" w:space="0" w:color="auto"/>
      </w:divBdr>
    </w:div>
    <w:div w:id="1970041620">
      <w:bodyDiv w:val="1"/>
      <w:marLeft w:val="0"/>
      <w:marRight w:val="0"/>
      <w:marTop w:val="0"/>
      <w:marBottom w:val="0"/>
      <w:divBdr>
        <w:top w:val="none" w:sz="0" w:space="0" w:color="auto"/>
        <w:left w:val="none" w:sz="0" w:space="0" w:color="auto"/>
        <w:bottom w:val="none" w:sz="0" w:space="0" w:color="auto"/>
        <w:right w:val="none" w:sz="0" w:space="0" w:color="auto"/>
      </w:divBdr>
      <w:divsChild>
        <w:div w:id="1175806202">
          <w:marLeft w:val="0"/>
          <w:marRight w:val="0"/>
          <w:marTop w:val="0"/>
          <w:marBottom w:val="0"/>
          <w:divBdr>
            <w:top w:val="none" w:sz="0" w:space="0" w:color="auto"/>
            <w:left w:val="none" w:sz="0" w:space="0" w:color="auto"/>
            <w:bottom w:val="none" w:sz="0" w:space="0" w:color="auto"/>
            <w:right w:val="none" w:sz="0" w:space="0" w:color="auto"/>
          </w:divBdr>
        </w:div>
      </w:divsChild>
    </w:div>
    <w:div w:id="1980302363">
      <w:bodyDiv w:val="1"/>
      <w:marLeft w:val="0"/>
      <w:marRight w:val="0"/>
      <w:marTop w:val="0"/>
      <w:marBottom w:val="0"/>
      <w:divBdr>
        <w:top w:val="none" w:sz="0" w:space="0" w:color="auto"/>
        <w:left w:val="none" w:sz="0" w:space="0" w:color="auto"/>
        <w:bottom w:val="none" w:sz="0" w:space="0" w:color="auto"/>
        <w:right w:val="none" w:sz="0" w:space="0" w:color="auto"/>
      </w:divBdr>
    </w:div>
    <w:div w:id="1990556521">
      <w:bodyDiv w:val="1"/>
      <w:marLeft w:val="0"/>
      <w:marRight w:val="0"/>
      <w:marTop w:val="0"/>
      <w:marBottom w:val="0"/>
      <w:divBdr>
        <w:top w:val="none" w:sz="0" w:space="0" w:color="auto"/>
        <w:left w:val="none" w:sz="0" w:space="0" w:color="auto"/>
        <w:bottom w:val="none" w:sz="0" w:space="0" w:color="auto"/>
        <w:right w:val="none" w:sz="0" w:space="0" w:color="auto"/>
      </w:divBdr>
    </w:div>
    <w:div w:id="2004314881">
      <w:bodyDiv w:val="1"/>
      <w:marLeft w:val="0"/>
      <w:marRight w:val="0"/>
      <w:marTop w:val="0"/>
      <w:marBottom w:val="0"/>
      <w:divBdr>
        <w:top w:val="none" w:sz="0" w:space="0" w:color="auto"/>
        <w:left w:val="none" w:sz="0" w:space="0" w:color="auto"/>
        <w:bottom w:val="none" w:sz="0" w:space="0" w:color="auto"/>
        <w:right w:val="none" w:sz="0" w:space="0" w:color="auto"/>
      </w:divBdr>
    </w:div>
    <w:div w:id="2007511873">
      <w:bodyDiv w:val="1"/>
      <w:marLeft w:val="0"/>
      <w:marRight w:val="0"/>
      <w:marTop w:val="0"/>
      <w:marBottom w:val="0"/>
      <w:divBdr>
        <w:top w:val="none" w:sz="0" w:space="0" w:color="auto"/>
        <w:left w:val="none" w:sz="0" w:space="0" w:color="auto"/>
        <w:bottom w:val="none" w:sz="0" w:space="0" w:color="auto"/>
        <w:right w:val="none" w:sz="0" w:space="0" w:color="auto"/>
      </w:divBdr>
    </w:div>
    <w:div w:id="2044092359">
      <w:bodyDiv w:val="1"/>
      <w:marLeft w:val="0"/>
      <w:marRight w:val="0"/>
      <w:marTop w:val="0"/>
      <w:marBottom w:val="0"/>
      <w:divBdr>
        <w:top w:val="none" w:sz="0" w:space="0" w:color="auto"/>
        <w:left w:val="none" w:sz="0" w:space="0" w:color="auto"/>
        <w:bottom w:val="none" w:sz="0" w:space="0" w:color="auto"/>
        <w:right w:val="none" w:sz="0" w:space="0" w:color="auto"/>
      </w:divBdr>
    </w:div>
    <w:div w:id="2046327219">
      <w:bodyDiv w:val="1"/>
      <w:marLeft w:val="0"/>
      <w:marRight w:val="0"/>
      <w:marTop w:val="0"/>
      <w:marBottom w:val="0"/>
      <w:divBdr>
        <w:top w:val="none" w:sz="0" w:space="0" w:color="auto"/>
        <w:left w:val="none" w:sz="0" w:space="0" w:color="auto"/>
        <w:bottom w:val="none" w:sz="0" w:space="0" w:color="auto"/>
        <w:right w:val="none" w:sz="0" w:space="0" w:color="auto"/>
      </w:divBdr>
    </w:div>
    <w:div w:id="2076928109">
      <w:bodyDiv w:val="1"/>
      <w:marLeft w:val="0"/>
      <w:marRight w:val="0"/>
      <w:marTop w:val="0"/>
      <w:marBottom w:val="0"/>
      <w:divBdr>
        <w:top w:val="none" w:sz="0" w:space="0" w:color="auto"/>
        <w:left w:val="none" w:sz="0" w:space="0" w:color="auto"/>
        <w:bottom w:val="none" w:sz="0" w:space="0" w:color="auto"/>
        <w:right w:val="none" w:sz="0" w:space="0" w:color="auto"/>
      </w:divBdr>
    </w:div>
    <w:div w:id="2095273043">
      <w:bodyDiv w:val="1"/>
      <w:marLeft w:val="0"/>
      <w:marRight w:val="0"/>
      <w:marTop w:val="0"/>
      <w:marBottom w:val="0"/>
      <w:divBdr>
        <w:top w:val="none" w:sz="0" w:space="0" w:color="auto"/>
        <w:left w:val="none" w:sz="0" w:space="0" w:color="auto"/>
        <w:bottom w:val="none" w:sz="0" w:space="0" w:color="auto"/>
        <w:right w:val="none" w:sz="0" w:space="0" w:color="auto"/>
      </w:divBdr>
      <w:divsChild>
        <w:div w:id="1716469900">
          <w:marLeft w:val="0"/>
          <w:marRight w:val="0"/>
          <w:marTop w:val="0"/>
          <w:marBottom w:val="0"/>
          <w:divBdr>
            <w:top w:val="none" w:sz="0" w:space="0" w:color="auto"/>
            <w:left w:val="none" w:sz="0" w:space="0" w:color="auto"/>
            <w:bottom w:val="none" w:sz="0" w:space="0" w:color="auto"/>
            <w:right w:val="none" w:sz="0" w:space="0" w:color="auto"/>
          </w:divBdr>
        </w:div>
        <w:div w:id="1716153754">
          <w:marLeft w:val="0"/>
          <w:marRight w:val="0"/>
          <w:marTop w:val="0"/>
          <w:marBottom w:val="0"/>
          <w:divBdr>
            <w:top w:val="none" w:sz="0" w:space="0" w:color="auto"/>
            <w:left w:val="none" w:sz="0" w:space="0" w:color="auto"/>
            <w:bottom w:val="none" w:sz="0" w:space="0" w:color="auto"/>
            <w:right w:val="none" w:sz="0" w:space="0" w:color="auto"/>
          </w:divBdr>
        </w:div>
        <w:div w:id="805897516">
          <w:marLeft w:val="0"/>
          <w:marRight w:val="0"/>
          <w:marTop w:val="0"/>
          <w:marBottom w:val="0"/>
          <w:divBdr>
            <w:top w:val="none" w:sz="0" w:space="0" w:color="auto"/>
            <w:left w:val="none" w:sz="0" w:space="0" w:color="auto"/>
            <w:bottom w:val="none" w:sz="0" w:space="0" w:color="auto"/>
            <w:right w:val="none" w:sz="0" w:space="0" w:color="auto"/>
          </w:divBdr>
          <w:divsChild>
            <w:div w:id="1664628161">
              <w:marLeft w:val="0"/>
              <w:marRight w:val="0"/>
              <w:marTop w:val="0"/>
              <w:marBottom w:val="0"/>
              <w:divBdr>
                <w:top w:val="none" w:sz="0" w:space="0" w:color="auto"/>
                <w:left w:val="none" w:sz="0" w:space="0" w:color="auto"/>
                <w:bottom w:val="none" w:sz="0" w:space="0" w:color="auto"/>
                <w:right w:val="none" w:sz="0" w:space="0" w:color="auto"/>
              </w:divBdr>
            </w:div>
            <w:div w:id="1404523248">
              <w:marLeft w:val="0"/>
              <w:marRight w:val="0"/>
              <w:marTop w:val="0"/>
              <w:marBottom w:val="0"/>
              <w:divBdr>
                <w:top w:val="none" w:sz="0" w:space="0" w:color="auto"/>
                <w:left w:val="none" w:sz="0" w:space="0" w:color="auto"/>
                <w:bottom w:val="none" w:sz="0" w:space="0" w:color="auto"/>
                <w:right w:val="none" w:sz="0" w:space="0" w:color="auto"/>
              </w:divBdr>
            </w:div>
            <w:div w:id="1760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apis://Base=APEV&amp;CELEX=32017r2402&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apis://Base=APEV&amp;CELEX=32016R1011&amp;Type=201" TargetMode="External"/><Relationship Id="rId2" Type="http://schemas.openxmlformats.org/officeDocument/2006/relationships/numbering" Target="numbering.xml"/><Relationship Id="rId16" Type="http://schemas.openxmlformats.org/officeDocument/2006/relationships/hyperlink" Target="apis://Base=APEV&amp;CELEX=32021R0023&amp;Type=2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pis://Base=APEV&amp;CELEX=32020R1503&amp;Type=20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nfin.bg/upload/47296/BU2-ukdzania+2021.pdf" TargetMode="External"/><Relationship Id="rId14" Type="http://schemas.openxmlformats.org/officeDocument/2006/relationships/hyperlink" Target="https://www.fsc.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E95A-9003-4887-819F-47625A75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28537</Words>
  <Characters>162665</Characters>
  <Application>Microsoft Office Word</Application>
  <DocSecurity>0</DocSecurity>
  <Lines>1355</Lines>
  <Paragraphs>381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Tsvetanka Stanisheva</dc:creator>
  <cp:keywords/>
  <dc:description/>
  <cp:lastModifiedBy>Irina Stoyanova</cp:lastModifiedBy>
  <cp:revision>3</cp:revision>
  <cp:lastPrinted>2025-08-15T08:09:00Z</cp:lastPrinted>
  <dcterms:created xsi:type="dcterms:W3CDTF">2025-08-21T12:29:00Z</dcterms:created>
  <dcterms:modified xsi:type="dcterms:W3CDTF">2025-08-21T12:29:00Z</dcterms:modified>
</cp:coreProperties>
</file>