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8B7" w:rsidRPr="00BB7F90" w:rsidRDefault="00602BCE" w:rsidP="00602BCE">
      <w:pPr>
        <w:jc w:val="center"/>
        <w:rPr>
          <w:b/>
        </w:rPr>
      </w:pPr>
      <w:r w:rsidRPr="00BB7F90">
        <w:rPr>
          <w:b/>
        </w:rPr>
        <w:t>Резултати от промяна на участието и прехвърляне на средства</w:t>
      </w:r>
      <w:r w:rsidRPr="00BD00CD">
        <w:rPr>
          <w:b/>
          <w:lang w:val="ru-RU"/>
        </w:rPr>
        <w:t xml:space="preserve"> </w:t>
      </w:r>
      <w:r w:rsidRPr="00BB7F90">
        <w:rPr>
          <w:b/>
        </w:rPr>
        <w:t>на осигурени лица от един в друг съответен пенсионен фонд</w:t>
      </w:r>
      <w:r w:rsidRPr="00BD00CD">
        <w:rPr>
          <w:b/>
          <w:lang w:val="ru-RU"/>
        </w:rPr>
        <w:t xml:space="preserve"> </w:t>
      </w:r>
      <w:r w:rsidR="00B538B7" w:rsidRPr="00BB7F90">
        <w:rPr>
          <w:b/>
        </w:rPr>
        <w:t xml:space="preserve">за </w:t>
      </w:r>
      <w:r w:rsidR="00BD00CD">
        <w:rPr>
          <w:b/>
        </w:rPr>
        <w:t>втор</w:t>
      </w:r>
      <w:r w:rsidR="00E066F4" w:rsidRPr="00BB7F90">
        <w:rPr>
          <w:b/>
        </w:rPr>
        <w:t>ото</w:t>
      </w:r>
      <w:r w:rsidR="00B538B7" w:rsidRPr="00BB7F90">
        <w:rPr>
          <w:b/>
        </w:rPr>
        <w:t xml:space="preserve"> тримесечие и за </w:t>
      </w:r>
      <w:r w:rsidR="00BD00CD">
        <w:rPr>
          <w:b/>
        </w:rPr>
        <w:t>полугод</w:t>
      </w:r>
      <w:r w:rsidR="00E066F4" w:rsidRPr="00BB7F90">
        <w:rPr>
          <w:b/>
        </w:rPr>
        <w:t>ието</w:t>
      </w:r>
      <w:r w:rsidR="00B538B7" w:rsidRPr="00BB7F90">
        <w:rPr>
          <w:b/>
        </w:rPr>
        <w:t xml:space="preserve"> на 20</w:t>
      </w:r>
      <w:r w:rsidR="00C805D5" w:rsidRPr="00BD00CD">
        <w:rPr>
          <w:b/>
          <w:lang w:val="ru-RU"/>
        </w:rPr>
        <w:t>2</w:t>
      </w:r>
      <w:r w:rsidR="00BD00CD">
        <w:rPr>
          <w:b/>
          <w:lang w:val="ru-RU"/>
        </w:rPr>
        <w:t>4</w:t>
      </w:r>
      <w:r w:rsidR="00B538B7" w:rsidRPr="00BB7F90">
        <w:rPr>
          <w:b/>
        </w:rPr>
        <w:t xml:space="preserve"> г.</w:t>
      </w:r>
    </w:p>
    <w:p w:rsidR="00602BCE" w:rsidRPr="00BB7F90" w:rsidRDefault="00602BCE" w:rsidP="00602BCE">
      <w:pPr>
        <w:jc w:val="center"/>
        <w:rPr>
          <w:b/>
        </w:rPr>
      </w:pPr>
    </w:p>
    <w:p w:rsidR="00B538B7" w:rsidRDefault="00B538B7" w:rsidP="009A00B7">
      <w:pPr>
        <w:spacing w:before="120" w:after="120"/>
        <w:ind w:firstLine="720"/>
        <w:jc w:val="both"/>
        <w:rPr>
          <w:b/>
        </w:rPr>
      </w:pPr>
      <w:r w:rsidRPr="00BB7F90">
        <w:rPr>
          <w:b/>
        </w:rPr>
        <w:t xml:space="preserve">1. </w:t>
      </w:r>
      <w:r w:rsidR="00BD00CD">
        <w:rPr>
          <w:b/>
        </w:rPr>
        <w:t>Втор</w:t>
      </w:r>
      <w:r w:rsidR="00D75700" w:rsidRPr="00BB7F90">
        <w:rPr>
          <w:b/>
        </w:rPr>
        <w:t>о</w:t>
      </w:r>
      <w:r w:rsidRPr="00BB7F90">
        <w:rPr>
          <w:b/>
        </w:rPr>
        <w:t xml:space="preserve"> тримесечие на 20</w:t>
      </w:r>
      <w:r w:rsidR="00C805D5" w:rsidRPr="00BD00CD">
        <w:rPr>
          <w:b/>
          <w:lang w:val="ru-RU"/>
        </w:rPr>
        <w:t>2</w:t>
      </w:r>
      <w:r w:rsidR="00BD00CD">
        <w:rPr>
          <w:b/>
          <w:lang w:val="ru-RU"/>
        </w:rPr>
        <w:t>4</w:t>
      </w:r>
      <w:r w:rsidRPr="00BB7F90">
        <w:rPr>
          <w:b/>
        </w:rPr>
        <w:t xml:space="preserve"> г.</w:t>
      </w:r>
    </w:p>
    <w:p w:rsidR="00BD00CD" w:rsidRPr="00465FF9" w:rsidRDefault="00BD00CD" w:rsidP="00BD00CD">
      <w:pPr>
        <w:spacing w:before="120" w:after="120"/>
        <w:ind w:firstLine="709"/>
        <w:jc w:val="both"/>
      </w:pPr>
      <w:r w:rsidRPr="00465FF9">
        <w:t>През второто тримесечие на 20</w:t>
      </w:r>
      <w:r w:rsidRPr="00465FF9">
        <w:rPr>
          <w:lang w:val="ru-RU"/>
        </w:rPr>
        <w:t xml:space="preserve">24 </w:t>
      </w:r>
      <w:r w:rsidRPr="00465FF9">
        <w:t xml:space="preserve">г. в пенсионноосигурителните дружества са подадени общо </w:t>
      </w:r>
      <w:r w:rsidRPr="00465FF9">
        <w:rPr>
          <w:lang w:val="ru-RU"/>
        </w:rPr>
        <w:t>125</w:t>
      </w:r>
      <w:r w:rsidRPr="00465FF9">
        <w:rPr>
          <w:color w:val="000000"/>
        </w:rPr>
        <w:t> 312</w:t>
      </w:r>
      <w:r w:rsidRPr="00465FF9">
        <w:rPr>
          <w:lang w:val="ru-RU"/>
        </w:rPr>
        <w:t xml:space="preserve"> </w:t>
      </w:r>
      <w:r w:rsidRPr="00465FF9">
        <w:t>заявления за промяна на участие и прехвърляне на средствата от един пенсионен фонд в друг.</w:t>
      </w:r>
    </w:p>
    <w:p w:rsidR="00BD00CD" w:rsidRPr="00465FF9" w:rsidRDefault="00BD00CD" w:rsidP="00BD00CD">
      <w:pPr>
        <w:spacing w:before="120" w:after="120"/>
        <w:ind w:firstLine="709"/>
        <w:jc w:val="both"/>
      </w:pPr>
      <w:r w:rsidRPr="00465FF9">
        <w:t xml:space="preserve">Общо </w:t>
      </w:r>
      <w:r w:rsidRPr="00465FF9">
        <w:rPr>
          <w:lang w:val="ru-RU"/>
        </w:rPr>
        <w:t>95</w:t>
      </w:r>
      <w:r w:rsidRPr="00465FF9">
        <w:rPr>
          <w:lang w:val="en-US"/>
        </w:rPr>
        <w:t> </w:t>
      </w:r>
      <w:r w:rsidRPr="00465FF9">
        <w:t>227</w:t>
      </w:r>
      <w:r w:rsidRPr="00465FF9">
        <w:rPr>
          <w:lang w:val="ru-RU"/>
        </w:rPr>
        <w:t xml:space="preserve"> </w:t>
      </w:r>
      <w:r w:rsidRPr="00465FF9">
        <w:t>осигурени лица от подалите заявления през второто тримесечие на 2024 г. са променили участието си във фондовете за допълнително пенсионно осигуряване. В сравнение с първото тримесечие на 2024 г., когато броят на лицата с променено участие е бил 89</w:t>
      </w:r>
      <w:r w:rsidRPr="00465FF9">
        <w:rPr>
          <w:lang w:val="en-US"/>
        </w:rPr>
        <w:t> </w:t>
      </w:r>
      <w:r w:rsidRPr="00465FF9">
        <w:t>774, се наблюдава нарастване с 5</w:t>
      </w:r>
      <w:r w:rsidRPr="00465FF9">
        <w:rPr>
          <w:color w:val="000000"/>
        </w:rPr>
        <w:t> 453</w:t>
      </w:r>
      <w:r w:rsidRPr="00465FF9">
        <w:t xml:space="preserve"> лица или 6,07 на сто.</w:t>
      </w:r>
    </w:p>
    <w:p w:rsidR="00BD00CD" w:rsidRPr="00465FF9" w:rsidRDefault="00BD00CD" w:rsidP="00BD00CD">
      <w:pPr>
        <w:spacing w:before="120" w:after="120"/>
        <w:ind w:firstLine="709"/>
        <w:jc w:val="both"/>
      </w:pPr>
      <w:r w:rsidRPr="00465FF9">
        <w:t>През отчетния период броят на лицата, променили участието си в универсалните пенсионни фондове е 88</w:t>
      </w:r>
      <w:r w:rsidRPr="00465FF9">
        <w:rPr>
          <w:color w:val="000000"/>
        </w:rPr>
        <w:t> 915</w:t>
      </w:r>
      <w:r w:rsidRPr="00465FF9">
        <w:t xml:space="preserve"> лица, а броят на променилите участието си в професионалните фондове – 5</w:t>
      </w:r>
      <w:r w:rsidRPr="00465FF9">
        <w:rPr>
          <w:color w:val="000000"/>
        </w:rPr>
        <w:t> 986</w:t>
      </w:r>
      <w:r w:rsidRPr="00465FF9">
        <w:t xml:space="preserve"> лица. Най-малко осигурени лица са променили участието си в доброволните пенсионни фондове – 326 броя. Относителният дял на лицата, променили участието си, спрямо средния брой осигурени лица в универсалните пенсионни фондове е 2,20 на сто, в професионалните – 1,82 на сто и в доброволните пенсионни фондове – 0,05 на сто.</w:t>
      </w:r>
    </w:p>
    <w:p w:rsidR="00BD00CD" w:rsidRPr="00465FF9" w:rsidRDefault="00BD00CD" w:rsidP="00BD00CD">
      <w:pPr>
        <w:spacing w:before="120" w:after="120"/>
        <w:ind w:firstLine="709"/>
        <w:jc w:val="both"/>
      </w:pPr>
      <w:r w:rsidRPr="00465FF9">
        <w:t>Общата сума на прехвърлените средства на осигурени лица с променено участие, подали заявления през второто тримесечие на годината</w:t>
      </w:r>
      <w:r w:rsidRPr="00465FF9">
        <w:rPr>
          <w:lang w:val="ru-RU"/>
        </w:rPr>
        <w:t>,</w:t>
      </w:r>
      <w:r w:rsidRPr="00465FF9">
        <w:t xml:space="preserve"> е 464</w:t>
      </w:r>
      <w:r w:rsidRPr="00465FF9">
        <w:rPr>
          <w:color w:val="000000"/>
        </w:rPr>
        <w:t> 394</w:t>
      </w:r>
      <w:r w:rsidRPr="00465FF9">
        <w:t> 976 лв., в т. ч. 432</w:t>
      </w:r>
      <w:r w:rsidRPr="00465FF9">
        <w:rPr>
          <w:color w:val="000000"/>
        </w:rPr>
        <w:t> 882</w:t>
      </w:r>
      <w:r w:rsidRPr="00465FF9">
        <w:t> 649  лв. в универсалните фондове, 30</w:t>
      </w:r>
      <w:r w:rsidRPr="00465FF9">
        <w:rPr>
          <w:color w:val="000000"/>
        </w:rPr>
        <w:t> 295 258</w:t>
      </w:r>
      <w:r w:rsidRPr="00465FF9">
        <w:t xml:space="preserve"> лв. в професионалните и 1 217 070 лв. в доброволните фондове. Общият размер на прехвърлените средства в сравнение с първото тримесечие на 2024 г. е нараснал с 38 769</w:t>
      </w:r>
      <w:r w:rsidRPr="00465FF9">
        <w:rPr>
          <w:color w:val="000000"/>
        </w:rPr>
        <w:t> 076</w:t>
      </w:r>
      <w:r w:rsidRPr="00465FF9">
        <w:rPr>
          <w:lang w:val="ru-RU"/>
        </w:rPr>
        <w:t xml:space="preserve"> </w:t>
      </w:r>
      <w:r w:rsidRPr="00465FF9">
        <w:t>лв. или с 9,11 на сто. Относителният дял на прехвърлените средства, спрямо средния размер на нетните активи на универсалните пенсионни фондове е 2,05 на сто, на професионалните – 1,85 на сто и на доброволните пенсионни фондове – 0,08 на сто. Средният размер на прехвърлените средства на едно осигурено лице, променило участието си през второто тримесечие на 2024 г. е 4</w:t>
      </w:r>
      <w:r w:rsidRPr="00465FF9">
        <w:rPr>
          <w:color w:val="000000"/>
        </w:rPr>
        <w:t> 876</w:t>
      </w:r>
      <w:r w:rsidRPr="00465FF9">
        <w:t>,72 лв.</w:t>
      </w:r>
    </w:p>
    <w:p w:rsidR="00BD00CD" w:rsidRPr="00BB7F90" w:rsidRDefault="00BD00CD" w:rsidP="009A00B7">
      <w:pPr>
        <w:spacing w:before="120" w:after="120"/>
        <w:ind w:firstLine="720"/>
        <w:jc w:val="both"/>
        <w:rPr>
          <w:b/>
        </w:rPr>
      </w:pPr>
    </w:p>
    <w:p w:rsidR="00B538B7" w:rsidRPr="00BB7F90" w:rsidRDefault="00B538B7" w:rsidP="009A00B7">
      <w:pPr>
        <w:spacing w:before="120" w:after="120"/>
        <w:ind w:firstLine="720"/>
        <w:jc w:val="both"/>
        <w:rPr>
          <w:b/>
        </w:rPr>
      </w:pPr>
      <w:r w:rsidRPr="00BB7F90">
        <w:rPr>
          <w:b/>
        </w:rPr>
        <w:t xml:space="preserve">2. </w:t>
      </w:r>
      <w:r w:rsidR="00BD00CD">
        <w:rPr>
          <w:b/>
        </w:rPr>
        <w:t>Първо полугод</w:t>
      </w:r>
      <w:r w:rsidR="007E1367" w:rsidRPr="00BB7F90">
        <w:rPr>
          <w:b/>
        </w:rPr>
        <w:t xml:space="preserve">ие </w:t>
      </w:r>
      <w:r w:rsidRPr="00BB7F90">
        <w:rPr>
          <w:b/>
        </w:rPr>
        <w:t>на 20</w:t>
      </w:r>
      <w:r w:rsidR="00C805D5" w:rsidRPr="00BB7F90">
        <w:rPr>
          <w:b/>
        </w:rPr>
        <w:t>2</w:t>
      </w:r>
      <w:r w:rsidR="00BD00CD">
        <w:rPr>
          <w:b/>
          <w:lang w:val="ru-RU"/>
        </w:rPr>
        <w:t>4</w:t>
      </w:r>
      <w:r w:rsidRPr="00BB7F90">
        <w:rPr>
          <w:b/>
        </w:rPr>
        <w:t xml:space="preserve"> г.</w:t>
      </w:r>
    </w:p>
    <w:p w:rsidR="00BD00CD" w:rsidRPr="00465FF9" w:rsidRDefault="00BD00CD" w:rsidP="00BD00CD">
      <w:pPr>
        <w:spacing w:before="120" w:after="120"/>
        <w:ind w:firstLine="709"/>
        <w:jc w:val="both"/>
      </w:pPr>
      <w:r w:rsidRPr="00465FF9">
        <w:t>Осигурените лица, възползвали се от правото си за промяна на участие и прехвърляне на средства от индивидуалните партиди през първите шест месеца на 2024 г. са общо 185 001. Относителният дял на лицата, променили участието си през периода, спрямо средния брой осигурени лица в универсалните пенсионни фондове е 4,28 на сто, в професионалните – 3,58 на сто и в доброволните пенсионни фондове – 0,09 на сто.</w:t>
      </w:r>
    </w:p>
    <w:p w:rsidR="00F508C8" w:rsidRPr="00465FF9" w:rsidRDefault="00BD00CD" w:rsidP="00BD00CD">
      <w:pPr>
        <w:spacing w:before="120" w:after="120"/>
        <w:ind w:firstLine="709"/>
        <w:jc w:val="both"/>
      </w:pPr>
      <w:r w:rsidRPr="00465FF9">
        <w:t>Общият размер на прехвърлените средства през шестмесечието на годината от един в друг съответен фонд е 890 020 877 лв., в т. ч. 826 948 828 лв. в универсалните фондове, 60 76</w:t>
      </w:r>
      <w:bookmarkStart w:id="0" w:name="_GoBack"/>
      <w:bookmarkEnd w:id="0"/>
      <w:r w:rsidRPr="00465FF9">
        <w:t>9 625 лв. в професионалните и 2 302 424 лв. в доброволните фондове. Относителният дял на прехвърлените средства, спрямо средния размер на нетните активи на универсалните пенсионни фондове е 4,00 на сто, на професионалните – 3,78 на сто и на доброволните пенсионни фондове – 0,16 на сто.</w:t>
      </w:r>
    </w:p>
    <w:sectPr w:rsidR="00F508C8" w:rsidRPr="00465F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8B7"/>
    <w:rsid w:val="0001722C"/>
    <w:rsid w:val="00024B1B"/>
    <w:rsid w:val="00025902"/>
    <w:rsid w:val="000263B9"/>
    <w:rsid w:val="000410A9"/>
    <w:rsid w:val="000418E3"/>
    <w:rsid w:val="0004586A"/>
    <w:rsid w:val="00091C12"/>
    <w:rsid w:val="00095960"/>
    <w:rsid w:val="000B1A17"/>
    <w:rsid w:val="000E1E3B"/>
    <w:rsid w:val="001008D6"/>
    <w:rsid w:val="001053DB"/>
    <w:rsid w:val="00114F6F"/>
    <w:rsid w:val="001351D7"/>
    <w:rsid w:val="001369E0"/>
    <w:rsid w:val="001379E8"/>
    <w:rsid w:val="00141E05"/>
    <w:rsid w:val="0014695F"/>
    <w:rsid w:val="00146F15"/>
    <w:rsid w:val="0015429F"/>
    <w:rsid w:val="00155BFD"/>
    <w:rsid w:val="001608A2"/>
    <w:rsid w:val="00164C6F"/>
    <w:rsid w:val="0017431D"/>
    <w:rsid w:val="001A5BA2"/>
    <w:rsid w:val="001B1959"/>
    <w:rsid w:val="001B7DA3"/>
    <w:rsid w:val="001C6D2D"/>
    <w:rsid w:val="001E5911"/>
    <w:rsid w:val="00206BA3"/>
    <w:rsid w:val="00227088"/>
    <w:rsid w:val="00237340"/>
    <w:rsid w:val="0025071A"/>
    <w:rsid w:val="002545D5"/>
    <w:rsid w:val="00257EBA"/>
    <w:rsid w:val="002649FC"/>
    <w:rsid w:val="002653E8"/>
    <w:rsid w:val="00292A97"/>
    <w:rsid w:val="002A3103"/>
    <w:rsid w:val="002A4D31"/>
    <w:rsid w:val="002B0063"/>
    <w:rsid w:val="002C523A"/>
    <w:rsid w:val="002C640E"/>
    <w:rsid w:val="002D24EB"/>
    <w:rsid w:val="002F5CE9"/>
    <w:rsid w:val="003311C3"/>
    <w:rsid w:val="003346B6"/>
    <w:rsid w:val="00352BD8"/>
    <w:rsid w:val="00362C0C"/>
    <w:rsid w:val="00380A61"/>
    <w:rsid w:val="003A3EAB"/>
    <w:rsid w:val="003B268A"/>
    <w:rsid w:val="003C2ECF"/>
    <w:rsid w:val="003D0834"/>
    <w:rsid w:val="003D40DE"/>
    <w:rsid w:val="003E3604"/>
    <w:rsid w:val="00420DE7"/>
    <w:rsid w:val="0043523B"/>
    <w:rsid w:val="00435AFF"/>
    <w:rsid w:val="00445CC7"/>
    <w:rsid w:val="00454E1D"/>
    <w:rsid w:val="00465FF9"/>
    <w:rsid w:val="0048264A"/>
    <w:rsid w:val="004957EA"/>
    <w:rsid w:val="004A5F03"/>
    <w:rsid w:val="004C1540"/>
    <w:rsid w:val="00515227"/>
    <w:rsid w:val="00546E0C"/>
    <w:rsid w:val="00556DAB"/>
    <w:rsid w:val="00560441"/>
    <w:rsid w:val="00573649"/>
    <w:rsid w:val="005909B4"/>
    <w:rsid w:val="00593055"/>
    <w:rsid w:val="005A2748"/>
    <w:rsid w:val="005C218D"/>
    <w:rsid w:val="005C4E33"/>
    <w:rsid w:val="005D59B0"/>
    <w:rsid w:val="005E6629"/>
    <w:rsid w:val="005F2B3C"/>
    <w:rsid w:val="005F3D23"/>
    <w:rsid w:val="00602BCE"/>
    <w:rsid w:val="00611A57"/>
    <w:rsid w:val="0063381D"/>
    <w:rsid w:val="006A6955"/>
    <w:rsid w:val="006C5506"/>
    <w:rsid w:val="006D55E0"/>
    <w:rsid w:val="00746F7D"/>
    <w:rsid w:val="007474C0"/>
    <w:rsid w:val="0075416B"/>
    <w:rsid w:val="007865BE"/>
    <w:rsid w:val="007B6D78"/>
    <w:rsid w:val="007D28D0"/>
    <w:rsid w:val="007D4904"/>
    <w:rsid w:val="007D63DA"/>
    <w:rsid w:val="007E1367"/>
    <w:rsid w:val="007E2EC5"/>
    <w:rsid w:val="007E7BC6"/>
    <w:rsid w:val="007F1D1C"/>
    <w:rsid w:val="00800205"/>
    <w:rsid w:val="00810EC3"/>
    <w:rsid w:val="00817728"/>
    <w:rsid w:val="00824D65"/>
    <w:rsid w:val="00840D39"/>
    <w:rsid w:val="00861B70"/>
    <w:rsid w:val="0086490F"/>
    <w:rsid w:val="00865D21"/>
    <w:rsid w:val="00874808"/>
    <w:rsid w:val="00877B21"/>
    <w:rsid w:val="008A0D6F"/>
    <w:rsid w:val="008C10D0"/>
    <w:rsid w:val="008D1C55"/>
    <w:rsid w:val="008D5A58"/>
    <w:rsid w:val="008F1898"/>
    <w:rsid w:val="008F6230"/>
    <w:rsid w:val="009213F1"/>
    <w:rsid w:val="009740AC"/>
    <w:rsid w:val="00980DB7"/>
    <w:rsid w:val="00981064"/>
    <w:rsid w:val="009851AF"/>
    <w:rsid w:val="00991405"/>
    <w:rsid w:val="009959D6"/>
    <w:rsid w:val="009A00B7"/>
    <w:rsid w:val="009A21D4"/>
    <w:rsid w:val="009D5B2F"/>
    <w:rsid w:val="009E46C1"/>
    <w:rsid w:val="00A056E2"/>
    <w:rsid w:val="00A05CB9"/>
    <w:rsid w:val="00A11693"/>
    <w:rsid w:val="00A14E3E"/>
    <w:rsid w:val="00A20744"/>
    <w:rsid w:val="00A22B4D"/>
    <w:rsid w:val="00A60113"/>
    <w:rsid w:val="00A62171"/>
    <w:rsid w:val="00A643C4"/>
    <w:rsid w:val="00A65B20"/>
    <w:rsid w:val="00A73308"/>
    <w:rsid w:val="00AD15DF"/>
    <w:rsid w:val="00AD4B67"/>
    <w:rsid w:val="00AF45AD"/>
    <w:rsid w:val="00B11288"/>
    <w:rsid w:val="00B23D02"/>
    <w:rsid w:val="00B538B7"/>
    <w:rsid w:val="00B548C0"/>
    <w:rsid w:val="00B622B6"/>
    <w:rsid w:val="00B966CE"/>
    <w:rsid w:val="00BA42BD"/>
    <w:rsid w:val="00BB7F90"/>
    <w:rsid w:val="00BC4CCE"/>
    <w:rsid w:val="00BD00CD"/>
    <w:rsid w:val="00BE5DFE"/>
    <w:rsid w:val="00BE7A9A"/>
    <w:rsid w:val="00BF3C51"/>
    <w:rsid w:val="00BF5BC2"/>
    <w:rsid w:val="00C00071"/>
    <w:rsid w:val="00C1319C"/>
    <w:rsid w:val="00C33E12"/>
    <w:rsid w:val="00C42C7F"/>
    <w:rsid w:val="00C54F9C"/>
    <w:rsid w:val="00C66CC1"/>
    <w:rsid w:val="00C776F5"/>
    <w:rsid w:val="00C805D5"/>
    <w:rsid w:val="00C97ED4"/>
    <w:rsid w:val="00CB2A39"/>
    <w:rsid w:val="00CB4CCD"/>
    <w:rsid w:val="00CB56DA"/>
    <w:rsid w:val="00CF1332"/>
    <w:rsid w:val="00CF32E9"/>
    <w:rsid w:val="00D05B9E"/>
    <w:rsid w:val="00D12876"/>
    <w:rsid w:val="00D32AFD"/>
    <w:rsid w:val="00D34847"/>
    <w:rsid w:val="00D52B44"/>
    <w:rsid w:val="00D650A1"/>
    <w:rsid w:val="00D707D6"/>
    <w:rsid w:val="00D75700"/>
    <w:rsid w:val="00DC0316"/>
    <w:rsid w:val="00DF20F8"/>
    <w:rsid w:val="00DF6084"/>
    <w:rsid w:val="00E066F4"/>
    <w:rsid w:val="00E11E25"/>
    <w:rsid w:val="00E22C28"/>
    <w:rsid w:val="00E32E24"/>
    <w:rsid w:val="00E43B55"/>
    <w:rsid w:val="00E5746A"/>
    <w:rsid w:val="00E664DA"/>
    <w:rsid w:val="00EB59B5"/>
    <w:rsid w:val="00EC1E86"/>
    <w:rsid w:val="00ED0D3E"/>
    <w:rsid w:val="00EE0D5C"/>
    <w:rsid w:val="00EE667C"/>
    <w:rsid w:val="00EF3C63"/>
    <w:rsid w:val="00F2406D"/>
    <w:rsid w:val="00F278E4"/>
    <w:rsid w:val="00F41DC0"/>
    <w:rsid w:val="00F508C8"/>
    <w:rsid w:val="00F56C82"/>
    <w:rsid w:val="00F60F48"/>
    <w:rsid w:val="00F748AF"/>
    <w:rsid w:val="00F74FA4"/>
    <w:rsid w:val="00F75074"/>
    <w:rsid w:val="00F87D99"/>
    <w:rsid w:val="00FA0AF6"/>
    <w:rsid w:val="00FD65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299C4"/>
  <w15:chartTrackingRefBased/>
  <w15:docId w15:val="{680AB926-7A73-4AEE-BD81-FEF4BC273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8B7"/>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224">
      <w:bodyDiv w:val="1"/>
      <w:marLeft w:val="0"/>
      <w:marRight w:val="0"/>
      <w:marTop w:val="0"/>
      <w:marBottom w:val="0"/>
      <w:divBdr>
        <w:top w:val="none" w:sz="0" w:space="0" w:color="auto"/>
        <w:left w:val="none" w:sz="0" w:space="0" w:color="auto"/>
        <w:bottom w:val="none" w:sz="0" w:space="0" w:color="auto"/>
        <w:right w:val="none" w:sz="0" w:space="0" w:color="auto"/>
      </w:divBdr>
    </w:div>
    <w:div w:id="221404429">
      <w:bodyDiv w:val="1"/>
      <w:marLeft w:val="0"/>
      <w:marRight w:val="0"/>
      <w:marTop w:val="0"/>
      <w:marBottom w:val="0"/>
      <w:divBdr>
        <w:top w:val="none" w:sz="0" w:space="0" w:color="auto"/>
        <w:left w:val="none" w:sz="0" w:space="0" w:color="auto"/>
        <w:bottom w:val="none" w:sz="0" w:space="0" w:color="auto"/>
        <w:right w:val="none" w:sz="0" w:space="0" w:color="auto"/>
      </w:divBdr>
    </w:div>
    <w:div w:id="312950059">
      <w:bodyDiv w:val="1"/>
      <w:marLeft w:val="0"/>
      <w:marRight w:val="0"/>
      <w:marTop w:val="0"/>
      <w:marBottom w:val="0"/>
      <w:divBdr>
        <w:top w:val="none" w:sz="0" w:space="0" w:color="auto"/>
        <w:left w:val="none" w:sz="0" w:space="0" w:color="auto"/>
        <w:bottom w:val="none" w:sz="0" w:space="0" w:color="auto"/>
        <w:right w:val="none" w:sz="0" w:space="0" w:color="auto"/>
      </w:divBdr>
    </w:div>
    <w:div w:id="470248778">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75629984">
      <w:bodyDiv w:val="1"/>
      <w:marLeft w:val="0"/>
      <w:marRight w:val="0"/>
      <w:marTop w:val="0"/>
      <w:marBottom w:val="0"/>
      <w:divBdr>
        <w:top w:val="none" w:sz="0" w:space="0" w:color="auto"/>
        <w:left w:val="none" w:sz="0" w:space="0" w:color="auto"/>
        <w:bottom w:val="none" w:sz="0" w:space="0" w:color="auto"/>
        <w:right w:val="none" w:sz="0" w:space="0" w:color="auto"/>
      </w:divBdr>
    </w:div>
    <w:div w:id="652107452">
      <w:bodyDiv w:val="1"/>
      <w:marLeft w:val="0"/>
      <w:marRight w:val="0"/>
      <w:marTop w:val="0"/>
      <w:marBottom w:val="0"/>
      <w:divBdr>
        <w:top w:val="none" w:sz="0" w:space="0" w:color="auto"/>
        <w:left w:val="none" w:sz="0" w:space="0" w:color="auto"/>
        <w:bottom w:val="none" w:sz="0" w:space="0" w:color="auto"/>
        <w:right w:val="none" w:sz="0" w:space="0" w:color="auto"/>
      </w:divBdr>
    </w:div>
    <w:div w:id="759378502">
      <w:bodyDiv w:val="1"/>
      <w:marLeft w:val="0"/>
      <w:marRight w:val="0"/>
      <w:marTop w:val="0"/>
      <w:marBottom w:val="0"/>
      <w:divBdr>
        <w:top w:val="none" w:sz="0" w:space="0" w:color="auto"/>
        <w:left w:val="none" w:sz="0" w:space="0" w:color="auto"/>
        <w:bottom w:val="none" w:sz="0" w:space="0" w:color="auto"/>
        <w:right w:val="none" w:sz="0" w:space="0" w:color="auto"/>
      </w:divBdr>
    </w:div>
    <w:div w:id="824319871">
      <w:bodyDiv w:val="1"/>
      <w:marLeft w:val="0"/>
      <w:marRight w:val="0"/>
      <w:marTop w:val="0"/>
      <w:marBottom w:val="0"/>
      <w:divBdr>
        <w:top w:val="none" w:sz="0" w:space="0" w:color="auto"/>
        <w:left w:val="none" w:sz="0" w:space="0" w:color="auto"/>
        <w:bottom w:val="none" w:sz="0" w:space="0" w:color="auto"/>
        <w:right w:val="none" w:sz="0" w:space="0" w:color="auto"/>
      </w:divBdr>
    </w:div>
    <w:div w:id="832641574">
      <w:bodyDiv w:val="1"/>
      <w:marLeft w:val="0"/>
      <w:marRight w:val="0"/>
      <w:marTop w:val="0"/>
      <w:marBottom w:val="0"/>
      <w:divBdr>
        <w:top w:val="none" w:sz="0" w:space="0" w:color="auto"/>
        <w:left w:val="none" w:sz="0" w:space="0" w:color="auto"/>
        <w:bottom w:val="none" w:sz="0" w:space="0" w:color="auto"/>
        <w:right w:val="none" w:sz="0" w:space="0" w:color="auto"/>
      </w:divBdr>
    </w:div>
    <w:div w:id="1088383497">
      <w:bodyDiv w:val="1"/>
      <w:marLeft w:val="0"/>
      <w:marRight w:val="0"/>
      <w:marTop w:val="0"/>
      <w:marBottom w:val="0"/>
      <w:divBdr>
        <w:top w:val="none" w:sz="0" w:space="0" w:color="auto"/>
        <w:left w:val="none" w:sz="0" w:space="0" w:color="auto"/>
        <w:bottom w:val="none" w:sz="0" w:space="0" w:color="auto"/>
        <w:right w:val="none" w:sz="0" w:space="0" w:color="auto"/>
      </w:divBdr>
    </w:div>
    <w:div w:id="1159888109">
      <w:bodyDiv w:val="1"/>
      <w:marLeft w:val="0"/>
      <w:marRight w:val="0"/>
      <w:marTop w:val="0"/>
      <w:marBottom w:val="0"/>
      <w:divBdr>
        <w:top w:val="none" w:sz="0" w:space="0" w:color="auto"/>
        <w:left w:val="none" w:sz="0" w:space="0" w:color="auto"/>
        <w:bottom w:val="none" w:sz="0" w:space="0" w:color="auto"/>
        <w:right w:val="none" w:sz="0" w:space="0" w:color="auto"/>
      </w:divBdr>
    </w:div>
    <w:div w:id="1197038569">
      <w:bodyDiv w:val="1"/>
      <w:marLeft w:val="0"/>
      <w:marRight w:val="0"/>
      <w:marTop w:val="0"/>
      <w:marBottom w:val="0"/>
      <w:divBdr>
        <w:top w:val="none" w:sz="0" w:space="0" w:color="auto"/>
        <w:left w:val="none" w:sz="0" w:space="0" w:color="auto"/>
        <w:bottom w:val="none" w:sz="0" w:space="0" w:color="auto"/>
        <w:right w:val="none" w:sz="0" w:space="0" w:color="auto"/>
      </w:divBdr>
    </w:div>
    <w:div w:id="1335063654">
      <w:bodyDiv w:val="1"/>
      <w:marLeft w:val="0"/>
      <w:marRight w:val="0"/>
      <w:marTop w:val="0"/>
      <w:marBottom w:val="0"/>
      <w:divBdr>
        <w:top w:val="none" w:sz="0" w:space="0" w:color="auto"/>
        <w:left w:val="none" w:sz="0" w:space="0" w:color="auto"/>
        <w:bottom w:val="none" w:sz="0" w:space="0" w:color="auto"/>
        <w:right w:val="none" w:sz="0" w:space="0" w:color="auto"/>
      </w:divBdr>
    </w:div>
    <w:div w:id="1365717576">
      <w:bodyDiv w:val="1"/>
      <w:marLeft w:val="0"/>
      <w:marRight w:val="0"/>
      <w:marTop w:val="0"/>
      <w:marBottom w:val="0"/>
      <w:divBdr>
        <w:top w:val="none" w:sz="0" w:space="0" w:color="auto"/>
        <w:left w:val="none" w:sz="0" w:space="0" w:color="auto"/>
        <w:bottom w:val="none" w:sz="0" w:space="0" w:color="auto"/>
        <w:right w:val="none" w:sz="0" w:space="0" w:color="auto"/>
      </w:divBdr>
    </w:div>
    <w:div w:id="1453524123">
      <w:bodyDiv w:val="1"/>
      <w:marLeft w:val="0"/>
      <w:marRight w:val="0"/>
      <w:marTop w:val="0"/>
      <w:marBottom w:val="0"/>
      <w:divBdr>
        <w:top w:val="none" w:sz="0" w:space="0" w:color="auto"/>
        <w:left w:val="none" w:sz="0" w:space="0" w:color="auto"/>
        <w:bottom w:val="none" w:sz="0" w:space="0" w:color="auto"/>
        <w:right w:val="none" w:sz="0" w:space="0" w:color="auto"/>
      </w:divBdr>
    </w:div>
    <w:div w:id="1515077250">
      <w:bodyDiv w:val="1"/>
      <w:marLeft w:val="0"/>
      <w:marRight w:val="0"/>
      <w:marTop w:val="0"/>
      <w:marBottom w:val="0"/>
      <w:divBdr>
        <w:top w:val="none" w:sz="0" w:space="0" w:color="auto"/>
        <w:left w:val="none" w:sz="0" w:space="0" w:color="auto"/>
        <w:bottom w:val="none" w:sz="0" w:space="0" w:color="auto"/>
        <w:right w:val="none" w:sz="0" w:space="0" w:color="auto"/>
      </w:divBdr>
    </w:div>
    <w:div w:id="1640065750">
      <w:bodyDiv w:val="1"/>
      <w:marLeft w:val="0"/>
      <w:marRight w:val="0"/>
      <w:marTop w:val="0"/>
      <w:marBottom w:val="0"/>
      <w:divBdr>
        <w:top w:val="none" w:sz="0" w:space="0" w:color="auto"/>
        <w:left w:val="none" w:sz="0" w:space="0" w:color="auto"/>
        <w:bottom w:val="none" w:sz="0" w:space="0" w:color="auto"/>
        <w:right w:val="none" w:sz="0" w:space="0" w:color="auto"/>
      </w:divBdr>
    </w:div>
    <w:div w:id="180900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Резултати от промяна на участието и прехвърляне на средства</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Резултати от промяна на участието и прехвърляне на средства</dc:title>
  <dc:subject/>
  <dc:creator>milchev_p</dc:creator>
  <cp:keywords/>
  <cp:lastModifiedBy>Valentina Lilova</cp:lastModifiedBy>
  <cp:revision>3</cp:revision>
  <cp:lastPrinted>2016-08-29T08:09:00Z</cp:lastPrinted>
  <dcterms:created xsi:type="dcterms:W3CDTF">2024-08-27T06:57:00Z</dcterms:created>
  <dcterms:modified xsi:type="dcterms:W3CDTF">2024-08-27T06:58:00Z</dcterms:modified>
</cp:coreProperties>
</file>