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69C47" w14:textId="2CC90635" w:rsidR="00273C67" w:rsidRPr="009A5F02" w:rsidRDefault="00273C67" w:rsidP="00273C67">
      <w:pPr>
        <w:pStyle w:val="NormalWeb"/>
        <w:spacing w:before="0" w:beforeAutospacing="0" w:after="0" w:afterAutospacing="0"/>
        <w:jc w:val="center"/>
        <w:rPr>
          <w:b/>
          <w:bCs/>
          <w:sz w:val="20"/>
          <w:szCs w:val="20"/>
          <w:lang w:val="en-US"/>
        </w:rPr>
      </w:pPr>
      <w:r w:rsidRPr="009A5F02">
        <w:rPr>
          <w:b/>
          <w:bCs/>
          <w:sz w:val="20"/>
          <w:szCs w:val="20"/>
          <w:u w:val="single"/>
          <w:lang w:val="en-US"/>
        </w:rPr>
        <w:t xml:space="preserve">Overview of the (non-material) modifications in the prospectus + </w:t>
      </w:r>
      <w:r w:rsidRPr="009A5F02">
        <w:rPr>
          <w:b/>
          <w:bCs/>
          <w:i/>
          <w:iCs/>
          <w:color w:val="00B0F0"/>
          <w:sz w:val="20"/>
          <w:szCs w:val="20"/>
          <w:u w:val="single"/>
          <w:lang w:val="en-US"/>
        </w:rPr>
        <w:t>scope</w:t>
      </w:r>
      <w:r w:rsidRPr="009A5F02">
        <w:rPr>
          <w:b/>
          <w:bCs/>
          <w:sz w:val="20"/>
          <w:szCs w:val="20"/>
          <w:u w:val="single"/>
          <w:lang w:val="en-US"/>
        </w:rPr>
        <w:t>:</w:t>
      </w:r>
    </w:p>
    <w:p w14:paraId="5D5FBD18" w14:textId="77777777" w:rsidR="00273C67" w:rsidRPr="009A5F02" w:rsidRDefault="00273C67" w:rsidP="00273C67">
      <w:pPr>
        <w:pStyle w:val="NormalWeb"/>
        <w:spacing w:before="0" w:beforeAutospacing="0" w:after="0" w:afterAutospacing="0"/>
        <w:rPr>
          <w:sz w:val="20"/>
          <w:szCs w:val="20"/>
        </w:rPr>
      </w:pPr>
      <w:r w:rsidRPr="009A5F02">
        <w:rPr>
          <w:sz w:val="20"/>
          <w:szCs w:val="20"/>
        </w:rPr>
        <w:t> </w:t>
      </w:r>
    </w:p>
    <w:p w14:paraId="5851AC99" w14:textId="010085DA" w:rsidR="00273C67" w:rsidRPr="009A5F02" w:rsidRDefault="00273C67" w:rsidP="00273C67">
      <w:pPr>
        <w:pStyle w:val="NormalWeb"/>
        <w:spacing w:before="0" w:beforeAutospacing="0" w:after="0" w:afterAutospacing="0"/>
        <w:rPr>
          <w:sz w:val="20"/>
          <w:szCs w:val="20"/>
        </w:rPr>
      </w:pPr>
      <w:proofErr w:type="spellStart"/>
      <w:r w:rsidRPr="009A5F02">
        <w:rPr>
          <w:rFonts w:eastAsia="Times New Roman"/>
          <w:b/>
          <w:bCs/>
          <w:sz w:val="20"/>
          <w:szCs w:val="20"/>
        </w:rPr>
        <w:t>i</w:t>
      </w:r>
      <w:proofErr w:type="spellEnd"/>
      <w:r w:rsidRPr="009A5F02">
        <w:rPr>
          <w:rFonts w:eastAsia="Times New Roman"/>
          <w:b/>
          <w:bCs/>
          <w:sz w:val="20"/>
          <w:szCs w:val="20"/>
        </w:rPr>
        <w:t xml:space="preserve">) </w:t>
      </w:r>
      <w:r w:rsidRPr="009A5F02">
        <w:rPr>
          <w:rFonts w:eastAsia="Times New Roman"/>
          <w:b/>
          <w:bCs/>
          <w:sz w:val="20"/>
          <w:szCs w:val="20"/>
        </w:rPr>
        <w:t xml:space="preserve">Changes under the title ‘recurrent fees and charges paid by the </w:t>
      </w:r>
      <w:proofErr w:type="spellStart"/>
      <w:r w:rsidRPr="009A5F02">
        <w:rPr>
          <w:rFonts w:eastAsia="Times New Roman"/>
          <w:b/>
          <w:bCs/>
          <w:sz w:val="20"/>
          <w:szCs w:val="20"/>
        </w:rPr>
        <w:t>Bevek</w:t>
      </w:r>
      <w:proofErr w:type="spellEnd"/>
      <w:proofErr w:type="gramStart"/>
      <w:r w:rsidRPr="009A5F02">
        <w:rPr>
          <w:rFonts w:eastAsia="Times New Roman"/>
          <w:b/>
          <w:bCs/>
          <w:sz w:val="20"/>
          <w:szCs w:val="20"/>
        </w:rPr>
        <w:t>’;</w:t>
      </w:r>
      <w:proofErr w:type="gramEnd"/>
    </w:p>
    <w:p w14:paraId="04893671" w14:textId="77777777" w:rsidR="00273C67" w:rsidRPr="009A5F02" w:rsidRDefault="00273C67" w:rsidP="00273C67">
      <w:pPr>
        <w:ind w:left="1440"/>
        <w:textAlignment w:val="center"/>
        <w:rPr>
          <w:rFonts w:eastAsia="Times New Roman"/>
          <w:sz w:val="20"/>
          <w:szCs w:val="20"/>
        </w:rPr>
      </w:pPr>
    </w:p>
    <w:p w14:paraId="50574704" w14:textId="58D1D29A" w:rsidR="00273C67" w:rsidRPr="009A5F02" w:rsidRDefault="00273C67" w:rsidP="00273C67">
      <w:pPr>
        <w:textAlignment w:val="center"/>
        <w:rPr>
          <w:rFonts w:eastAsia="Times New Roman"/>
          <w:sz w:val="20"/>
          <w:szCs w:val="20"/>
        </w:rPr>
      </w:pPr>
      <w:r w:rsidRPr="009A5F02">
        <w:rPr>
          <w:rFonts w:eastAsia="Times New Roman"/>
          <w:sz w:val="20"/>
          <w:szCs w:val="20"/>
        </w:rPr>
        <w:t xml:space="preserve">Under the heading 'Recurring fees and charges paid by the </w:t>
      </w:r>
      <w:proofErr w:type="spellStart"/>
      <w:r w:rsidRPr="009A5F02">
        <w:rPr>
          <w:rFonts w:eastAsia="Times New Roman"/>
          <w:sz w:val="20"/>
          <w:szCs w:val="20"/>
        </w:rPr>
        <w:t>Bevek</w:t>
      </w:r>
      <w:proofErr w:type="spellEnd"/>
      <w:r w:rsidRPr="009A5F02">
        <w:rPr>
          <w:rFonts w:eastAsia="Times New Roman"/>
          <w:sz w:val="20"/>
          <w:szCs w:val="20"/>
        </w:rPr>
        <w:t>' we wish to remove the 'independent' from the sentence 'Fee paid to the independent directors'.</w:t>
      </w:r>
    </w:p>
    <w:p w14:paraId="54E0F671" w14:textId="71959438" w:rsidR="00273C67" w:rsidRPr="009A5F02" w:rsidRDefault="00273C67" w:rsidP="009A5F02">
      <w:pPr>
        <w:textAlignment w:val="center"/>
        <w:rPr>
          <w:rFonts w:eastAsia="Times New Roman"/>
          <w:sz w:val="20"/>
          <w:szCs w:val="20"/>
        </w:rPr>
      </w:pPr>
      <w:r w:rsidRPr="009A5F02">
        <w:rPr>
          <w:rFonts w:eastAsia="Times New Roman"/>
          <w:i/>
          <w:iCs/>
          <w:color w:val="00B0F0"/>
          <w:sz w:val="20"/>
          <w:szCs w:val="20"/>
        </w:rPr>
        <w:t xml:space="preserve">Scope of this change: all share classes under the following funds: </w:t>
      </w:r>
      <w:proofErr w:type="spellStart"/>
      <w:r w:rsidRPr="009A5F02">
        <w:rPr>
          <w:rFonts w:eastAsia="Times New Roman"/>
          <w:i/>
          <w:iCs/>
          <w:color w:val="00B0F0"/>
          <w:sz w:val="20"/>
          <w:szCs w:val="20"/>
        </w:rPr>
        <w:t>Fivest</w:t>
      </w:r>
      <w:proofErr w:type="spellEnd"/>
      <w:r w:rsidRPr="009A5F02">
        <w:rPr>
          <w:rFonts w:eastAsia="Times New Roman"/>
          <w:i/>
          <w:iCs/>
          <w:color w:val="00B0F0"/>
          <w:sz w:val="20"/>
          <w:szCs w:val="20"/>
        </w:rPr>
        <w:t xml:space="preserve">, Generation Plan, Horizon, </w:t>
      </w:r>
      <w:proofErr w:type="spellStart"/>
      <w:proofErr w:type="gramStart"/>
      <w:r w:rsidRPr="009A5F02">
        <w:rPr>
          <w:rFonts w:eastAsia="Times New Roman"/>
          <w:i/>
          <w:iCs/>
          <w:color w:val="00B0F0"/>
          <w:sz w:val="20"/>
          <w:szCs w:val="20"/>
        </w:rPr>
        <w:t>IN.flanders</w:t>
      </w:r>
      <w:proofErr w:type="spellEnd"/>
      <w:proofErr w:type="gramEnd"/>
      <w:r w:rsidRPr="009A5F02">
        <w:rPr>
          <w:rFonts w:eastAsia="Times New Roman"/>
          <w:i/>
          <w:iCs/>
          <w:color w:val="00B0F0"/>
          <w:sz w:val="20"/>
          <w:szCs w:val="20"/>
        </w:rPr>
        <w:t xml:space="preserve"> Employment Fund, KBC Eco Fund, KBC Equity Fund, KBC Index Fund, KBC Institutional Fund, KBC Master Fund, KBC Multi Interest, KBC Multi Track, KBC Participation, KBC Select </w:t>
      </w:r>
      <w:proofErr w:type="spellStart"/>
      <w:r w:rsidRPr="009A5F02">
        <w:rPr>
          <w:rFonts w:eastAsia="Times New Roman"/>
          <w:i/>
          <w:iCs/>
          <w:color w:val="00B0F0"/>
          <w:sz w:val="20"/>
          <w:szCs w:val="20"/>
        </w:rPr>
        <w:t>Immo</w:t>
      </w:r>
      <w:proofErr w:type="spellEnd"/>
      <w:r w:rsidRPr="009A5F02">
        <w:rPr>
          <w:rFonts w:eastAsia="Times New Roman"/>
          <w:i/>
          <w:iCs/>
          <w:color w:val="00B0F0"/>
          <w:sz w:val="20"/>
          <w:szCs w:val="20"/>
        </w:rPr>
        <w:t xml:space="preserve">, Optimum Fund, Perspective, Plato Institutional Index Fund and </w:t>
      </w:r>
      <w:proofErr w:type="spellStart"/>
      <w:r w:rsidRPr="009A5F02">
        <w:rPr>
          <w:rFonts w:eastAsia="Times New Roman"/>
          <w:i/>
          <w:iCs/>
          <w:color w:val="00B0F0"/>
          <w:sz w:val="20"/>
          <w:szCs w:val="20"/>
        </w:rPr>
        <w:t>Sivek</w:t>
      </w:r>
      <w:proofErr w:type="spellEnd"/>
      <w:r w:rsidRPr="009A5F02">
        <w:rPr>
          <w:rFonts w:eastAsia="Times New Roman"/>
          <w:color w:val="00B0F0"/>
          <w:sz w:val="20"/>
          <w:szCs w:val="20"/>
        </w:rPr>
        <w:t>.</w:t>
      </w:r>
    </w:p>
    <w:p w14:paraId="555B2F95" w14:textId="77777777" w:rsidR="00273C67" w:rsidRPr="009A5F02" w:rsidRDefault="00273C67" w:rsidP="00273C67">
      <w:pPr>
        <w:pStyle w:val="NormalWeb"/>
        <w:spacing w:before="0" w:beforeAutospacing="0" w:after="0" w:afterAutospacing="0"/>
        <w:ind w:left="1080"/>
        <w:rPr>
          <w:sz w:val="20"/>
          <w:szCs w:val="20"/>
        </w:rPr>
      </w:pPr>
      <w:r w:rsidRPr="009A5F02">
        <w:rPr>
          <w:sz w:val="20"/>
          <w:szCs w:val="20"/>
        </w:rPr>
        <w:t> </w:t>
      </w:r>
    </w:p>
    <w:p w14:paraId="263D3B80" w14:textId="02D00661" w:rsidR="00273C67" w:rsidRPr="009A5F02" w:rsidRDefault="00273C67" w:rsidP="00273C67">
      <w:pPr>
        <w:textAlignment w:val="center"/>
        <w:rPr>
          <w:rFonts w:eastAsia="Times New Roman"/>
          <w:b/>
          <w:bCs/>
          <w:sz w:val="20"/>
          <w:szCs w:val="20"/>
        </w:rPr>
      </w:pPr>
      <w:r w:rsidRPr="009A5F02">
        <w:rPr>
          <w:rFonts w:eastAsia="Times New Roman"/>
          <w:b/>
          <w:bCs/>
          <w:sz w:val="20"/>
          <w:szCs w:val="20"/>
        </w:rPr>
        <w:t xml:space="preserve">ii) </w:t>
      </w:r>
      <w:r w:rsidRPr="009A5F02">
        <w:rPr>
          <w:rFonts w:eastAsia="Times New Roman"/>
          <w:b/>
          <w:bCs/>
          <w:sz w:val="20"/>
          <w:szCs w:val="20"/>
        </w:rPr>
        <w:t>Changes under the title ‘recurrent fees and charges paid by the sub-fund</w:t>
      </w:r>
      <w:proofErr w:type="gramStart"/>
      <w:r w:rsidRPr="009A5F02">
        <w:rPr>
          <w:rFonts w:eastAsia="Times New Roman"/>
          <w:b/>
          <w:bCs/>
          <w:sz w:val="20"/>
          <w:szCs w:val="20"/>
        </w:rPr>
        <w:t>’;</w:t>
      </w:r>
      <w:proofErr w:type="gramEnd"/>
    </w:p>
    <w:p w14:paraId="01917B47" w14:textId="77777777" w:rsidR="00273C67" w:rsidRPr="009A5F02" w:rsidRDefault="00273C67" w:rsidP="00273C67">
      <w:pPr>
        <w:textAlignment w:val="center"/>
        <w:rPr>
          <w:rFonts w:eastAsia="Times New Roman"/>
          <w:sz w:val="20"/>
          <w:szCs w:val="20"/>
        </w:rPr>
      </w:pPr>
    </w:p>
    <w:p w14:paraId="73D77592" w14:textId="6015422E" w:rsidR="00273C67" w:rsidRPr="009A5F02" w:rsidRDefault="00273C67" w:rsidP="00273C67">
      <w:pPr>
        <w:textAlignment w:val="center"/>
        <w:rPr>
          <w:rFonts w:eastAsia="Times New Roman"/>
          <w:sz w:val="20"/>
          <w:szCs w:val="20"/>
        </w:rPr>
      </w:pPr>
      <w:r w:rsidRPr="009A5F02">
        <w:rPr>
          <w:rFonts w:eastAsia="Times New Roman"/>
          <w:sz w:val="20"/>
          <w:szCs w:val="20"/>
        </w:rPr>
        <w:t xml:space="preserve">- </w:t>
      </w:r>
      <w:r w:rsidRPr="009A5F02">
        <w:rPr>
          <w:rFonts w:eastAsia="Times New Roman"/>
          <w:sz w:val="20"/>
          <w:szCs w:val="20"/>
        </w:rPr>
        <w:t>Add 'max' to the management fee.</w:t>
      </w:r>
      <w:r w:rsidRPr="009A5F02">
        <w:rPr>
          <w:rFonts w:eastAsia="Times New Roman"/>
          <w:sz w:val="20"/>
          <w:szCs w:val="20"/>
        </w:rPr>
        <w:t xml:space="preserve"> </w:t>
      </w:r>
      <w:r w:rsidRPr="009A5F02">
        <w:rPr>
          <w:rFonts w:eastAsia="Times New Roman"/>
          <w:i/>
          <w:iCs/>
          <w:color w:val="00B0F0"/>
          <w:sz w:val="20"/>
          <w:szCs w:val="20"/>
        </w:rPr>
        <w:t xml:space="preserve">Scope of this change: see separate excel file tab 'Max </w:t>
      </w:r>
      <w:proofErr w:type="spellStart"/>
      <w:r w:rsidRPr="009A5F02">
        <w:rPr>
          <w:rFonts w:eastAsia="Times New Roman"/>
          <w:i/>
          <w:iCs/>
          <w:color w:val="00B0F0"/>
          <w:sz w:val="20"/>
          <w:szCs w:val="20"/>
        </w:rPr>
        <w:t>mgmt</w:t>
      </w:r>
      <w:proofErr w:type="spellEnd"/>
      <w:r w:rsidRPr="009A5F02">
        <w:rPr>
          <w:rFonts w:eastAsia="Times New Roman"/>
          <w:i/>
          <w:iCs/>
          <w:color w:val="00B0F0"/>
          <w:sz w:val="20"/>
          <w:szCs w:val="20"/>
        </w:rPr>
        <w:t xml:space="preserve"> fee scope'.</w:t>
      </w:r>
    </w:p>
    <w:p w14:paraId="749CB74D" w14:textId="2EB5782C" w:rsidR="00273C67" w:rsidRPr="009A5F02" w:rsidRDefault="00273C67" w:rsidP="00273C67">
      <w:pPr>
        <w:textAlignment w:val="center"/>
        <w:rPr>
          <w:rFonts w:eastAsia="Times New Roman"/>
          <w:sz w:val="20"/>
          <w:szCs w:val="20"/>
        </w:rPr>
      </w:pPr>
      <w:r w:rsidRPr="009A5F02">
        <w:rPr>
          <w:rFonts w:eastAsia="Times New Roman"/>
          <w:sz w:val="20"/>
          <w:szCs w:val="20"/>
        </w:rPr>
        <w:t xml:space="preserve">To stress the fact that the FI research fee is only applied to the fixed income and MM direct lines (and not to underlying funds) and to avoid inconsistency with the actual way the FI research fee is calculated, we’ll amend the wording on the FI research fee in the prospectus. </w:t>
      </w:r>
      <w:proofErr w:type="gramStart"/>
      <w:r w:rsidRPr="009A5F02">
        <w:rPr>
          <w:rFonts w:eastAsia="Times New Roman"/>
          <w:sz w:val="20"/>
          <w:szCs w:val="20"/>
        </w:rPr>
        <w:t>Additionally</w:t>
      </w:r>
      <w:proofErr w:type="gramEnd"/>
      <w:r w:rsidRPr="009A5F02">
        <w:rPr>
          <w:rFonts w:eastAsia="Times New Roman"/>
          <w:sz w:val="20"/>
          <w:szCs w:val="20"/>
        </w:rPr>
        <w:t xml:space="preserve"> we will change the percentage from max 0.02% to max 0.01%; </w:t>
      </w:r>
      <w:r w:rsidRPr="009A5F02">
        <w:rPr>
          <w:rFonts w:eastAsia="Times New Roman"/>
          <w:i/>
          <w:iCs/>
          <w:color w:val="00B0F0"/>
          <w:sz w:val="20"/>
          <w:szCs w:val="20"/>
        </w:rPr>
        <w:t>Scope of this change: see separate excel file tab ‘FI research fee scope'.</w:t>
      </w:r>
    </w:p>
    <w:p w14:paraId="3B31064D" w14:textId="6E1B663D" w:rsidR="00273C67" w:rsidRPr="009A5F02" w:rsidRDefault="00273C67" w:rsidP="00273C67">
      <w:pPr>
        <w:textAlignment w:val="center"/>
        <w:rPr>
          <w:rFonts w:eastAsia="Times New Roman"/>
          <w:sz w:val="20"/>
          <w:szCs w:val="20"/>
        </w:rPr>
      </w:pPr>
      <w:r w:rsidRPr="009A5F02">
        <w:rPr>
          <w:rFonts w:eastAsia="Times New Roman"/>
          <w:sz w:val="20"/>
          <w:szCs w:val="20"/>
        </w:rPr>
        <w:t xml:space="preserve">- </w:t>
      </w:r>
      <w:r w:rsidRPr="009A5F02">
        <w:rPr>
          <w:rFonts w:eastAsia="Times New Roman"/>
          <w:sz w:val="20"/>
          <w:szCs w:val="20"/>
        </w:rPr>
        <w:t>Adjustment in the prospectus of the ‘fee for the financial service</w:t>
      </w:r>
      <w:proofErr w:type="gramStart"/>
      <w:r w:rsidRPr="009A5F02">
        <w:rPr>
          <w:rFonts w:eastAsia="Times New Roman"/>
          <w:sz w:val="20"/>
          <w:szCs w:val="20"/>
        </w:rPr>
        <w:t>’;</w:t>
      </w:r>
      <w:proofErr w:type="gramEnd"/>
    </w:p>
    <w:p w14:paraId="33DCCA4F" w14:textId="16E7B318" w:rsidR="00273C67" w:rsidRPr="009A5F02" w:rsidRDefault="00273C67" w:rsidP="00273C67">
      <w:pPr>
        <w:textAlignment w:val="center"/>
        <w:rPr>
          <w:rFonts w:eastAsia="Times New Roman"/>
          <w:sz w:val="20"/>
          <w:szCs w:val="20"/>
        </w:rPr>
      </w:pPr>
      <w:r w:rsidRPr="009A5F02">
        <w:rPr>
          <w:rFonts w:eastAsia="Times New Roman"/>
          <w:sz w:val="20"/>
          <w:szCs w:val="20"/>
        </w:rPr>
        <w:t xml:space="preserve">- </w:t>
      </w:r>
      <w:r w:rsidRPr="009A5F02">
        <w:rPr>
          <w:rFonts w:eastAsia="Times New Roman"/>
          <w:sz w:val="20"/>
          <w:szCs w:val="20"/>
        </w:rPr>
        <w:t xml:space="preserve">This fee was previously included (if applicable) under ‘Other charges (estimation)’ and we would now like to mention it separately in the prospectus under the category "Fee for financial services". The fee is max 950 EUR per </w:t>
      </w:r>
      <w:proofErr w:type="gramStart"/>
      <w:r w:rsidRPr="009A5F02">
        <w:rPr>
          <w:rFonts w:eastAsia="Times New Roman"/>
          <w:sz w:val="20"/>
          <w:szCs w:val="20"/>
        </w:rPr>
        <w:t>year ,</w:t>
      </w:r>
      <w:proofErr w:type="gramEnd"/>
      <w:r w:rsidRPr="009A5F02">
        <w:rPr>
          <w:rFonts w:eastAsia="Times New Roman"/>
          <w:sz w:val="20"/>
          <w:szCs w:val="20"/>
        </w:rPr>
        <w:t xml:space="preserve"> with a maximum of 0.005% calculated on the basis of the average total net assets of the sub-fund.</w:t>
      </w:r>
      <w:r w:rsidRPr="009A5F02">
        <w:rPr>
          <w:rFonts w:eastAsia="Times New Roman"/>
          <w:sz w:val="20"/>
          <w:szCs w:val="20"/>
        </w:rPr>
        <w:t xml:space="preserve"> </w:t>
      </w:r>
      <w:r w:rsidRPr="009A5F02">
        <w:rPr>
          <w:rFonts w:eastAsia="Times New Roman"/>
          <w:i/>
          <w:iCs/>
          <w:color w:val="00B0F0"/>
          <w:sz w:val="20"/>
          <w:szCs w:val="20"/>
        </w:rPr>
        <w:t xml:space="preserve">Scope of this change: all share classes under the following funds: </w:t>
      </w:r>
      <w:proofErr w:type="spellStart"/>
      <w:r w:rsidRPr="009A5F02">
        <w:rPr>
          <w:rFonts w:eastAsia="Times New Roman"/>
          <w:i/>
          <w:iCs/>
          <w:color w:val="00B0F0"/>
          <w:sz w:val="20"/>
          <w:szCs w:val="20"/>
        </w:rPr>
        <w:t>Fivest</w:t>
      </w:r>
      <w:proofErr w:type="spellEnd"/>
      <w:r w:rsidRPr="009A5F02">
        <w:rPr>
          <w:rFonts w:eastAsia="Times New Roman"/>
          <w:i/>
          <w:iCs/>
          <w:color w:val="00B0F0"/>
          <w:sz w:val="20"/>
          <w:szCs w:val="20"/>
        </w:rPr>
        <w:t xml:space="preserve">, Generation Plan, Horizon, </w:t>
      </w:r>
      <w:proofErr w:type="spellStart"/>
      <w:proofErr w:type="gramStart"/>
      <w:r w:rsidRPr="009A5F02">
        <w:rPr>
          <w:rFonts w:eastAsia="Times New Roman"/>
          <w:i/>
          <w:iCs/>
          <w:color w:val="00B0F0"/>
          <w:sz w:val="20"/>
          <w:szCs w:val="20"/>
        </w:rPr>
        <w:t>IN.flanders</w:t>
      </w:r>
      <w:proofErr w:type="spellEnd"/>
      <w:proofErr w:type="gramEnd"/>
      <w:r w:rsidRPr="009A5F02">
        <w:rPr>
          <w:rFonts w:eastAsia="Times New Roman"/>
          <w:i/>
          <w:iCs/>
          <w:color w:val="00B0F0"/>
          <w:sz w:val="20"/>
          <w:szCs w:val="20"/>
        </w:rPr>
        <w:t xml:space="preserve"> Employment Fund, </w:t>
      </w:r>
      <w:proofErr w:type="spellStart"/>
      <w:r w:rsidRPr="009A5F02">
        <w:rPr>
          <w:rFonts w:eastAsia="Times New Roman"/>
          <w:i/>
          <w:iCs/>
          <w:color w:val="00B0F0"/>
          <w:sz w:val="20"/>
          <w:szCs w:val="20"/>
        </w:rPr>
        <w:t>IN.focus</w:t>
      </w:r>
      <w:proofErr w:type="spellEnd"/>
      <w:r w:rsidRPr="009A5F02">
        <w:rPr>
          <w:rFonts w:eastAsia="Times New Roman"/>
          <w:i/>
          <w:iCs/>
          <w:color w:val="00B0F0"/>
          <w:sz w:val="20"/>
          <w:szCs w:val="20"/>
        </w:rPr>
        <w:t xml:space="preserve">, KBC Eco Fund, KBC Equity Fund, KBC Index Fund, KBC Institutional Fund, KBC Master Fund, KBC Multi Interest, KBC Multi Track, KBC Participation, KBC Select </w:t>
      </w:r>
      <w:proofErr w:type="spellStart"/>
      <w:r w:rsidRPr="009A5F02">
        <w:rPr>
          <w:rFonts w:eastAsia="Times New Roman"/>
          <w:i/>
          <w:iCs/>
          <w:color w:val="00B0F0"/>
          <w:sz w:val="20"/>
          <w:szCs w:val="20"/>
        </w:rPr>
        <w:t>Immo</w:t>
      </w:r>
      <w:proofErr w:type="spellEnd"/>
      <w:r w:rsidRPr="009A5F02">
        <w:rPr>
          <w:rFonts w:eastAsia="Times New Roman"/>
          <w:i/>
          <w:iCs/>
          <w:color w:val="00B0F0"/>
          <w:sz w:val="20"/>
          <w:szCs w:val="20"/>
        </w:rPr>
        <w:t xml:space="preserve">, Optimum Fund, Perspective, Plato Institutional Index Fund and </w:t>
      </w:r>
      <w:proofErr w:type="spellStart"/>
      <w:r w:rsidRPr="009A5F02">
        <w:rPr>
          <w:rFonts w:eastAsia="Times New Roman"/>
          <w:i/>
          <w:iCs/>
          <w:color w:val="00B0F0"/>
          <w:sz w:val="20"/>
          <w:szCs w:val="20"/>
        </w:rPr>
        <w:t>Sivek</w:t>
      </w:r>
      <w:proofErr w:type="spellEnd"/>
      <w:r w:rsidRPr="009A5F02">
        <w:rPr>
          <w:rFonts w:eastAsia="Times New Roman"/>
          <w:i/>
          <w:iCs/>
          <w:color w:val="00B0F0"/>
          <w:sz w:val="20"/>
          <w:szCs w:val="20"/>
        </w:rPr>
        <w:t>.</w:t>
      </w:r>
    </w:p>
    <w:p w14:paraId="384A044D" w14:textId="77777777" w:rsidR="00273C67" w:rsidRPr="009A5F02" w:rsidRDefault="00273C67" w:rsidP="00273C67">
      <w:pPr>
        <w:textAlignment w:val="center"/>
        <w:rPr>
          <w:rFonts w:eastAsia="Times New Roman"/>
          <w:sz w:val="20"/>
          <w:szCs w:val="20"/>
        </w:rPr>
      </w:pPr>
      <w:r w:rsidRPr="009A5F02">
        <w:rPr>
          <w:rFonts w:eastAsia="Times New Roman"/>
          <w:sz w:val="20"/>
          <w:szCs w:val="20"/>
        </w:rPr>
        <w:t xml:space="preserve">For </w:t>
      </w:r>
      <w:proofErr w:type="spellStart"/>
      <w:r w:rsidRPr="009A5F02">
        <w:rPr>
          <w:rFonts w:eastAsia="Times New Roman"/>
          <w:i/>
          <w:iCs/>
          <w:color w:val="00B0F0"/>
          <w:sz w:val="20"/>
          <w:szCs w:val="20"/>
        </w:rPr>
        <w:t>Pricos</w:t>
      </w:r>
      <w:proofErr w:type="spellEnd"/>
      <w:r w:rsidRPr="009A5F02">
        <w:rPr>
          <w:rFonts w:eastAsia="Times New Roman"/>
          <w:i/>
          <w:iCs/>
          <w:color w:val="00B0F0"/>
          <w:sz w:val="20"/>
          <w:szCs w:val="20"/>
        </w:rPr>
        <w:t xml:space="preserve">, </w:t>
      </w:r>
      <w:proofErr w:type="spellStart"/>
      <w:r w:rsidRPr="009A5F02">
        <w:rPr>
          <w:rFonts w:eastAsia="Times New Roman"/>
          <w:i/>
          <w:iCs/>
          <w:color w:val="00B0F0"/>
          <w:sz w:val="20"/>
          <w:szCs w:val="20"/>
        </w:rPr>
        <w:t>Pricos</w:t>
      </w:r>
      <w:proofErr w:type="spellEnd"/>
      <w:r w:rsidRPr="009A5F02">
        <w:rPr>
          <w:rFonts w:eastAsia="Times New Roman"/>
          <w:i/>
          <w:iCs/>
          <w:color w:val="00B0F0"/>
          <w:sz w:val="20"/>
          <w:szCs w:val="20"/>
        </w:rPr>
        <w:t xml:space="preserve"> Defensive and </w:t>
      </w:r>
      <w:proofErr w:type="spellStart"/>
      <w:r w:rsidRPr="009A5F02">
        <w:rPr>
          <w:rFonts w:eastAsia="Times New Roman"/>
          <w:i/>
          <w:iCs/>
          <w:color w:val="00B0F0"/>
          <w:sz w:val="20"/>
          <w:szCs w:val="20"/>
        </w:rPr>
        <w:t>Pricos</w:t>
      </w:r>
      <w:proofErr w:type="spellEnd"/>
      <w:r w:rsidRPr="009A5F02">
        <w:rPr>
          <w:rFonts w:eastAsia="Times New Roman"/>
          <w:i/>
          <w:iCs/>
          <w:color w:val="00B0F0"/>
          <w:sz w:val="20"/>
          <w:szCs w:val="20"/>
        </w:rPr>
        <w:t xml:space="preserve"> SRI</w:t>
      </w:r>
      <w:r w:rsidRPr="009A5F02">
        <w:rPr>
          <w:rFonts w:eastAsia="Times New Roman"/>
          <w:sz w:val="20"/>
          <w:szCs w:val="20"/>
        </w:rPr>
        <w:t xml:space="preserve">, the fee is EUR 625 per year. </w:t>
      </w:r>
    </w:p>
    <w:p w14:paraId="0A93E261" w14:textId="77777777" w:rsidR="00273C67" w:rsidRPr="009A5F02" w:rsidRDefault="00273C67" w:rsidP="00273C67">
      <w:pPr>
        <w:pStyle w:val="NormalWeb"/>
        <w:spacing w:before="0" w:beforeAutospacing="0" w:after="0" w:afterAutospacing="0"/>
        <w:ind w:left="540"/>
        <w:rPr>
          <w:sz w:val="20"/>
          <w:szCs w:val="20"/>
        </w:rPr>
      </w:pPr>
      <w:r w:rsidRPr="009A5F02">
        <w:rPr>
          <w:sz w:val="20"/>
          <w:szCs w:val="20"/>
        </w:rPr>
        <w:t> </w:t>
      </w:r>
      <w:r w:rsidRPr="009A5F02">
        <w:rPr>
          <w:rFonts w:ascii="Arial" w:hAnsi="Arial" w:cs="Arial"/>
          <w:noProof/>
          <w:color w:val="000000"/>
          <w:sz w:val="20"/>
          <w:szCs w:val="20"/>
          <w:lang w:eastAsia="en-US"/>
        </w:rPr>
        <w:drawing>
          <wp:inline distT="0" distB="0" distL="0" distR="0" wp14:anchorId="7F3AC246" wp14:editId="0C3BE714">
            <wp:extent cx="4933592" cy="366712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943765" cy="3674686"/>
                    </a:xfrm>
                    <a:prstGeom prst="rect">
                      <a:avLst/>
                    </a:prstGeom>
                    <a:noFill/>
                    <a:ln>
                      <a:noFill/>
                    </a:ln>
                  </pic:spPr>
                </pic:pic>
              </a:graphicData>
            </a:graphic>
          </wp:inline>
        </w:drawing>
      </w:r>
    </w:p>
    <w:p w14:paraId="666065FF" w14:textId="79CA17B4" w:rsidR="00273C67" w:rsidRPr="009A5F02" w:rsidRDefault="00273C67" w:rsidP="00273C67">
      <w:pPr>
        <w:pStyle w:val="NormalWeb"/>
        <w:spacing w:before="0" w:beforeAutospacing="0" w:after="0" w:afterAutospacing="0"/>
        <w:ind w:left="1080"/>
        <w:rPr>
          <w:rFonts w:eastAsia="Times New Roman"/>
          <w:b/>
          <w:bCs/>
          <w:sz w:val="20"/>
          <w:szCs w:val="20"/>
          <w:lang w:eastAsia="en-US"/>
        </w:rPr>
      </w:pPr>
    </w:p>
    <w:p w14:paraId="7D231F40" w14:textId="4CD7A385" w:rsidR="00273C67" w:rsidRPr="009A5F02" w:rsidRDefault="009A5F02" w:rsidP="009A5F02">
      <w:pPr>
        <w:pStyle w:val="NormalWeb"/>
        <w:spacing w:before="0" w:beforeAutospacing="0" w:after="0" w:afterAutospacing="0"/>
        <w:rPr>
          <w:sz w:val="20"/>
          <w:szCs w:val="20"/>
        </w:rPr>
      </w:pPr>
      <w:r w:rsidRPr="009A5F02">
        <w:rPr>
          <w:rFonts w:eastAsia="Times New Roman"/>
          <w:b/>
          <w:bCs/>
          <w:sz w:val="20"/>
          <w:szCs w:val="20"/>
          <w:lang w:eastAsia="en-US"/>
        </w:rPr>
        <w:t>iii)</w:t>
      </w:r>
      <w:r w:rsidR="00273C67" w:rsidRPr="009A5F02">
        <w:rPr>
          <w:rFonts w:eastAsia="Times New Roman"/>
          <w:b/>
          <w:bCs/>
          <w:sz w:val="20"/>
          <w:szCs w:val="20"/>
          <w:lang w:eastAsia="en-US"/>
        </w:rPr>
        <w:t>Delete “</w:t>
      </w:r>
      <w:proofErr w:type="spellStart"/>
      <w:r w:rsidR="00273C67" w:rsidRPr="009A5F02">
        <w:rPr>
          <w:rFonts w:eastAsia="Times New Roman"/>
          <w:b/>
          <w:bCs/>
          <w:sz w:val="20"/>
          <w:szCs w:val="20"/>
          <w:lang w:eastAsia="en-US"/>
        </w:rPr>
        <w:t>Crelan</w:t>
      </w:r>
      <w:proofErr w:type="spellEnd"/>
      <w:r w:rsidR="00273C67" w:rsidRPr="009A5F02">
        <w:rPr>
          <w:rFonts w:eastAsia="Times New Roman"/>
          <w:b/>
          <w:bCs/>
          <w:sz w:val="20"/>
          <w:szCs w:val="20"/>
          <w:lang w:eastAsia="en-US"/>
        </w:rPr>
        <w:t xml:space="preserve">” as financial service provider for </w:t>
      </w:r>
      <w:proofErr w:type="spellStart"/>
      <w:r w:rsidR="00273C67" w:rsidRPr="009A5F02">
        <w:rPr>
          <w:rFonts w:eastAsia="Times New Roman"/>
          <w:b/>
          <w:bCs/>
          <w:sz w:val="20"/>
          <w:szCs w:val="20"/>
          <w:lang w:eastAsia="en-US"/>
        </w:rPr>
        <w:t>Pricos</w:t>
      </w:r>
      <w:proofErr w:type="spellEnd"/>
      <w:r w:rsidR="00273C67" w:rsidRPr="009A5F02">
        <w:rPr>
          <w:rFonts w:eastAsia="Times New Roman"/>
          <w:b/>
          <w:bCs/>
          <w:sz w:val="20"/>
          <w:szCs w:val="20"/>
          <w:lang w:eastAsia="en-US"/>
        </w:rPr>
        <w:t xml:space="preserve"> and </w:t>
      </w:r>
      <w:proofErr w:type="spellStart"/>
      <w:r w:rsidR="00273C67" w:rsidRPr="009A5F02">
        <w:rPr>
          <w:rFonts w:eastAsia="Times New Roman"/>
          <w:b/>
          <w:bCs/>
          <w:sz w:val="20"/>
          <w:szCs w:val="20"/>
          <w:lang w:eastAsia="en-US"/>
        </w:rPr>
        <w:t>Pricos</w:t>
      </w:r>
      <w:proofErr w:type="spellEnd"/>
      <w:r w:rsidR="00273C67" w:rsidRPr="009A5F02">
        <w:rPr>
          <w:rFonts w:eastAsia="Times New Roman"/>
          <w:b/>
          <w:bCs/>
          <w:sz w:val="20"/>
          <w:szCs w:val="20"/>
          <w:lang w:eastAsia="en-US"/>
        </w:rPr>
        <w:t xml:space="preserve"> Defensive in prospectus and</w:t>
      </w:r>
      <w:r w:rsidR="00273C67" w:rsidRPr="009A5F02">
        <w:rPr>
          <w:rFonts w:eastAsia="Times New Roman"/>
          <w:b/>
          <w:bCs/>
          <w:sz w:val="20"/>
          <w:szCs w:val="20"/>
        </w:rPr>
        <w:t xml:space="preserve"> PRIIPs KID.</w:t>
      </w:r>
    </w:p>
    <w:p w14:paraId="3809623E" w14:textId="4255880E" w:rsidR="009A5F02" w:rsidRPr="009A5F02" w:rsidRDefault="009A5F02" w:rsidP="009A5F02">
      <w:pPr>
        <w:ind w:left="720"/>
        <w:textAlignment w:val="center"/>
        <w:rPr>
          <w:rFonts w:eastAsia="Times New Roman"/>
          <w:b/>
          <w:bCs/>
          <w:sz w:val="20"/>
          <w:szCs w:val="20"/>
        </w:rPr>
      </w:pPr>
      <w:r w:rsidRPr="009A5F02">
        <w:rPr>
          <w:rFonts w:ascii="Arial" w:hAnsi="Arial" w:cs="Arial"/>
          <w:noProof/>
          <w:color w:val="000000"/>
          <w:sz w:val="20"/>
          <w:szCs w:val="20"/>
        </w:rPr>
        <w:drawing>
          <wp:inline distT="0" distB="0" distL="0" distR="0" wp14:anchorId="66516C28" wp14:editId="73196CB4">
            <wp:extent cx="2172378" cy="638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204871" cy="647720"/>
                    </a:xfrm>
                    <a:prstGeom prst="rect">
                      <a:avLst/>
                    </a:prstGeom>
                    <a:noFill/>
                    <a:ln>
                      <a:noFill/>
                    </a:ln>
                  </pic:spPr>
                </pic:pic>
              </a:graphicData>
            </a:graphic>
          </wp:inline>
        </w:drawing>
      </w:r>
    </w:p>
    <w:sectPr w:rsidR="009A5F02" w:rsidRPr="009A5F0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CA99" w14:textId="77777777" w:rsidR="009A5F02" w:rsidRDefault="009A5F02" w:rsidP="009A5F02">
      <w:r>
        <w:separator/>
      </w:r>
    </w:p>
  </w:endnote>
  <w:endnote w:type="continuationSeparator" w:id="0">
    <w:p w14:paraId="23C954D5" w14:textId="77777777" w:rsidR="009A5F02" w:rsidRDefault="009A5F02" w:rsidP="009A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B668" w14:textId="77777777" w:rsidR="009A5F02" w:rsidRDefault="009A5F02" w:rsidP="009A5F02">
      <w:r>
        <w:separator/>
      </w:r>
    </w:p>
  </w:footnote>
  <w:footnote w:type="continuationSeparator" w:id="0">
    <w:p w14:paraId="4D2B7FC3" w14:textId="77777777" w:rsidR="009A5F02" w:rsidRDefault="009A5F02" w:rsidP="009A5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416E2"/>
    <w:multiLevelType w:val="multilevel"/>
    <w:tmpl w:val="9A4A892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C709D6"/>
    <w:multiLevelType w:val="hybridMultilevel"/>
    <w:tmpl w:val="1602C1F0"/>
    <w:lvl w:ilvl="0" w:tplc="6EBC9F20">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1D30B6"/>
    <w:multiLevelType w:val="multilevel"/>
    <w:tmpl w:val="F6A6DD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C27DF4"/>
    <w:multiLevelType w:val="multilevel"/>
    <w:tmpl w:val="06F07CC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13D4E16"/>
    <w:multiLevelType w:val="multilevel"/>
    <w:tmpl w:val="F4AAD75E"/>
    <w:lvl w:ilvl="0">
      <w:start w:val="1"/>
      <w:numFmt w:val="decimal"/>
      <w:lvlText w:val="%1)"/>
      <w:lvlJc w:val="left"/>
      <w:pPr>
        <w:tabs>
          <w:tab w:val="num" w:pos="720"/>
        </w:tabs>
        <w:ind w:left="720" w:hanging="360"/>
      </w:pPr>
      <w:rPr>
        <w:rFonts w:ascii="Calibri" w:eastAsiaTheme="minorHAnsi" w:hAnsi="Calibri" w:cs="Calibri"/>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9997D4A"/>
    <w:multiLevelType w:val="hybridMultilevel"/>
    <w:tmpl w:val="97E6DA3C"/>
    <w:lvl w:ilvl="0" w:tplc="1FE60C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33312D"/>
    <w:multiLevelType w:val="hybridMultilevel"/>
    <w:tmpl w:val="D9CC2292"/>
    <w:lvl w:ilvl="0" w:tplc="11DA5CBA">
      <w:start w:val="3"/>
      <w:numFmt w:val="lowerRoman"/>
      <w:lvlText w:val="%1)"/>
      <w:lvlJc w:val="left"/>
      <w:pPr>
        <w:ind w:left="770" w:hanging="72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7" w15:restartNumberingAfterBreak="0">
    <w:nsid w:val="6BEF7879"/>
    <w:multiLevelType w:val="multilevel"/>
    <w:tmpl w:val="F4C26A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CA13004"/>
    <w:multiLevelType w:val="multilevel"/>
    <w:tmpl w:val="2062BFA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96692A"/>
    <w:multiLevelType w:val="hybridMultilevel"/>
    <w:tmpl w:val="3898A1DA"/>
    <w:lvl w:ilvl="0" w:tplc="8B90B5FC">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2421092">
    <w:abstractNumId w:val="0"/>
    <w:lvlOverride w:ilvl="0"/>
    <w:lvlOverride w:ilvl="1"/>
    <w:lvlOverride w:ilvl="2"/>
    <w:lvlOverride w:ilvl="3"/>
    <w:lvlOverride w:ilvl="4"/>
    <w:lvlOverride w:ilvl="5"/>
    <w:lvlOverride w:ilvl="6"/>
    <w:lvlOverride w:ilvl="7"/>
    <w:lvlOverride w:ilvl="8"/>
  </w:num>
  <w:num w:numId="2" w16cid:durableId="495733600">
    <w:abstractNumId w:val="2"/>
    <w:lvlOverride w:ilvl="0"/>
    <w:lvlOverride w:ilvl="1"/>
    <w:lvlOverride w:ilvl="2"/>
    <w:lvlOverride w:ilvl="3"/>
    <w:lvlOverride w:ilvl="4"/>
    <w:lvlOverride w:ilvl="5"/>
    <w:lvlOverride w:ilvl="6"/>
    <w:lvlOverride w:ilvl="7"/>
    <w:lvlOverride w:ilvl="8"/>
  </w:num>
  <w:num w:numId="3" w16cid:durableId="1979070725">
    <w:abstractNumId w:val="7"/>
    <w:lvlOverride w:ilvl="0"/>
    <w:lvlOverride w:ilvl="1"/>
    <w:lvlOverride w:ilvl="2"/>
    <w:lvlOverride w:ilvl="3"/>
    <w:lvlOverride w:ilvl="4"/>
    <w:lvlOverride w:ilvl="5"/>
    <w:lvlOverride w:ilvl="6"/>
    <w:lvlOverride w:ilvl="7"/>
    <w:lvlOverride w:ilvl="8"/>
  </w:num>
  <w:num w:numId="4" w16cid:durableId="1786729629">
    <w:abstractNumId w:val="4"/>
  </w:num>
  <w:num w:numId="5" w16cid:durableId="1308049495">
    <w:abstractNumId w:val="8"/>
  </w:num>
  <w:num w:numId="6" w16cid:durableId="1106536079">
    <w:abstractNumId w:val="3"/>
  </w:num>
  <w:num w:numId="7" w16cid:durableId="172769737">
    <w:abstractNumId w:val="5"/>
  </w:num>
  <w:num w:numId="8" w16cid:durableId="483552561">
    <w:abstractNumId w:val="1"/>
  </w:num>
  <w:num w:numId="9" w16cid:durableId="1190146402">
    <w:abstractNumId w:val="9"/>
  </w:num>
  <w:num w:numId="10" w16cid:durableId="18621571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67"/>
    <w:rsid w:val="00273C67"/>
    <w:rsid w:val="009A5F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151B3"/>
  <w15:chartTrackingRefBased/>
  <w15:docId w15:val="{6DF21137-F571-49F2-A1A6-D9C21733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C6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C67"/>
    <w:pPr>
      <w:spacing w:before="100" w:beforeAutospacing="1" w:after="100" w:afterAutospacing="1"/>
    </w:pPr>
    <w:rPr>
      <w:lang w:eastAsia="en-GB"/>
    </w:rPr>
  </w:style>
  <w:style w:type="paragraph" w:styleId="ListParagraph">
    <w:name w:val="List Paragraph"/>
    <w:basedOn w:val="Normal"/>
    <w:uiPriority w:val="34"/>
    <w:qFormat/>
    <w:rsid w:val="00273C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1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9777D.52B5E51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cid:image003.jpg@01D9777D.52B5E51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Deloitte Luxembourg</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Kalinina, Tatiana</dc:creator>
  <cp:keywords/>
  <dc:description/>
  <cp:lastModifiedBy>Kalinina, Tatiana</cp:lastModifiedBy>
  <cp:revision>1</cp:revision>
  <dcterms:created xsi:type="dcterms:W3CDTF">2023-05-04T11:49:00Z</dcterms:created>
  <dcterms:modified xsi:type="dcterms:W3CDTF">2023-05-04T12:00:00Z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2023-05-04T11:49:20Z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2b6ecc69-9f1a-404e-8fa5-af63c50b676a</vt:lpwstr>
  </property>
  <property fmtid="{D5CDD505-2E9C-101B-9397-08002B2CF9AE}" pid="8" name="MSIP_Label_ea60d57e-af5b-4752-ac57-3e4f28ca11dc_ContentBits">
    <vt:lpwstr>0</vt:lpwstr>
  </property>
</Properties>
</file>