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B93B" w14:textId="77777777" w:rsidR="00D953D8" w:rsidRPr="00D953D8" w:rsidRDefault="00D953D8" w:rsidP="0046237A">
      <w:pPr>
        <w:jc w:val="center"/>
        <w:rPr>
          <w:b/>
          <w:sz w:val="24"/>
          <w:szCs w:val="24"/>
          <w:lang w:val="bg-BG"/>
        </w:rPr>
      </w:pPr>
      <w:r w:rsidRPr="00D953D8">
        <w:rPr>
          <w:b/>
          <w:sz w:val="24"/>
          <w:szCs w:val="24"/>
          <w:lang w:val="bg-BG"/>
        </w:rPr>
        <w:t>СЪОБЩЕНИЕ</w:t>
      </w:r>
    </w:p>
    <w:p w14:paraId="23BFEAEC" w14:textId="77777777" w:rsidR="00D953D8" w:rsidRPr="00D953D8" w:rsidRDefault="00D953D8" w:rsidP="0046237A">
      <w:pPr>
        <w:jc w:val="center"/>
        <w:rPr>
          <w:b/>
          <w:sz w:val="24"/>
          <w:szCs w:val="24"/>
          <w:lang w:val="bg-BG"/>
        </w:rPr>
      </w:pPr>
      <w:r w:rsidRPr="00D953D8">
        <w:rPr>
          <w:b/>
          <w:sz w:val="24"/>
          <w:szCs w:val="24"/>
          <w:lang w:val="bg-BG"/>
        </w:rPr>
        <w:t>за откриване на производство по издаване на общ административен акт</w:t>
      </w:r>
    </w:p>
    <w:p w14:paraId="14A41516" w14:textId="77777777" w:rsidR="00D953D8" w:rsidRPr="00D953D8" w:rsidRDefault="00D953D8" w:rsidP="0046237A">
      <w:pPr>
        <w:ind w:firstLine="709"/>
        <w:jc w:val="center"/>
        <w:rPr>
          <w:sz w:val="24"/>
          <w:szCs w:val="24"/>
          <w:lang w:val="bg-BG"/>
        </w:rPr>
      </w:pPr>
    </w:p>
    <w:p w14:paraId="75C9AD0E" w14:textId="08661AD4" w:rsidR="00D953D8" w:rsidRPr="004C6908" w:rsidRDefault="00D953D8" w:rsidP="00D953D8">
      <w:pPr>
        <w:ind w:firstLine="709"/>
        <w:jc w:val="both"/>
        <w:rPr>
          <w:sz w:val="24"/>
          <w:szCs w:val="24"/>
        </w:rPr>
      </w:pPr>
      <w:r w:rsidRPr="00D953D8">
        <w:rPr>
          <w:sz w:val="24"/>
          <w:szCs w:val="24"/>
          <w:lang w:val="bg-BG"/>
        </w:rPr>
        <w:t xml:space="preserve">Комисията за финансов надзор открива производство по издаване на общ административен акт – Решение за определяне </w:t>
      </w:r>
      <w:r w:rsidRPr="00D953D8">
        <w:rPr>
          <w:bCs/>
          <w:sz w:val="24"/>
          <w:szCs w:val="24"/>
          <w:lang w:val="bg-BG"/>
        </w:rPr>
        <w:t xml:space="preserve">размера на </w:t>
      </w:r>
      <w:r w:rsidRPr="00D953D8">
        <w:rPr>
          <w:sz w:val="24"/>
          <w:szCs w:val="24"/>
          <w:lang w:val="bg-BG"/>
        </w:rPr>
        <w:t>минимални проценти, съгласно чл. 91, ал. 3, т. 2 от</w:t>
      </w:r>
      <w:r w:rsidRPr="00D953D8">
        <w:rPr>
          <w:bCs/>
          <w:sz w:val="24"/>
          <w:szCs w:val="24"/>
          <w:lang w:val="bg-BG"/>
        </w:rPr>
        <w:t xml:space="preserve"> </w:t>
      </w:r>
      <w:r w:rsidRPr="00D953D8">
        <w:rPr>
          <w:sz w:val="24"/>
          <w:szCs w:val="24"/>
          <w:lang w:val="bg-BG"/>
        </w:rPr>
        <w:t>Наредба № 53 от 23.12.2016 г. за изискванията към отчетността, оценката на активите и пасивите</w:t>
      </w:r>
      <w:r w:rsidRPr="008D7BDF">
        <w:rPr>
          <w:sz w:val="24"/>
          <w:szCs w:val="24"/>
          <w:lang w:val="bg-BG"/>
        </w:rPr>
        <w:t xml:space="preserve"> и образуването на техническите резерви на застрахователите, презастрахователите и Гаранционния фонд (Наредба № 53)</w:t>
      </w:r>
      <w:r w:rsidRPr="00D953D8">
        <w:rPr>
          <w:bCs/>
          <w:sz w:val="24"/>
          <w:szCs w:val="24"/>
          <w:lang w:val="bg-BG"/>
        </w:rPr>
        <w:t xml:space="preserve">, както и </w:t>
      </w:r>
      <w:r>
        <w:rPr>
          <w:bCs/>
          <w:sz w:val="24"/>
          <w:szCs w:val="24"/>
          <w:lang w:val="bg-BG"/>
        </w:rPr>
        <w:t>периода за тяхното прилагане</w:t>
      </w:r>
      <w:r w:rsidR="004C6908">
        <w:rPr>
          <w:sz w:val="24"/>
          <w:szCs w:val="24"/>
          <w:lang w:val="bg-BG"/>
        </w:rPr>
        <w:t>.</w:t>
      </w:r>
    </w:p>
    <w:p w14:paraId="5500D78A" w14:textId="77777777" w:rsidR="00D953D8" w:rsidRPr="00D953D8" w:rsidRDefault="00D953D8" w:rsidP="00D953D8">
      <w:pPr>
        <w:ind w:firstLine="709"/>
        <w:jc w:val="both"/>
        <w:rPr>
          <w:sz w:val="24"/>
          <w:szCs w:val="24"/>
          <w:lang w:val="bg-BG"/>
        </w:rPr>
      </w:pPr>
      <w:r w:rsidRPr="00D953D8">
        <w:rPr>
          <w:sz w:val="24"/>
          <w:szCs w:val="24"/>
          <w:lang w:val="bg-BG"/>
        </w:rPr>
        <w:t xml:space="preserve">На основание чл. 66, ал. 1 от АПК откриването на производството по издаване на общия административен акт се оповестява публично чрез оповестяване на проекта на акта на интернет страницата на КФН в раздел „Обществени консултации”. </w:t>
      </w:r>
    </w:p>
    <w:p w14:paraId="1C59A0E0" w14:textId="77777777" w:rsidR="00D953D8" w:rsidRPr="00D953D8" w:rsidRDefault="00D953D8" w:rsidP="00D953D8">
      <w:pPr>
        <w:ind w:firstLine="709"/>
        <w:jc w:val="both"/>
        <w:rPr>
          <w:sz w:val="24"/>
          <w:szCs w:val="24"/>
          <w:lang w:val="bg-BG"/>
        </w:rPr>
      </w:pPr>
      <w:r w:rsidRPr="00D953D8">
        <w:rPr>
          <w:sz w:val="24"/>
          <w:szCs w:val="24"/>
          <w:lang w:val="bg-BG"/>
        </w:rPr>
        <w:t xml:space="preserve">На основание чл. 69, ал. 1, т. 1 от АПК формата за участие на заинтересованите лица в производството по издаване на акта е „Писмени предложения и възражения”. </w:t>
      </w:r>
    </w:p>
    <w:p w14:paraId="357D7FC0" w14:textId="222F5382" w:rsidR="00D953D8" w:rsidRPr="00D953D8" w:rsidRDefault="00D953D8" w:rsidP="00D953D8">
      <w:pPr>
        <w:ind w:firstLine="709"/>
        <w:jc w:val="both"/>
        <w:rPr>
          <w:sz w:val="24"/>
          <w:szCs w:val="24"/>
          <w:lang w:val="bg-BG"/>
        </w:rPr>
      </w:pPr>
      <w:r w:rsidRPr="00D953D8">
        <w:rPr>
          <w:sz w:val="24"/>
          <w:szCs w:val="24"/>
          <w:lang w:val="bg-BG"/>
        </w:rPr>
        <w:t>На основание чл. 69, ал. 2 от АПК срокът за предоставяне на писмените предложения и възражения е един месец от датата на публикуване на съобщението за откриване на производството по издаване на административния акт на интернет страницата на КФН.</w:t>
      </w:r>
    </w:p>
    <w:p w14:paraId="2A9AC271" w14:textId="77777777" w:rsidR="00D953D8" w:rsidRPr="00D953D8" w:rsidRDefault="00D953D8" w:rsidP="00D953D8">
      <w:pPr>
        <w:pStyle w:val="Title"/>
        <w:jc w:val="both"/>
        <w:rPr>
          <w:rFonts w:ascii="Times New Roman" w:hAnsi="Times New Roman"/>
          <w:sz w:val="24"/>
          <w:szCs w:val="24"/>
          <w:u w:val="none"/>
        </w:rPr>
      </w:pPr>
    </w:p>
    <w:p w14:paraId="199C5146" w14:textId="77777777" w:rsidR="003A54C5" w:rsidRPr="00D17160" w:rsidRDefault="003A54C5" w:rsidP="003A54C5">
      <w:pPr>
        <w:tabs>
          <w:tab w:val="left" w:pos="3828"/>
          <w:tab w:val="left" w:pos="4111"/>
          <w:tab w:val="left" w:pos="4253"/>
          <w:tab w:val="right" w:pos="9070"/>
        </w:tabs>
        <w:overflowPunct w:val="0"/>
        <w:autoSpaceDE w:val="0"/>
        <w:autoSpaceDN w:val="0"/>
        <w:adjustRightInd w:val="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F0E84">
        <w:rPr>
          <w:b/>
          <w:noProof/>
          <w:lang w:val="bg-BG"/>
        </w:rPr>
        <w:drawing>
          <wp:inline distT="0" distB="0" distL="0" distR="0" wp14:anchorId="05DA512D" wp14:editId="2368F18F">
            <wp:extent cx="812165" cy="6508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  <w:lang w:val="bg-BG"/>
        </w:rPr>
        <w:tab/>
        <w:t>Проект!</w:t>
      </w:r>
    </w:p>
    <w:p w14:paraId="1CE6A3FA" w14:textId="77777777" w:rsidR="003A54C5" w:rsidRPr="001F0E84" w:rsidRDefault="003A54C5" w:rsidP="003A54C5">
      <w:pPr>
        <w:overflowPunct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1F0E84">
        <w:rPr>
          <w:sz w:val="28"/>
          <w:szCs w:val="24"/>
        </w:rPr>
        <w:t>КОМИСИЯ ЗА ФИНАНСОВ НАДЗОР</w:t>
      </w:r>
    </w:p>
    <w:p w14:paraId="572D747A" w14:textId="77777777" w:rsidR="003A54C5" w:rsidRDefault="003A54C5" w:rsidP="003A54C5">
      <w:pPr>
        <w:pStyle w:val="Header"/>
      </w:pPr>
    </w:p>
    <w:p w14:paraId="5EEE714B" w14:textId="77777777" w:rsidR="00C32B8E" w:rsidRPr="00C32B8E" w:rsidRDefault="00C32B8E" w:rsidP="00C32B8E">
      <w:pPr>
        <w:jc w:val="center"/>
        <w:outlineLvl w:val="0"/>
        <w:rPr>
          <w:b/>
          <w:sz w:val="24"/>
          <w:szCs w:val="24"/>
          <w:lang w:val="bg-BG"/>
        </w:rPr>
      </w:pPr>
      <w:r w:rsidRPr="00C32B8E">
        <w:rPr>
          <w:b/>
          <w:sz w:val="24"/>
          <w:szCs w:val="24"/>
          <w:lang w:val="bg-BG"/>
        </w:rPr>
        <w:t xml:space="preserve">РЕШЕНИЕ № </w:t>
      </w:r>
      <w:r w:rsidRPr="00C32B8E">
        <w:rPr>
          <w:b/>
          <w:sz w:val="24"/>
          <w:szCs w:val="24"/>
        </w:rPr>
        <w:t>…………</w:t>
      </w:r>
    </w:p>
    <w:p w14:paraId="7C7D249B" w14:textId="7E64CF68" w:rsidR="00C32B8E" w:rsidRPr="00C32B8E" w:rsidRDefault="00C32B8E" w:rsidP="00C32B8E">
      <w:pPr>
        <w:tabs>
          <w:tab w:val="left" w:pos="375"/>
        </w:tabs>
        <w:jc w:val="center"/>
        <w:rPr>
          <w:b/>
          <w:sz w:val="24"/>
          <w:szCs w:val="24"/>
          <w:lang w:val="bg-BG"/>
        </w:rPr>
      </w:pPr>
      <w:r w:rsidRPr="00C32B8E">
        <w:rPr>
          <w:b/>
          <w:sz w:val="24"/>
          <w:szCs w:val="24"/>
          <w:lang w:val="bg-BG"/>
        </w:rPr>
        <w:t xml:space="preserve">от </w:t>
      </w:r>
      <w:r w:rsidRPr="0026554D">
        <w:rPr>
          <w:b/>
          <w:sz w:val="24"/>
          <w:szCs w:val="24"/>
        </w:rPr>
        <w:t>…</w:t>
      </w:r>
      <w:r w:rsidRPr="0026554D">
        <w:rPr>
          <w:b/>
          <w:sz w:val="24"/>
          <w:szCs w:val="24"/>
          <w:lang w:val="bg-BG"/>
        </w:rPr>
        <w:t>...202</w:t>
      </w:r>
      <w:r w:rsidR="00B24949" w:rsidRPr="0026554D">
        <w:rPr>
          <w:b/>
          <w:sz w:val="24"/>
          <w:szCs w:val="24"/>
        </w:rPr>
        <w:t>2</w:t>
      </w:r>
      <w:r w:rsidRPr="0026554D">
        <w:rPr>
          <w:b/>
          <w:sz w:val="24"/>
          <w:szCs w:val="24"/>
          <w:lang w:val="bg-BG"/>
        </w:rPr>
        <w:t xml:space="preserve"> г.</w:t>
      </w:r>
    </w:p>
    <w:p w14:paraId="67F250C2" w14:textId="77777777" w:rsidR="00C32B8E" w:rsidRPr="00C32B8E" w:rsidRDefault="00C32B8E" w:rsidP="00C32B8E">
      <w:pPr>
        <w:tabs>
          <w:tab w:val="left" w:pos="375"/>
        </w:tabs>
        <w:jc w:val="center"/>
        <w:rPr>
          <w:b/>
          <w:sz w:val="24"/>
          <w:szCs w:val="24"/>
          <w:lang w:val="bg-BG"/>
        </w:rPr>
      </w:pPr>
    </w:p>
    <w:p w14:paraId="501CFCA7" w14:textId="5907A7E9" w:rsidR="00AC7199" w:rsidRPr="00C32B8E" w:rsidRDefault="00AC7199" w:rsidP="008527CD">
      <w:pPr>
        <w:pStyle w:val="Title"/>
        <w:rPr>
          <w:rFonts w:ascii="Times New Roman" w:hAnsi="Times New Roman"/>
          <w:sz w:val="24"/>
          <w:szCs w:val="24"/>
          <w:u w:val="none"/>
        </w:rPr>
      </w:pPr>
    </w:p>
    <w:p w14:paraId="3C954339" w14:textId="77777777" w:rsidR="00BA5367" w:rsidRPr="00BA5367" w:rsidRDefault="00BA5367" w:rsidP="00BA5367">
      <w:pPr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 xml:space="preserve">Въз основа на постъпилата от застрахователите в Комисията за финансов надзор (КФН) информация по чл. 125 и чл. 126 от Кодекса за застраховането (КЗ) за развитието на пазарния застрахователен портфейл по класове застраховки по Раздел </w:t>
      </w:r>
      <w:r w:rsidRPr="00BA5367">
        <w:rPr>
          <w:sz w:val="24"/>
          <w:szCs w:val="24"/>
        </w:rPr>
        <w:t>II</w:t>
      </w:r>
      <w:r w:rsidRPr="00BA5367">
        <w:rPr>
          <w:sz w:val="24"/>
          <w:szCs w:val="24"/>
          <w:lang w:val="bg-BG"/>
        </w:rPr>
        <w:t xml:space="preserve"> от Приложение № 1 от КЗ са извършени изчисления във връзка с чл. 91, ал. 3, т. 2 от 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 (Наредба № 53).</w:t>
      </w:r>
    </w:p>
    <w:p w14:paraId="4540B69A" w14:textId="5BE188BE" w:rsidR="00BA5367" w:rsidRPr="00BA5367" w:rsidRDefault="00C22E53" w:rsidP="00BA5367">
      <w:pPr>
        <w:ind w:firstLine="709"/>
        <w:jc w:val="both"/>
        <w:rPr>
          <w:sz w:val="24"/>
          <w:szCs w:val="24"/>
          <w:lang w:val="bg-BG"/>
        </w:rPr>
      </w:pPr>
      <w:r w:rsidRPr="00C22E53">
        <w:rPr>
          <w:sz w:val="24"/>
          <w:szCs w:val="24"/>
          <w:lang w:val="bg-BG"/>
        </w:rPr>
        <w:t>Използвана е методология на база данни за периода 201</w:t>
      </w:r>
      <w:r w:rsidR="00D056FE">
        <w:rPr>
          <w:sz w:val="24"/>
          <w:szCs w:val="24"/>
          <w:lang w:val="bg-BG"/>
        </w:rPr>
        <w:t>9</w:t>
      </w:r>
      <w:r w:rsidRPr="00C22E53">
        <w:rPr>
          <w:sz w:val="24"/>
          <w:szCs w:val="24"/>
          <w:lang w:val="bg-BG"/>
        </w:rPr>
        <w:t xml:space="preserve"> г. – 202</w:t>
      </w:r>
      <w:r w:rsidR="00D056FE">
        <w:rPr>
          <w:sz w:val="24"/>
          <w:szCs w:val="24"/>
          <w:lang w:val="bg-BG"/>
        </w:rPr>
        <w:t>1</w:t>
      </w:r>
      <w:r w:rsidRPr="00C22E53">
        <w:rPr>
          <w:sz w:val="24"/>
          <w:szCs w:val="24"/>
          <w:lang w:val="bg-BG"/>
        </w:rPr>
        <w:t xml:space="preserve"> г. за определяне на минималните проценти по чл. 91, ал. 3, т. 2 от Наредба № 53, съгласно която:</w:t>
      </w:r>
    </w:p>
    <w:p w14:paraId="5EAA0411" w14:textId="77777777" w:rsidR="00BA5367" w:rsidRPr="00BA5367" w:rsidRDefault="00BA5367" w:rsidP="00BA5367">
      <w:pPr>
        <w:pStyle w:val="ListParagraph"/>
        <w:numPr>
          <w:ilvl w:val="0"/>
          <w:numId w:val="10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67">
        <w:rPr>
          <w:rFonts w:ascii="Times New Roman" w:hAnsi="Times New Roman" w:cs="Times New Roman"/>
          <w:sz w:val="24"/>
          <w:szCs w:val="24"/>
        </w:rPr>
        <w:t>размерът на резерва за възникнали, но непредявени претенции (РВНП) към края на съответната отчетна година е намален с излишъка (недостига) на резерва към края на следващата отчетна година;</w:t>
      </w:r>
    </w:p>
    <w:p w14:paraId="3B6ADD03" w14:textId="77777777" w:rsidR="00BA5367" w:rsidRPr="00BA5367" w:rsidRDefault="00BA5367" w:rsidP="00BA5367">
      <w:pPr>
        <w:numPr>
          <w:ilvl w:val="0"/>
          <w:numId w:val="10"/>
        </w:numPr>
        <w:spacing w:after="120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>получената сума е разделена на всеки от показателите, съгласно чл. 91, ал. 3, т. 2 от Наредба № 53, след което резултатът е умножен по 100;</w:t>
      </w:r>
    </w:p>
    <w:p w14:paraId="0DAD97F5" w14:textId="77777777" w:rsidR="00BA5367" w:rsidRPr="00BA5367" w:rsidRDefault="00BA5367" w:rsidP="00BA5367">
      <w:pPr>
        <w:numPr>
          <w:ilvl w:val="0"/>
          <w:numId w:val="10"/>
        </w:numPr>
        <w:spacing w:after="120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 xml:space="preserve">за минимален процент по чл. 91, ал. 3, т. 2 от Наредба № 53, се приема среднопретеглената стойност на отношението между размерът на резерва за </w:t>
      </w:r>
      <w:r w:rsidRPr="00BA5367">
        <w:rPr>
          <w:sz w:val="24"/>
          <w:szCs w:val="24"/>
          <w:lang w:val="bg-BG"/>
        </w:rPr>
        <w:lastRenderedPageBreak/>
        <w:t xml:space="preserve">възникнали, но непредявени претенции (РВНП) и всеки съответен показател, съгласно 91, ал. 3, т. 2. </w:t>
      </w:r>
    </w:p>
    <w:p w14:paraId="57AB39A4" w14:textId="77777777" w:rsidR="00BA5367" w:rsidRPr="00BA5367" w:rsidRDefault="00BA5367" w:rsidP="00BA5367">
      <w:pPr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>Предвид гореизложеното, на основание чл. 16, ал. 1, т. 24 от Закона за Комисията за финансов надзор, във връзка с чл. 119, ал. 2, т. 2 от КЗ и чл. 10, ал. 1 във връзка с чл. 91, ал. 3, т. 2 от Наредба № 53</w:t>
      </w:r>
    </w:p>
    <w:p w14:paraId="5ECF25CA" w14:textId="77777777" w:rsidR="00BA5367" w:rsidRPr="00BA5367" w:rsidRDefault="00BA5367" w:rsidP="00BA5367">
      <w:pPr>
        <w:ind w:firstLine="709"/>
        <w:rPr>
          <w:sz w:val="24"/>
          <w:szCs w:val="24"/>
          <w:lang w:val="bg-BG"/>
        </w:rPr>
      </w:pPr>
    </w:p>
    <w:p w14:paraId="33A0C112" w14:textId="77777777" w:rsidR="00BA5367" w:rsidRPr="00BA5367" w:rsidRDefault="00BA5367" w:rsidP="00BA5367">
      <w:pPr>
        <w:jc w:val="center"/>
        <w:rPr>
          <w:b/>
          <w:sz w:val="24"/>
          <w:szCs w:val="24"/>
          <w:lang w:val="ru-RU"/>
        </w:rPr>
      </w:pPr>
    </w:p>
    <w:p w14:paraId="4BE98EB9" w14:textId="4903D8CB" w:rsidR="00BA5367" w:rsidRPr="00BA5367" w:rsidRDefault="00BA5367" w:rsidP="00BA5367">
      <w:pPr>
        <w:jc w:val="center"/>
        <w:rPr>
          <w:b/>
          <w:sz w:val="24"/>
          <w:szCs w:val="24"/>
          <w:lang w:val="ru-RU"/>
        </w:rPr>
      </w:pPr>
      <w:r w:rsidRPr="00BA5367">
        <w:rPr>
          <w:b/>
          <w:sz w:val="24"/>
          <w:szCs w:val="24"/>
          <w:lang w:val="ru-RU"/>
        </w:rPr>
        <w:t>Р</w:t>
      </w:r>
      <w:r w:rsidRPr="00BA5367">
        <w:rPr>
          <w:b/>
          <w:sz w:val="24"/>
          <w:szCs w:val="24"/>
          <w:lang w:val="bg-BG"/>
        </w:rPr>
        <w:t xml:space="preserve"> </w:t>
      </w:r>
      <w:r w:rsidRPr="00BA5367">
        <w:rPr>
          <w:b/>
          <w:sz w:val="24"/>
          <w:szCs w:val="24"/>
          <w:lang w:val="ru-RU"/>
        </w:rPr>
        <w:t>Е</w:t>
      </w:r>
      <w:r w:rsidRPr="00BA5367">
        <w:rPr>
          <w:b/>
          <w:sz w:val="24"/>
          <w:szCs w:val="24"/>
          <w:lang w:val="bg-BG"/>
        </w:rPr>
        <w:t xml:space="preserve"> </w:t>
      </w:r>
      <w:r w:rsidRPr="00BA5367">
        <w:rPr>
          <w:b/>
          <w:sz w:val="24"/>
          <w:szCs w:val="24"/>
          <w:lang w:val="ru-RU"/>
        </w:rPr>
        <w:t>Ш</w:t>
      </w:r>
      <w:r w:rsidRPr="00BA5367">
        <w:rPr>
          <w:b/>
          <w:sz w:val="24"/>
          <w:szCs w:val="24"/>
          <w:lang w:val="bg-BG"/>
        </w:rPr>
        <w:t xml:space="preserve"> </w:t>
      </w:r>
      <w:r w:rsidRPr="00BA5367">
        <w:rPr>
          <w:b/>
          <w:sz w:val="24"/>
          <w:szCs w:val="24"/>
          <w:lang w:val="ru-RU"/>
        </w:rPr>
        <w:t>И</w:t>
      </w:r>
      <w:r w:rsidRPr="00BA5367">
        <w:rPr>
          <w:b/>
          <w:sz w:val="24"/>
          <w:szCs w:val="24"/>
          <w:lang w:val="bg-BG"/>
        </w:rPr>
        <w:t xml:space="preserve"> </w:t>
      </w:r>
      <w:r w:rsidRPr="00BA5367">
        <w:rPr>
          <w:b/>
          <w:sz w:val="24"/>
          <w:szCs w:val="24"/>
          <w:lang w:val="ru-RU"/>
        </w:rPr>
        <w:t>Х:</w:t>
      </w:r>
    </w:p>
    <w:p w14:paraId="5A152EF7" w14:textId="77777777" w:rsidR="00BA5367" w:rsidRPr="00BA5367" w:rsidRDefault="00BA5367" w:rsidP="00BA5367">
      <w:pPr>
        <w:jc w:val="center"/>
        <w:rPr>
          <w:b/>
          <w:sz w:val="24"/>
          <w:szCs w:val="24"/>
          <w:lang w:val="bg-BG"/>
        </w:rPr>
      </w:pPr>
    </w:p>
    <w:p w14:paraId="79B798D0" w14:textId="76F2C16D" w:rsidR="00BA5367" w:rsidRPr="00BA5367" w:rsidRDefault="00BA5367" w:rsidP="00BA5367">
      <w:pPr>
        <w:spacing w:after="120"/>
        <w:ind w:firstLine="709"/>
        <w:jc w:val="both"/>
        <w:rPr>
          <w:b/>
          <w:sz w:val="24"/>
          <w:szCs w:val="24"/>
          <w:lang w:val="bg-BG"/>
        </w:rPr>
      </w:pPr>
      <w:r w:rsidRPr="00BA5367">
        <w:rPr>
          <w:b/>
          <w:sz w:val="24"/>
          <w:szCs w:val="24"/>
          <w:lang w:val="bg-BG"/>
        </w:rPr>
        <w:t xml:space="preserve">Определям минимални проценти, съгласно чл. 91, ал. 3, т. 2 от Наредба № 53, които следва да се използват от застрахователите, </w:t>
      </w:r>
      <w:proofErr w:type="spellStart"/>
      <w:r w:rsidRPr="00BA5367">
        <w:rPr>
          <w:b/>
          <w:sz w:val="24"/>
          <w:szCs w:val="24"/>
          <w:lang w:val="bg-BG"/>
        </w:rPr>
        <w:t>неразполагащи</w:t>
      </w:r>
      <w:proofErr w:type="spellEnd"/>
      <w:r w:rsidRPr="00BA5367">
        <w:rPr>
          <w:b/>
          <w:sz w:val="24"/>
          <w:szCs w:val="24"/>
          <w:lang w:val="bg-BG"/>
        </w:rPr>
        <w:t xml:space="preserve"> с достатъчно представителна и надеждна статистика за развитието на претенциите при определяне на размера на резерва за възникнали, но непредявени претенции по класове застраховки по Раздел </w:t>
      </w:r>
      <w:r w:rsidRPr="00BA5367">
        <w:rPr>
          <w:b/>
          <w:sz w:val="24"/>
          <w:szCs w:val="24"/>
        </w:rPr>
        <w:t>II</w:t>
      </w:r>
      <w:r w:rsidRPr="00BA5367">
        <w:rPr>
          <w:b/>
          <w:sz w:val="24"/>
          <w:szCs w:val="24"/>
          <w:lang w:val="bg-BG"/>
        </w:rPr>
        <w:t xml:space="preserve"> от Приложение № 1 от КЗ</w:t>
      </w:r>
      <w:r w:rsidRPr="00BA5367">
        <w:rPr>
          <w:b/>
          <w:sz w:val="24"/>
          <w:szCs w:val="24"/>
          <w:lang w:val="ru-RU"/>
        </w:rPr>
        <w:t xml:space="preserve"> </w:t>
      </w:r>
      <w:r w:rsidRPr="00BA5367">
        <w:rPr>
          <w:b/>
          <w:sz w:val="24"/>
          <w:szCs w:val="24"/>
          <w:lang w:val="bg-BG"/>
        </w:rPr>
        <w:t>(с изключение на т. 10.1. Всяка застраховка за вреди, възникваща при използването на сухопътни моторни превозни средства) към 31.12.20</w:t>
      </w:r>
      <w:r w:rsidRPr="00BA5367">
        <w:rPr>
          <w:b/>
          <w:sz w:val="24"/>
          <w:szCs w:val="24"/>
        </w:rPr>
        <w:t>2</w:t>
      </w:r>
      <w:r w:rsidRPr="00BA5367">
        <w:rPr>
          <w:b/>
          <w:sz w:val="24"/>
          <w:szCs w:val="24"/>
          <w:lang w:val="bg-BG"/>
        </w:rPr>
        <w:t>2 г., както следва: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418"/>
      </w:tblGrid>
      <w:tr w:rsidR="00BA5367" w:rsidRPr="0053533A" w14:paraId="07E116A0" w14:textId="77777777" w:rsidTr="0053533A">
        <w:trPr>
          <w:trHeight w:val="782"/>
        </w:trPr>
        <w:tc>
          <w:tcPr>
            <w:tcW w:w="4531" w:type="dxa"/>
            <w:shd w:val="clear" w:color="auto" w:fill="auto"/>
            <w:vAlign w:val="center"/>
            <w:hideMark/>
          </w:tcPr>
          <w:p w14:paraId="136E50A9" w14:textId="77777777" w:rsidR="00BA5367" w:rsidRPr="0053533A" w:rsidRDefault="00BA5367" w:rsidP="000247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Класове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застраховки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1928DB" w14:textId="77777777" w:rsidR="00BA5367" w:rsidRPr="0053533A" w:rsidRDefault="00BA5367" w:rsidP="000247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Минимални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проценти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премийния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приход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411BA6" w14:textId="77777777" w:rsidR="00BA5367" w:rsidRPr="0053533A" w:rsidRDefault="00BA5367" w:rsidP="000247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Минимални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проценти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спечелените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премии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E6ABA" w14:textId="77777777" w:rsidR="00BA5367" w:rsidRPr="0053533A" w:rsidRDefault="00BA5367" w:rsidP="000247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Минимални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проценти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предявените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претенции</w:t>
            </w:r>
            <w:proofErr w:type="spellEnd"/>
          </w:p>
        </w:tc>
      </w:tr>
      <w:tr w:rsidR="0053533A" w:rsidRPr="0053533A" w14:paraId="319F046F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612DB351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Злополука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145174C" w14:textId="74AA550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14.55%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B9587" w14:textId="534025C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14.67%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42A7E" w14:textId="21B19F92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50.07%</w:t>
            </w:r>
          </w:p>
        </w:tc>
      </w:tr>
      <w:tr w:rsidR="0053533A" w:rsidRPr="0053533A" w14:paraId="09DBD3D8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3C79D5F0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Заболяване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9113A32" w14:textId="52D9F998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6.32%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25A1F" w14:textId="04F68B8F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6.51%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81574" w14:textId="292D89A8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11.83%</w:t>
            </w:r>
          </w:p>
        </w:tc>
      </w:tr>
      <w:tr w:rsidR="0053533A" w:rsidRPr="0053533A" w14:paraId="610DFACA" w14:textId="77777777" w:rsidTr="0053533A">
        <w:trPr>
          <w:trHeight w:val="221"/>
        </w:trPr>
        <w:tc>
          <w:tcPr>
            <w:tcW w:w="4531" w:type="dxa"/>
            <w:shd w:val="clear" w:color="auto" w:fill="auto"/>
            <w:vAlign w:val="center"/>
            <w:hideMark/>
          </w:tcPr>
          <w:p w14:paraId="515AAAA2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Сухопътни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превозни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>, (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без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релсови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превозни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0E64A" w14:textId="43444FAA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1.50%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F6BC4" w14:textId="584E4DA4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1.53%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6119A" w14:textId="1EFFF3F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2.84%</w:t>
            </w:r>
          </w:p>
        </w:tc>
      </w:tr>
      <w:tr w:rsidR="0053533A" w:rsidRPr="0053533A" w14:paraId="6AB277B0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705AF9E9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Релсови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превозни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D325A60" w14:textId="13E2A3EF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3.14%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20318" w14:textId="3BCFE830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3.22%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D910E" w14:textId="773BDFD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18.80%</w:t>
            </w:r>
          </w:p>
        </w:tc>
      </w:tr>
      <w:tr w:rsidR="0053533A" w:rsidRPr="0053533A" w14:paraId="53BFB6CE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5BA67E37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Летателни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апарати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D44F7AC" w14:textId="4B3A2ECA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4.20%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E4657" w14:textId="3825D00F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4.56%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D7509" w14:textId="5D1A329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20.71%</w:t>
            </w:r>
          </w:p>
        </w:tc>
      </w:tr>
      <w:tr w:rsidR="0053533A" w:rsidRPr="0053533A" w14:paraId="51CA1573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7CD4E32F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Плавателни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съдове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E1C86ED" w14:textId="06272224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13.25%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0E785" w14:textId="3851D52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14.91%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EC6B6" w14:textId="51DF8E7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34.20%</w:t>
            </w:r>
          </w:p>
        </w:tc>
      </w:tr>
      <w:tr w:rsidR="0053533A" w:rsidRPr="0053533A" w14:paraId="7122FD1E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50A5B4BE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Товари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време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превоз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013C04F" w14:textId="58A5C744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7.78%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53DAA" w14:textId="57F905A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7.96%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B679D" w14:textId="5B0E83B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28.26%</w:t>
            </w:r>
          </w:p>
        </w:tc>
      </w:tr>
      <w:tr w:rsidR="0053533A" w:rsidRPr="0053533A" w14:paraId="03612B1D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6655651A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Пожар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природни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514845D" w14:textId="528B3BA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6.25%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6CF89" w14:textId="40014CC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6.40%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47609" w14:textId="582D2D9A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18.43%</w:t>
            </w:r>
          </w:p>
        </w:tc>
      </w:tr>
      <w:tr w:rsidR="0053533A" w:rsidRPr="0053533A" w14:paraId="33B29B25" w14:textId="77777777" w:rsidTr="0053533A">
        <w:trPr>
          <w:trHeight w:val="117"/>
        </w:trPr>
        <w:tc>
          <w:tcPr>
            <w:tcW w:w="4531" w:type="dxa"/>
            <w:shd w:val="clear" w:color="auto" w:fill="auto"/>
            <w:vAlign w:val="center"/>
            <w:hideMark/>
          </w:tcPr>
          <w:p w14:paraId="41BFA41E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Други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вреди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007EFA8" w14:textId="74B5A316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7.46%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1FB49" w14:textId="322AFEB5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7.65%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21814" w14:textId="0A8A8008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47.37%</w:t>
            </w:r>
          </w:p>
        </w:tc>
      </w:tr>
      <w:tr w:rsidR="0053533A" w:rsidRPr="0053533A" w14:paraId="3D1D248A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65F6B926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Гражданска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отговорност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превозвача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529D76C" w14:textId="08FD3316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25.30%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A244C" w14:textId="57C417B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25.44%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F5E2F" w14:textId="4DA76F1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27.43%</w:t>
            </w:r>
          </w:p>
        </w:tc>
      </w:tr>
      <w:tr w:rsidR="0053533A" w:rsidRPr="0053533A" w14:paraId="52EC49A4" w14:textId="77777777" w:rsidTr="0053533A">
        <w:trPr>
          <w:trHeight w:val="208"/>
        </w:trPr>
        <w:tc>
          <w:tcPr>
            <w:tcW w:w="4531" w:type="dxa"/>
            <w:shd w:val="clear" w:color="auto" w:fill="auto"/>
            <w:vAlign w:val="center"/>
            <w:hideMark/>
          </w:tcPr>
          <w:p w14:paraId="220F9874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Гражданска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отговорност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свързана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притежаването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използването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летателни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апарати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B585735" w14:textId="2E38B31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3.82%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66785" w14:textId="0AAF27F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4.03%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E15EF" w14:textId="4543DE8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130.98%</w:t>
            </w:r>
          </w:p>
        </w:tc>
      </w:tr>
      <w:tr w:rsidR="0053533A" w:rsidRPr="0053533A" w14:paraId="1E71CAEA" w14:textId="77777777" w:rsidTr="0053533A">
        <w:trPr>
          <w:trHeight w:val="144"/>
        </w:trPr>
        <w:tc>
          <w:tcPr>
            <w:tcW w:w="4531" w:type="dxa"/>
            <w:shd w:val="clear" w:color="auto" w:fill="auto"/>
            <w:vAlign w:val="center"/>
            <w:hideMark/>
          </w:tcPr>
          <w:p w14:paraId="4DD1EDEC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Гражданска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отговорност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свързана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притежаването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използването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плавателни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съдове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9A14C4E" w14:textId="7B9161D8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1.52%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91073" w14:textId="6D35BFCD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1.53%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8C386" w14:textId="6324895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41.87%</w:t>
            </w:r>
          </w:p>
        </w:tc>
      </w:tr>
      <w:tr w:rsidR="0053533A" w:rsidRPr="0053533A" w14:paraId="028725C5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0E8247C1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Обща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гражданска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отговорност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7077B4D" w14:textId="3C88926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40.17%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1F7B0" w14:textId="55986F4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44.82%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7F60E" w14:textId="02CE9B22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129.46%</w:t>
            </w:r>
          </w:p>
        </w:tc>
      </w:tr>
      <w:tr w:rsidR="0053533A" w:rsidRPr="0053533A" w14:paraId="1A805EE4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15C0B044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Кредити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C36CEF0" w14:textId="780CD5EF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D9A6F" w14:textId="61354783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7.58%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F2" w14:textId="6C70F8D7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7.77%</w:t>
            </w:r>
          </w:p>
        </w:tc>
      </w:tr>
      <w:tr w:rsidR="0053533A" w:rsidRPr="0053533A" w14:paraId="30BD14B6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49C5146A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Гаранции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8ACFA34" w14:textId="4527D271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5.15%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7729D" w14:textId="42BC1274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6.58%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49CB8" w14:textId="20D5497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67.99%</w:t>
            </w:r>
          </w:p>
        </w:tc>
      </w:tr>
      <w:tr w:rsidR="0053533A" w:rsidRPr="0053533A" w14:paraId="135278FA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60D06A19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Разни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финансови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загуби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6833512" w14:textId="51DC6495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4.71%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7D445" w14:textId="4618C931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5.38%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74802" w14:textId="3B7CBBB1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17.17%</w:t>
            </w:r>
          </w:p>
        </w:tc>
      </w:tr>
      <w:tr w:rsidR="0053533A" w:rsidRPr="0053533A" w14:paraId="0287F1A9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5DF7D939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Правни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разноски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85547B6" w14:textId="224A367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4.24%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CC917" w14:textId="1A369585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4.64%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B4521" w14:textId="59859A64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343.62%</w:t>
            </w:r>
          </w:p>
        </w:tc>
      </w:tr>
      <w:tr w:rsidR="0053533A" w:rsidRPr="0053533A" w14:paraId="44E4B9B2" w14:textId="77777777" w:rsidTr="0053533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14:paraId="344E9EBC" w14:textId="77777777" w:rsidR="0053533A" w:rsidRPr="0053533A" w:rsidRDefault="0053533A" w:rsidP="005353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533A">
              <w:rPr>
                <w:color w:val="000000"/>
                <w:sz w:val="24"/>
                <w:szCs w:val="24"/>
              </w:rPr>
              <w:t>Помощ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5353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33A">
              <w:rPr>
                <w:color w:val="000000"/>
                <w:sz w:val="24"/>
                <w:szCs w:val="24"/>
              </w:rPr>
              <w:t>пътуване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72C70EF" w14:textId="6B2F6CE6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5.62%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55B1E" w14:textId="44943C09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6.16%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53CA7" w14:textId="1840FDEC" w:rsidR="0053533A" w:rsidRPr="0053533A" w:rsidRDefault="0053533A" w:rsidP="00535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53533A">
              <w:rPr>
                <w:sz w:val="24"/>
                <w:szCs w:val="24"/>
              </w:rPr>
              <w:t>20.93%</w:t>
            </w:r>
          </w:p>
        </w:tc>
      </w:tr>
    </w:tbl>
    <w:p w14:paraId="15B4B237" w14:textId="77777777" w:rsidR="00BA5367" w:rsidRPr="00BA5367" w:rsidRDefault="00BA5367" w:rsidP="00BA53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>При извършване на дейност при условията на правото на установяване или при свободата за предоставяне на услуги, застрахователите следва да прилагат чл. 91, ал. 6 от Наредба № 53.</w:t>
      </w:r>
    </w:p>
    <w:p w14:paraId="5025A592" w14:textId="77777777" w:rsidR="00BA5367" w:rsidRPr="00BA5367" w:rsidRDefault="00BA5367" w:rsidP="00BA53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lastRenderedPageBreak/>
        <w:t>На основание чл. 72, ал. 1 от Административнопроцесуалния кодекс решението да се публикува на официалната страница на КФН в интернет. Отделни съобщения за издаването на решението да се изпратят на представителните организации на застрахователите и на всички застрахователи със седалище в Република България.</w:t>
      </w:r>
    </w:p>
    <w:p w14:paraId="4F4DB7B7" w14:textId="77777777" w:rsidR="00BA5367" w:rsidRPr="00BA5367" w:rsidRDefault="00BA5367" w:rsidP="00BA5367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lang w:val="ru-RU"/>
        </w:rPr>
      </w:pPr>
      <w:r w:rsidRPr="00BA5367">
        <w:rPr>
          <w:sz w:val="24"/>
          <w:szCs w:val="24"/>
          <w:lang w:val="bg-BG"/>
        </w:rPr>
        <w:t>На основание чл. 133, ал. 3 във връзка с чл. 179 от Административнопроцесуалния кодекс решението подлежи на оспорване пред Административен съд София-град в 14-дневен срок от отделните съобщения до лицата</w:t>
      </w:r>
      <w:r w:rsidRPr="00BA5367">
        <w:rPr>
          <w:sz w:val="24"/>
          <w:szCs w:val="24"/>
          <w:lang w:val="ru-RU"/>
        </w:rPr>
        <w:t>.</w:t>
      </w:r>
    </w:p>
    <w:p w14:paraId="738DD3F9" w14:textId="77777777" w:rsidR="00BA5367" w:rsidRPr="00BA5367" w:rsidRDefault="00BA5367" w:rsidP="00BA5367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>Решението подлежи на изпълнение от момента на съобщаването му, като оспорването не спира изпълнението му.</w:t>
      </w:r>
    </w:p>
    <w:p w14:paraId="2309F843" w14:textId="77777777" w:rsidR="00BA5367" w:rsidRPr="00BA5367" w:rsidRDefault="00BA5367" w:rsidP="00BA5367">
      <w:pPr>
        <w:ind w:firstLine="709"/>
        <w:jc w:val="both"/>
        <w:rPr>
          <w:sz w:val="24"/>
          <w:szCs w:val="24"/>
          <w:lang w:val="bg-BG"/>
        </w:rPr>
      </w:pPr>
    </w:p>
    <w:p w14:paraId="5085DF1B" w14:textId="77777777" w:rsidR="00BA5367" w:rsidRPr="00BA5367" w:rsidRDefault="00BA5367" w:rsidP="00BA5367">
      <w:pPr>
        <w:ind w:firstLine="709"/>
        <w:jc w:val="both"/>
        <w:rPr>
          <w:sz w:val="24"/>
          <w:szCs w:val="24"/>
          <w:lang w:val="bg-BG"/>
        </w:rPr>
      </w:pPr>
      <w:r w:rsidRPr="00BA5367">
        <w:rPr>
          <w:sz w:val="24"/>
          <w:szCs w:val="24"/>
          <w:lang w:val="bg-BG"/>
        </w:rPr>
        <w:t>По административното производство не са правени разноски.</w:t>
      </w:r>
    </w:p>
    <w:p w14:paraId="3ACCF490" w14:textId="77777777" w:rsidR="00BA5367" w:rsidRPr="00BA5367" w:rsidRDefault="00BA5367" w:rsidP="00BA5367">
      <w:pPr>
        <w:tabs>
          <w:tab w:val="right" w:pos="1440"/>
          <w:tab w:val="left" w:pos="6804"/>
        </w:tabs>
        <w:ind w:left="2977" w:right="-23"/>
        <w:rPr>
          <w:b/>
          <w:sz w:val="24"/>
          <w:szCs w:val="24"/>
        </w:rPr>
      </w:pPr>
    </w:p>
    <w:p w14:paraId="63CF0569" w14:textId="77777777" w:rsidR="00BA5367" w:rsidRPr="00BA5367" w:rsidRDefault="00BA5367" w:rsidP="00BA5367">
      <w:pPr>
        <w:tabs>
          <w:tab w:val="right" w:pos="1440"/>
          <w:tab w:val="left" w:pos="6804"/>
        </w:tabs>
        <w:ind w:left="2977" w:right="-23"/>
        <w:rPr>
          <w:b/>
          <w:sz w:val="24"/>
          <w:szCs w:val="24"/>
        </w:rPr>
      </w:pPr>
      <w:r w:rsidRPr="00BA5367">
        <w:rPr>
          <w:b/>
          <w:sz w:val="24"/>
          <w:szCs w:val="24"/>
        </w:rPr>
        <w:t>ЗАМЕСТНИК-ПРЕДСЕДАТЕЛ,</w:t>
      </w:r>
    </w:p>
    <w:p w14:paraId="180F89D4" w14:textId="77777777" w:rsidR="00BA5367" w:rsidRPr="00BA5367" w:rsidRDefault="00BA5367" w:rsidP="00BA5367">
      <w:pPr>
        <w:tabs>
          <w:tab w:val="right" w:pos="1440"/>
          <w:tab w:val="left" w:pos="6804"/>
        </w:tabs>
        <w:ind w:left="2977" w:right="-23"/>
        <w:rPr>
          <w:b/>
          <w:sz w:val="24"/>
          <w:szCs w:val="24"/>
        </w:rPr>
      </w:pPr>
      <w:r w:rsidRPr="00BA5367">
        <w:rPr>
          <w:b/>
          <w:sz w:val="24"/>
          <w:szCs w:val="24"/>
        </w:rPr>
        <w:t>РЪКОВОДЕЩ УПРАВЛЕНИЕ</w:t>
      </w:r>
    </w:p>
    <w:p w14:paraId="27274716" w14:textId="77777777" w:rsidR="00BA5367" w:rsidRPr="00BA5367" w:rsidRDefault="00BA5367" w:rsidP="00BA5367">
      <w:pPr>
        <w:tabs>
          <w:tab w:val="right" w:pos="1440"/>
          <w:tab w:val="left" w:pos="6804"/>
        </w:tabs>
        <w:ind w:left="2977" w:right="-23"/>
        <w:rPr>
          <w:b/>
          <w:sz w:val="24"/>
          <w:szCs w:val="24"/>
        </w:rPr>
      </w:pPr>
      <w:r w:rsidRPr="00BA5367">
        <w:rPr>
          <w:b/>
          <w:sz w:val="24"/>
          <w:szCs w:val="24"/>
        </w:rPr>
        <w:t xml:space="preserve">„ЗАСТРАХОВАТЕЛЕН НАДЗОР”: </w:t>
      </w:r>
    </w:p>
    <w:p w14:paraId="28DECBE5" w14:textId="77777777" w:rsidR="00BA5367" w:rsidRPr="00BA5367" w:rsidRDefault="00BA5367" w:rsidP="00BA5367">
      <w:pPr>
        <w:tabs>
          <w:tab w:val="right" w:pos="1440"/>
          <w:tab w:val="left" w:pos="6804"/>
        </w:tabs>
        <w:ind w:left="3119" w:right="-23"/>
        <w:rPr>
          <w:b/>
          <w:sz w:val="24"/>
          <w:szCs w:val="24"/>
        </w:rPr>
      </w:pPr>
      <w:r w:rsidRPr="00BA5367">
        <w:rPr>
          <w:b/>
          <w:sz w:val="24"/>
          <w:szCs w:val="24"/>
        </w:rPr>
        <w:tab/>
        <w:t xml:space="preserve">                                  </w:t>
      </w:r>
    </w:p>
    <w:p w14:paraId="0640CCD0" w14:textId="77777777" w:rsidR="00BA5367" w:rsidRPr="00BA5367" w:rsidRDefault="00BA5367" w:rsidP="00BA5367">
      <w:pPr>
        <w:tabs>
          <w:tab w:val="right" w:pos="1440"/>
          <w:tab w:val="left" w:pos="6804"/>
        </w:tabs>
        <w:ind w:right="-23"/>
        <w:jc w:val="right"/>
        <w:rPr>
          <w:b/>
          <w:sz w:val="24"/>
          <w:szCs w:val="24"/>
        </w:rPr>
      </w:pPr>
      <w:r w:rsidRPr="00BA5367">
        <w:rPr>
          <w:b/>
          <w:sz w:val="24"/>
          <w:szCs w:val="24"/>
        </w:rPr>
        <w:t>ВЛАДИМИР САВОВ</w:t>
      </w:r>
    </w:p>
    <w:p w14:paraId="15C18058" w14:textId="3A52911A" w:rsidR="003A54C5" w:rsidRDefault="003A54C5" w:rsidP="00BA5367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3A54C5" w:rsidSect="00C6267D">
      <w:footerReference w:type="even" r:id="rId8"/>
      <w:footerReference w:type="default" r:id="rId9"/>
      <w:pgSz w:w="12240" w:h="15840"/>
      <w:pgMar w:top="1135" w:right="1701" w:bottom="709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FAA8" w14:textId="77777777" w:rsidR="00C548A3" w:rsidRDefault="00C548A3">
      <w:r>
        <w:separator/>
      </w:r>
    </w:p>
  </w:endnote>
  <w:endnote w:type="continuationSeparator" w:id="0">
    <w:p w14:paraId="0E1948C0" w14:textId="77777777" w:rsidR="00C548A3" w:rsidRDefault="00C548A3">
      <w:r>
        <w:continuationSeparator/>
      </w:r>
    </w:p>
  </w:endnote>
  <w:endnote w:type="continuationNotice" w:id="1">
    <w:p w14:paraId="177C8475" w14:textId="77777777" w:rsidR="00C548A3" w:rsidRDefault="00C54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9A5D" w14:textId="77777777" w:rsidR="009F1DB7" w:rsidRDefault="009F1DB7" w:rsidP="00722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BB63B" w14:textId="77777777" w:rsidR="009F1DB7" w:rsidRDefault="009F1DB7" w:rsidP="002B0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797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B717B" w14:textId="1A2F17E1" w:rsidR="00C6267D" w:rsidRDefault="00C626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D6569" w14:textId="77777777" w:rsidR="009F1DB7" w:rsidRDefault="009F1DB7" w:rsidP="002B0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0A50" w14:textId="77777777" w:rsidR="00C548A3" w:rsidRDefault="00C548A3">
      <w:r>
        <w:separator/>
      </w:r>
    </w:p>
  </w:footnote>
  <w:footnote w:type="continuationSeparator" w:id="0">
    <w:p w14:paraId="1A1DEBA8" w14:textId="77777777" w:rsidR="00C548A3" w:rsidRDefault="00C548A3">
      <w:r>
        <w:continuationSeparator/>
      </w:r>
    </w:p>
  </w:footnote>
  <w:footnote w:type="continuationNotice" w:id="1">
    <w:p w14:paraId="08A2BBEA" w14:textId="77777777" w:rsidR="00C548A3" w:rsidRDefault="00C54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4FE"/>
    <w:multiLevelType w:val="hybridMultilevel"/>
    <w:tmpl w:val="263634C2"/>
    <w:lvl w:ilvl="0" w:tplc="188C3C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BB6"/>
    <w:multiLevelType w:val="hybridMultilevel"/>
    <w:tmpl w:val="C038C31A"/>
    <w:lvl w:ilvl="0" w:tplc="04020013">
      <w:start w:val="1"/>
      <w:numFmt w:val="upperRoman"/>
      <w:lvlText w:val="%1."/>
      <w:lvlJc w:val="right"/>
      <w:pPr>
        <w:tabs>
          <w:tab w:val="num" w:pos="889"/>
        </w:tabs>
        <w:ind w:left="889" w:hanging="180"/>
      </w:pPr>
      <w:rPr>
        <w:rFonts w:hint="default"/>
      </w:rPr>
    </w:lvl>
    <w:lvl w:ilvl="1" w:tplc="AF249B2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A1E5186"/>
    <w:multiLevelType w:val="singleLevel"/>
    <w:tmpl w:val="795E716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9922A6"/>
    <w:multiLevelType w:val="multilevel"/>
    <w:tmpl w:val="A1ACF35C"/>
    <w:lvl w:ilvl="0">
      <w:start w:val="1"/>
      <w:numFmt w:val="upperRoman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583037"/>
    <w:multiLevelType w:val="multilevel"/>
    <w:tmpl w:val="DBAE32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E8139B"/>
    <w:multiLevelType w:val="hybridMultilevel"/>
    <w:tmpl w:val="C7C8F1B8"/>
    <w:lvl w:ilvl="0" w:tplc="188C3C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D5356"/>
    <w:multiLevelType w:val="hybridMultilevel"/>
    <w:tmpl w:val="BEF6574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6C62C3"/>
    <w:multiLevelType w:val="hybridMultilevel"/>
    <w:tmpl w:val="3FF899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1701B"/>
    <w:multiLevelType w:val="hybridMultilevel"/>
    <w:tmpl w:val="26C814B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E0052F"/>
    <w:multiLevelType w:val="hybridMultilevel"/>
    <w:tmpl w:val="9AC4E1E8"/>
    <w:lvl w:ilvl="0" w:tplc="3C145F8A">
      <w:start w:val="16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5B0764D2"/>
    <w:multiLevelType w:val="hybridMultilevel"/>
    <w:tmpl w:val="430219C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C"/>
    <w:rsid w:val="000030A4"/>
    <w:rsid w:val="000135EA"/>
    <w:rsid w:val="0001514D"/>
    <w:rsid w:val="0002153C"/>
    <w:rsid w:val="00026C8B"/>
    <w:rsid w:val="00044598"/>
    <w:rsid w:val="0005068E"/>
    <w:rsid w:val="00056332"/>
    <w:rsid w:val="00065E90"/>
    <w:rsid w:val="000755E1"/>
    <w:rsid w:val="00092C8D"/>
    <w:rsid w:val="00094955"/>
    <w:rsid w:val="00097F8A"/>
    <w:rsid w:val="000B1D8B"/>
    <w:rsid w:val="000B4910"/>
    <w:rsid w:val="000B5C06"/>
    <w:rsid w:val="000C10EA"/>
    <w:rsid w:val="000C30CB"/>
    <w:rsid w:val="000D2563"/>
    <w:rsid w:val="000D4E71"/>
    <w:rsid w:val="000E0D42"/>
    <w:rsid w:val="000E482E"/>
    <w:rsid w:val="000F021E"/>
    <w:rsid w:val="001001BE"/>
    <w:rsid w:val="001019DC"/>
    <w:rsid w:val="00107176"/>
    <w:rsid w:val="00110936"/>
    <w:rsid w:val="001145D1"/>
    <w:rsid w:val="0011553D"/>
    <w:rsid w:val="00117FB9"/>
    <w:rsid w:val="00151F15"/>
    <w:rsid w:val="00161570"/>
    <w:rsid w:val="0016725E"/>
    <w:rsid w:val="001748BC"/>
    <w:rsid w:val="0017563B"/>
    <w:rsid w:val="00176FED"/>
    <w:rsid w:val="00180665"/>
    <w:rsid w:val="0018243A"/>
    <w:rsid w:val="001858A5"/>
    <w:rsid w:val="00187C3E"/>
    <w:rsid w:val="0019009E"/>
    <w:rsid w:val="001A1044"/>
    <w:rsid w:val="001A65B5"/>
    <w:rsid w:val="001A767A"/>
    <w:rsid w:val="001B4CE2"/>
    <w:rsid w:val="001B6583"/>
    <w:rsid w:val="001C7676"/>
    <w:rsid w:val="001D0051"/>
    <w:rsid w:val="001D14B3"/>
    <w:rsid w:val="001D32A1"/>
    <w:rsid w:val="001D56F1"/>
    <w:rsid w:val="001D6FEC"/>
    <w:rsid w:val="001E68DA"/>
    <w:rsid w:val="001E6AF5"/>
    <w:rsid w:val="001E73D0"/>
    <w:rsid w:val="001F0D0D"/>
    <w:rsid w:val="001F4260"/>
    <w:rsid w:val="001F7980"/>
    <w:rsid w:val="0020690C"/>
    <w:rsid w:val="00217156"/>
    <w:rsid w:val="002239D1"/>
    <w:rsid w:val="0023191F"/>
    <w:rsid w:val="00231E5F"/>
    <w:rsid w:val="0023664A"/>
    <w:rsid w:val="00246D8E"/>
    <w:rsid w:val="0025032B"/>
    <w:rsid w:val="002514EF"/>
    <w:rsid w:val="002556A3"/>
    <w:rsid w:val="0026554D"/>
    <w:rsid w:val="00280A9A"/>
    <w:rsid w:val="00282A26"/>
    <w:rsid w:val="00282A90"/>
    <w:rsid w:val="002837D1"/>
    <w:rsid w:val="0028402B"/>
    <w:rsid w:val="002930FF"/>
    <w:rsid w:val="00294489"/>
    <w:rsid w:val="002A1BC7"/>
    <w:rsid w:val="002B02A9"/>
    <w:rsid w:val="002B0960"/>
    <w:rsid w:val="002B24E5"/>
    <w:rsid w:val="002B6C90"/>
    <w:rsid w:val="002B77B1"/>
    <w:rsid w:val="002E3E33"/>
    <w:rsid w:val="003121BD"/>
    <w:rsid w:val="00326855"/>
    <w:rsid w:val="00351786"/>
    <w:rsid w:val="003523BF"/>
    <w:rsid w:val="00352987"/>
    <w:rsid w:val="00352AD9"/>
    <w:rsid w:val="00356DFC"/>
    <w:rsid w:val="00360DE6"/>
    <w:rsid w:val="00367DAD"/>
    <w:rsid w:val="003742A3"/>
    <w:rsid w:val="003750F4"/>
    <w:rsid w:val="003929B5"/>
    <w:rsid w:val="00396CB7"/>
    <w:rsid w:val="003A3D34"/>
    <w:rsid w:val="003A54C5"/>
    <w:rsid w:val="003A7DB7"/>
    <w:rsid w:val="003B10D5"/>
    <w:rsid w:val="003C568D"/>
    <w:rsid w:val="003D1C1F"/>
    <w:rsid w:val="003D2351"/>
    <w:rsid w:val="003E35FA"/>
    <w:rsid w:val="003E3E86"/>
    <w:rsid w:val="003F63D4"/>
    <w:rsid w:val="00400113"/>
    <w:rsid w:val="00412C7B"/>
    <w:rsid w:val="00414141"/>
    <w:rsid w:val="00415AA0"/>
    <w:rsid w:val="00421F36"/>
    <w:rsid w:val="00430BB3"/>
    <w:rsid w:val="0043214D"/>
    <w:rsid w:val="00441EA6"/>
    <w:rsid w:val="004443AE"/>
    <w:rsid w:val="004467F4"/>
    <w:rsid w:val="004532F9"/>
    <w:rsid w:val="0045372E"/>
    <w:rsid w:val="00460FCC"/>
    <w:rsid w:val="0046237A"/>
    <w:rsid w:val="00477AD3"/>
    <w:rsid w:val="00490E28"/>
    <w:rsid w:val="00495586"/>
    <w:rsid w:val="004A05F2"/>
    <w:rsid w:val="004B120D"/>
    <w:rsid w:val="004B1895"/>
    <w:rsid w:val="004B29FF"/>
    <w:rsid w:val="004B336F"/>
    <w:rsid w:val="004B42DF"/>
    <w:rsid w:val="004B67C1"/>
    <w:rsid w:val="004C1576"/>
    <w:rsid w:val="004C6908"/>
    <w:rsid w:val="004C6CA3"/>
    <w:rsid w:val="004E0F6C"/>
    <w:rsid w:val="004E2173"/>
    <w:rsid w:val="004E2AF4"/>
    <w:rsid w:val="004E6C61"/>
    <w:rsid w:val="004E7216"/>
    <w:rsid w:val="004F04A7"/>
    <w:rsid w:val="004F08A9"/>
    <w:rsid w:val="004F32E2"/>
    <w:rsid w:val="004F6677"/>
    <w:rsid w:val="00513A6B"/>
    <w:rsid w:val="005224A5"/>
    <w:rsid w:val="00530838"/>
    <w:rsid w:val="0053533A"/>
    <w:rsid w:val="00541A00"/>
    <w:rsid w:val="005430B8"/>
    <w:rsid w:val="00552F63"/>
    <w:rsid w:val="005551EE"/>
    <w:rsid w:val="005629CE"/>
    <w:rsid w:val="005727CC"/>
    <w:rsid w:val="005737BA"/>
    <w:rsid w:val="00590D03"/>
    <w:rsid w:val="00590E58"/>
    <w:rsid w:val="00591397"/>
    <w:rsid w:val="005926CD"/>
    <w:rsid w:val="005B058C"/>
    <w:rsid w:val="005C5358"/>
    <w:rsid w:val="005C5E44"/>
    <w:rsid w:val="005D20E2"/>
    <w:rsid w:val="005D383E"/>
    <w:rsid w:val="005D7BF6"/>
    <w:rsid w:val="005E00F2"/>
    <w:rsid w:val="005E3222"/>
    <w:rsid w:val="005E3871"/>
    <w:rsid w:val="005E6C1C"/>
    <w:rsid w:val="005F214A"/>
    <w:rsid w:val="005F5FB5"/>
    <w:rsid w:val="0060094B"/>
    <w:rsid w:val="006020E5"/>
    <w:rsid w:val="00602CEA"/>
    <w:rsid w:val="0060560C"/>
    <w:rsid w:val="00606D63"/>
    <w:rsid w:val="00616CAC"/>
    <w:rsid w:val="00627FF0"/>
    <w:rsid w:val="0063111A"/>
    <w:rsid w:val="00631DB0"/>
    <w:rsid w:val="006341EB"/>
    <w:rsid w:val="00640165"/>
    <w:rsid w:val="00662002"/>
    <w:rsid w:val="006627DF"/>
    <w:rsid w:val="00664AFE"/>
    <w:rsid w:val="00664DA3"/>
    <w:rsid w:val="00682FDA"/>
    <w:rsid w:val="006913D4"/>
    <w:rsid w:val="00692504"/>
    <w:rsid w:val="00693666"/>
    <w:rsid w:val="006A648D"/>
    <w:rsid w:val="006C00F3"/>
    <w:rsid w:val="006C32AF"/>
    <w:rsid w:val="006C38AD"/>
    <w:rsid w:val="006C4A16"/>
    <w:rsid w:val="006D2C2F"/>
    <w:rsid w:val="006D4CB6"/>
    <w:rsid w:val="006D4DC4"/>
    <w:rsid w:val="006D71D1"/>
    <w:rsid w:val="006E1153"/>
    <w:rsid w:val="006E3150"/>
    <w:rsid w:val="006E6126"/>
    <w:rsid w:val="006F6A80"/>
    <w:rsid w:val="00706BD1"/>
    <w:rsid w:val="00707C7F"/>
    <w:rsid w:val="0071131C"/>
    <w:rsid w:val="007148A6"/>
    <w:rsid w:val="00722B7D"/>
    <w:rsid w:val="0073085D"/>
    <w:rsid w:val="007370E5"/>
    <w:rsid w:val="00737B44"/>
    <w:rsid w:val="007425E5"/>
    <w:rsid w:val="00743A19"/>
    <w:rsid w:val="00743CB4"/>
    <w:rsid w:val="00745129"/>
    <w:rsid w:val="0075422E"/>
    <w:rsid w:val="007712DE"/>
    <w:rsid w:val="00792FA4"/>
    <w:rsid w:val="00796A59"/>
    <w:rsid w:val="007B2355"/>
    <w:rsid w:val="007B2C26"/>
    <w:rsid w:val="007B6BFA"/>
    <w:rsid w:val="007C0171"/>
    <w:rsid w:val="007C249E"/>
    <w:rsid w:val="007C2A32"/>
    <w:rsid w:val="007C3663"/>
    <w:rsid w:val="007C7C21"/>
    <w:rsid w:val="007D1290"/>
    <w:rsid w:val="007E23EC"/>
    <w:rsid w:val="00803F83"/>
    <w:rsid w:val="008127F8"/>
    <w:rsid w:val="00814631"/>
    <w:rsid w:val="00817A2E"/>
    <w:rsid w:val="008202DD"/>
    <w:rsid w:val="008337DC"/>
    <w:rsid w:val="0083612D"/>
    <w:rsid w:val="00844E34"/>
    <w:rsid w:val="008527CD"/>
    <w:rsid w:val="00854266"/>
    <w:rsid w:val="0085478E"/>
    <w:rsid w:val="00872A1B"/>
    <w:rsid w:val="008900C0"/>
    <w:rsid w:val="00897F97"/>
    <w:rsid w:val="008A7799"/>
    <w:rsid w:val="008B1672"/>
    <w:rsid w:val="008B2DD4"/>
    <w:rsid w:val="008B2F39"/>
    <w:rsid w:val="008C092C"/>
    <w:rsid w:val="008D5E9E"/>
    <w:rsid w:val="008D6A20"/>
    <w:rsid w:val="008D7BDF"/>
    <w:rsid w:val="008E0D29"/>
    <w:rsid w:val="008E33B2"/>
    <w:rsid w:val="008E4AA5"/>
    <w:rsid w:val="008E600F"/>
    <w:rsid w:val="008F7912"/>
    <w:rsid w:val="008F794B"/>
    <w:rsid w:val="00903F6D"/>
    <w:rsid w:val="009078F0"/>
    <w:rsid w:val="0091057B"/>
    <w:rsid w:val="009120BE"/>
    <w:rsid w:val="009120D3"/>
    <w:rsid w:val="009312AC"/>
    <w:rsid w:val="00931459"/>
    <w:rsid w:val="00935843"/>
    <w:rsid w:val="00944AAC"/>
    <w:rsid w:val="009451BD"/>
    <w:rsid w:val="00962D18"/>
    <w:rsid w:val="00964CF8"/>
    <w:rsid w:val="009730E5"/>
    <w:rsid w:val="009861C0"/>
    <w:rsid w:val="00992262"/>
    <w:rsid w:val="009938D1"/>
    <w:rsid w:val="009B6246"/>
    <w:rsid w:val="009D2DBF"/>
    <w:rsid w:val="009D5806"/>
    <w:rsid w:val="009D6D33"/>
    <w:rsid w:val="009E3EE1"/>
    <w:rsid w:val="009E5399"/>
    <w:rsid w:val="009E657B"/>
    <w:rsid w:val="009E66FE"/>
    <w:rsid w:val="009F116D"/>
    <w:rsid w:val="009F1629"/>
    <w:rsid w:val="009F1DB7"/>
    <w:rsid w:val="009F3167"/>
    <w:rsid w:val="00A06F0A"/>
    <w:rsid w:val="00A118DF"/>
    <w:rsid w:val="00A2508A"/>
    <w:rsid w:val="00A2663F"/>
    <w:rsid w:val="00A26834"/>
    <w:rsid w:val="00A363DC"/>
    <w:rsid w:val="00A42D74"/>
    <w:rsid w:val="00A47BF7"/>
    <w:rsid w:val="00A514C4"/>
    <w:rsid w:val="00A54048"/>
    <w:rsid w:val="00A56F62"/>
    <w:rsid w:val="00A56FD6"/>
    <w:rsid w:val="00A70908"/>
    <w:rsid w:val="00A97137"/>
    <w:rsid w:val="00AA3EA8"/>
    <w:rsid w:val="00AA4A94"/>
    <w:rsid w:val="00AB5FDB"/>
    <w:rsid w:val="00AC7199"/>
    <w:rsid w:val="00AD358A"/>
    <w:rsid w:val="00AD36C5"/>
    <w:rsid w:val="00AE17F1"/>
    <w:rsid w:val="00AE1A20"/>
    <w:rsid w:val="00AE642F"/>
    <w:rsid w:val="00AE78E5"/>
    <w:rsid w:val="00AF0D9B"/>
    <w:rsid w:val="00AF6AF4"/>
    <w:rsid w:val="00AF6C25"/>
    <w:rsid w:val="00B04E41"/>
    <w:rsid w:val="00B11428"/>
    <w:rsid w:val="00B12956"/>
    <w:rsid w:val="00B15D7A"/>
    <w:rsid w:val="00B16295"/>
    <w:rsid w:val="00B22342"/>
    <w:rsid w:val="00B244A7"/>
    <w:rsid w:val="00B24949"/>
    <w:rsid w:val="00B24E28"/>
    <w:rsid w:val="00B25FB9"/>
    <w:rsid w:val="00B2787D"/>
    <w:rsid w:val="00B30D2A"/>
    <w:rsid w:val="00B408DB"/>
    <w:rsid w:val="00B42CFE"/>
    <w:rsid w:val="00B43BB1"/>
    <w:rsid w:val="00B44FC7"/>
    <w:rsid w:val="00B455F5"/>
    <w:rsid w:val="00B51D40"/>
    <w:rsid w:val="00B539E5"/>
    <w:rsid w:val="00B55B31"/>
    <w:rsid w:val="00B64DED"/>
    <w:rsid w:val="00B66BD4"/>
    <w:rsid w:val="00B7116D"/>
    <w:rsid w:val="00B73A17"/>
    <w:rsid w:val="00B74093"/>
    <w:rsid w:val="00B81606"/>
    <w:rsid w:val="00B83283"/>
    <w:rsid w:val="00BA0B07"/>
    <w:rsid w:val="00BA1CF5"/>
    <w:rsid w:val="00BA1EDB"/>
    <w:rsid w:val="00BA5367"/>
    <w:rsid w:val="00BB6828"/>
    <w:rsid w:val="00BB6B2C"/>
    <w:rsid w:val="00BB73B7"/>
    <w:rsid w:val="00BC56D0"/>
    <w:rsid w:val="00BC63B1"/>
    <w:rsid w:val="00BC6870"/>
    <w:rsid w:val="00BC7242"/>
    <w:rsid w:val="00BD5F35"/>
    <w:rsid w:val="00BE1B04"/>
    <w:rsid w:val="00BF3F23"/>
    <w:rsid w:val="00C00705"/>
    <w:rsid w:val="00C02799"/>
    <w:rsid w:val="00C03C5F"/>
    <w:rsid w:val="00C051DF"/>
    <w:rsid w:val="00C05B66"/>
    <w:rsid w:val="00C22E53"/>
    <w:rsid w:val="00C30B3E"/>
    <w:rsid w:val="00C30D4D"/>
    <w:rsid w:val="00C32B8E"/>
    <w:rsid w:val="00C51E3B"/>
    <w:rsid w:val="00C548A3"/>
    <w:rsid w:val="00C6267D"/>
    <w:rsid w:val="00C6586F"/>
    <w:rsid w:val="00C8267C"/>
    <w:rsid w:val="00C92DBF"/>
    <w:rsid w:val="00CA1BDF"/>
    <w:rsid w:val="00CA6D2A"/>
    <w:rsid w:val="00CB408C"/>
    <w:rsid w:val="00CC23AB"/>
    <w:rsid w:val="00CD71D8"/>
    <w:rsid w:val="00CD77F7"/>
    <w:rsid w:val="00CE5153"/>
    <w:rsid w:val="00CF16D4"/>
    <w:rsid w:val="00CF4CB3"/>
    <w:rsid w:val="00CF5E53"/>
    <w:rsid w:val="00CF6ECE"/>
    <w:rsid w:val="00CF76CE"/>
    <w:rsid w:val="00D022F9"/>
    <w:rsid w:val="00D045CE"/>
    <w:rsid w:val="00D056FE"/>
    <w:rsid w:val="00D16374"/>
    <w:rsid w:val="00D22436"/>
    <w:rsid w:val="00D235ED"/>
    <w:rsid w:val="00D32C1F"/>
    <w:rsid w:val="00D32CE4"/>
    <w:rsid w:val="00D374B9"/>
    <w:rsid w:val="00D37810"/>
    <w:rsid w:val="00D4248B"/>
    <w:rsid w:val="00D569EA"/>
    <w:rsid w:val="00D60F22"/>
    <w:rsid w:val="00D62340"/>
    <w:rsid w:val="00D62DE8"/>
    <w:rsid w:val="00D7258A"/>
    <w:rsid w:val="00D77CE9"/>
    <w:rsid w:val="00D833D0"/>
    <w:rsid w:val="00D84F05"/>
    <w:rsid w:val="00D9490F"/>
    <w:rsid w:val="00D953D8"/>
    <w:rsid w:val="00DA22D5"/>
    <w:rsid w:val="00DA25E4"/>
    <w:rsid w:val="00DB0D03"/>
    <w:rsid w:val="00DB1024"/>
    <w:rsid w:val="00DB2FF4"/>
    <w:rsid w:val="00DB4F81"/>
    <w:rsid w:val="00DB5D28"/>
    <w:rsid w:val="00DB605A"/>
    <w:rsid w:val="00DC0D2B"/>
    <w:rsid w:val="00DC4109"/>
    <w:rsid w:val="00DD0381"/>
    <w:rsid w:val="00DE1085"/>
    <w:rsid w:val="00DE4B17"/>
    <w:rsid w:val="00DE4BBC"/>
    <w:rsid w:val="00DE70CD"/>
    <w:rsid w:val="00DF0C09"/>
    <w:rsid w:val="00DF5A45"/>
    <w:rsid w:val="00E01545"/>
    <w:rsid w:val="00E0160B"/>
    <w:rsid w:val="00E04B3A"/>
    <w:rsid w:val="00E13F58"/>
    <w:rsid w:val="00E15F6C"/>
    <w:rsid w:val="00E200AB"/>
    <w:rsid w:val="00E215CD"/>
    <w:rsid w:val="00E31469"/>
    <w:rsid w:val="00E34AEF"/>
    <w:rsid w:val="00E3529E"/>
    <w:rsid w:val="00E4158C"/>
    <w:rsid w:val="00E5088E"/>
    <w:rsid w:val="00E55318"/>
    <w:rsid w:val="00E73E31"/>
    <w:rsid w:val="00E76B27"/>
    <w:rsid w:val="00E821A3"/>
    <w:rsid w:val="00E90D07"/>
    <w:rsid w:val="00E961D5"/>
    <w:rsid w:val="00EA41C7"/>
    <w:rsid w:val="00EC41F8"/>
    <w:rsid w:val="00ED04DA"/>
    <w:rsid w:val="00EF048D"/>
    <w:rsid w:val="00EF33E7"/>
    <w:rsid w:val="00EF5199"/>
    <w:rsid w:val="00F01558"/>
    <w:rsid w:val="00F119F9"/>
    <w:rsid w:val="00F12DE8"/>
    <w:rsid w:val="00F16D26"/>
    <w:rsid w:val="00F27783"/>
    <w:rsid w:val="00F316FE"/>
    <w:rsid w:val="00F3526F"/>
    <w:rsid w:val="00F41092"/>
    <w:rsid w:val="00F419DA"/>
    <w:rsid w:val="00F45B7E"/>
    <w:rsid w:val="00F551EF"/>
    <w:rsid w:val="00F555E7"/>
    <w:rsid w:val="00F61D57"/>
    <w:rsid w:val="00F733F3"/>
    <w:rsid w:val="00F81892"/>
    <w:rsid w:val="00F84250"/>
    <w:rsid w:val="00F84379"/>
    <w:rsid w:val="00F9095A"/>
    <w:rsid w:val="00F93C6B"/>
    <w:rsid w:val="00FA4C38"/>
    <w:rsid w:val="00FB03A6"/>
    <w:rsid w:val="00FC5E73"/>
    <w:rsid w:val="00FC7727"/>
    <w:rsid w:val="00FD3136"/>
    <w:rsid w:val="00FD46BB"/>
    <w:rsid w:val="00FD5D44"/>
    <w:rsid w:val="00FF3082"/>
    <w:rsid w:val="00FF366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04FA"/>
  <w15:chartTrackingRefBased/>
  <w15:docId w15:val="{1AC138BC-085C-4150-9D48-DA84048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EA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527CD"/>
    <w:pPr>
      <w:keepNext/>
      <w:widowControl w:val="0"/>
      <w:jc w:val="center"/>
      <w:outlineLvl w:val="0"/>
    </w:pPr>
    <w:rPr>
      <w:b/>
      <w:snapToGrid w:val="0"/>
      <w:color w:val="000000"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  <w:u w:val="single"/>
      <w:lang w:val="bg-BG"/>
    </w:rPr>
  </w:style>
  <w:style w:type="paragraph" w:styleId="BlockText">
    <w:name w:val="Block Text"/>
    <w:basedOn w:val="Normal"/>
    <w:pPr>
      <w:ind w:left="2552" w:right="-759"/>
      <w:jc w:val="both"/>
    </w:pPr>
    <w:rPr>
      <w:b/>
      <w:sz w:val="24"/>
      <w:lang w:val="bg-BG"/>
    </w:rPr>
  </w:style>
  <w:style w:type="paragraph" w:styleId="BodyText">
    <w:name w:val="Body Text"/>
    <w:basedOn w:val="Normal"/>
    <w:pPr>
      <w:jc w:val="both"/>
    </w:pPr>
    <w:rPr>
      <w:rFonts w:ascii="Tahoma" w:hAnsi="Tahoma"/>
      <w:sz w:val="24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E15F6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900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2B02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B02A9"/>
  </w:style>
  <w:style w:type="paragraph" w:styleId="Header">
    <w:name w:val="header"/>
    <w:basedOn w:val="Normal"/>
    <w:rsid w:val="002B02A9"/>
    <w:pPr>
      <w:tabs>
        <w:tab w:val="center" w:pos="4536"/>
        <w:tab w:val="right" w:pos="9072"/>
      </w:tabs>
    </w:pPr>
  </w:style>
  <w:style w:type="paragraph" w:customStyle="1" w:styleId="Char0">
    <w:name w:val="Char"/>
    <w:basedOn w:val="Normal"/>
    <w:rsid w:val="00CE515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uiPriority w:val="99"/>
    <w:rsid w:val="003E35FA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qFormat/>
    <w:rsid w:val="003E35FA"/>
    <w:pPr>
      <w:widowControl w:val="0"/>
      <w:shd w:val="clear" w:color="auto" w:fill="FFFFFF"/>
      <w:spacing w:after="180" w:line="262" w:lineRule="auto"/>
      <w:ind w:firstLine="260"/>
      <w:jc w:val="both"/>
    </w:pPr>
    <w:rPr>
      <w:rFonts w:ascii="Arial" w:hAnsi="Arial"/>
      <w:sz w:val="16"/>
      <w:szCs w:val="16"/>
      <w:lang w:val="x-none" w:eastAsia="x-none"/>
    </w:rPr>
  </w:style>
  <w:style w:type="paragraph" w:customStyle="1" w:styleId="Default">
    <w:name w:val="Default"/>
    <w:rsid w:val="004E72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527CD"/>
    <w:rPr>
      <w:b/>
      <w:snapToGrid w:val="0"/>
      <w:color w:val="00000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67D"/>
    <w:rPr>
      <w:lang w:val="en-US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4F32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qFormat/>
    <w:rsid w:val="004F32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B24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789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КФН</vt:lpstr>
    </vt:vector>
  </TitlesOfParts>
  <Company>SSEC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КФН</dc:title>
  <dc:subject/>
  <dc:creator>FSC</dc:creator>
  <cp:keywords/>
  <cp:lastModifiedBy>Nadezhda Grigorova</cp:lastModifiedBy>
  <cp:revision>17</cp:revision>
  <cp:lastPrinted>2021-12-30T09:34:00Z</cp:lastPrinted>
  <dcterms:created xsi:type="dcterms:W3CDTF">2021-01-21T14:21:00Z</dcterms:created>
  <dcterms:modified xsi:type="dcterms:W3CDTF">2022-12-15T08:19:00Z</dcterms:modified>
</cp:coreProperties>
</file>