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12.03.2022 г. – 11.04.2022 г.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D59BD" w:rsidRDefault="008D59BD" w:rsidP="008D59BD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Подготовка и провеждане на срещи за </w:t>
      </w:r>
      <w:r w:rsidRPr="008D59BD">
        <w:rPr>
          <w:szCs w:val="24"/>
        </w:rPr>
        <w:t xml:space="preserve">обсъждане и представяне на изработените екрани </w:t>
      </w:r>
      <w:r>
        <w:rPr>
          <w:szCs w:val="24"/>
        </w:rPr>
        <w:t>форми на избрани бизнес процеси- 7 бр.;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>
        <w:rPr>
          <w:szCs w:val="24"/>
        </w:rPr>
        <w:t>Преглед на концепция за екранни форми и детайлизиране на съдържанието им по процес „Подаване и приемане на ежедневни отчети“</w:t>
      </w:r>
      <w:r>
        <w:rPr>
          <w:szCs w:val="24"/>
        </w:rPr>
        <w:t>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t>„Подаване и приемане на 3-мес., 6-мес. и годишни финансови о</w:t>
      </w:r>
      <w:r>
        <w:rPr>
          <w:szCs w:val="24"/>
        </w:rPr>
        <w:t>тчети“ - Застрахователен надзор;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t>Навигация в ЕИС. Цветове и критери</w:t>
      </w:r>
      <w:r>
        <w:rPr>
          <w:szCs w:val="24"/>
        </w:rPr>
        <w:t>и за контраст за уеб достъпност;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t>Преглед на концепция за екранни форми и детайлизиране на съдържанието им по процес „Подаване и приемане на 3-мес., 6-мес. и годишни финансови отчети“ - Осигурителен надзор</w:t>
      </w:r>
      <w:r>
        <w:rPr>
          <w:szCs w:val="24"/>
        </w:rPr>
        <w:t>,;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t>Контроли и с</w:t>
      </w:r>
      <w:r>
        <w:rPr>
          <w:szCs w:val="24"/>
        </w:rPr>
        <w:t>правки в Застрахователен надзор;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t>Интеграция с други системи</w:t>
      </w:r>
      <w:r>
        <w:rPr>
          <w:szCs w:val="24"/>
        </w:rPr>
        <w:t>;</w:t>
      </w:r>
    </w:p>
    <w:p w:rsidR="001872D5" w:rsidRDefault="001872D5" w:rsidP="001872D5">
      <w:pPr>
        <w:pStyle w:val="ListParagraph"/>
        <w:numPr>
          <w:ilvl w:val="0"/>
          <w:numId w:val="9"/>
        </w:numPr>
        <w:spacing w:line="240" w:lineRule="auto"/>
        <w:ind w:left="714" w:right="23" w:hanging="357"/>
        <w:rPr>
          <w:szCs w:val="24"/>
        </w:rPr>
      </w:pPr>
      <w:r w:rsidRPr="00D60CFF">
        <w:rPr>
          <w:szCs w:val="24"/>
        </w:rPr>
        <w:lastRenderedPageBreak/>
        <w:t>Преглед на концепция за екранни форми и детайлизиране на съдържанието им по процес "Подаване и съгласуване на план за възстановяване на ИП"</w:t>
      </w:r>
      <w:r>
        <w:rPr>
          <w:szCs w:val="24"/>
        </w:rPr>
        <w:t>.</w:t>
      </w:r>
    </w:p>
    <w:p w:rsidR="001872D5" w:rsidRPr="008D59BD" w:rsidRDefault="001872D5" w:rsidP="0048150B">
      <w:pPr>
        <w:pStyle w:val="ListParagraph"/>
        <w:spacing w:line="240" w:lineRule="auto"/>
        <w:ind w:left="714" w:right="23" w:firstLine="0"/>
        <w:rPr>
          <w:szCs w:val="24"/>
        </w:rPr>
      </w:pPr>
    </w:p>
    <w:p w:rsidR="00E1424E" w:rsidRPr="009B5609" w:rsidRDefault="00E1424E" w:rsidP="00E1424E">
      <w:pPr>
        <w:pStyle w:val="ListParagraph"/>
        <w:numPr>
          <w:ilvl w:val="0"/>
          <w:numId w:val="3"/>
        </w:numPr>
        <w:spacing w:line="240" w:lineRule="auto"/>
        <w:ind w:right="23"/>
        <w:rPr>
          <w:lang w:eastAsia="en-US"/>
        </w:rPr>
      </w:pPr>
      <w:r w:rsidRPr="00E1424E">
        <w:rPr>
          <w:szCs w:val="24"/>
        </w:rPr>
        <w:t>Изготвена и предадена беше Функционалната спецификация, Версия 04, съгласно полученото от становище от КФН;</w:t>
      </w:r>
    </w:p>
    <w:p w:rsidR="00E1424E" w:rsidRPr="00564A1D" w:rsidRDefault="00E1424E" w:rsidP="00E1424E">
      <w:pPr>
        <w:pStyle w:val="ListParagraph"/>
        <w:numPr>
          <w:ilvl w:val="0"/>
          <w:numId w:val="3"/>
        </w:numPr>
        <w:spacing w:line="240" w:lineRule="auto"/>
        <w:ind w:right="23"/>
        <w:rPr>
          <w:lang w:eastAsia="en-US"/>
        </w:rPr>
      </w:pPr>
      <w:r>
        <w:t>Изготвен и предаден</w:t>
      </w:r>
      <w:r>
        <w:t xml:space="preserve"> беше Системен</w:t>
      </w:r>
      <w:r>
        <w:t xml:space="preserve"> проект, Версия 02, </w:t>
      </w:r>
      <w:r w:rsidRPr="00E1424E">
        <w:rPr>
          <w:szCs w:val="24"/>
        </w:rPr>
        <w:t>съгласно полученото от становище от КФН;</w:t>
      </w:r>
    </w:p>
    <w:p w:rsidR="00564A1D" w:rsidRPr="00564A1D" w:rsidRDefault="00E1424E" w:rsidP="00564A1D">
      <w:pPr>
        <w:pStyle w:val="ListParagraph"/>
        <w:numPr>
          <w:ilvl w:val="0"/>
          <w:numId w:val="3"/>
        </w:numPr>
        <w:rPr>
          <w:rFonts w:eastAsia="Calibri" w:cs="Arial"/>
          <w:szCs w:val="24"/>
        </w:rPr>
      </w:pPr>
      <w:r>
        <w:t>Стартира</w:t>
      </w:r>
      <w:r w:rsidR="00564A1D" w:rsidRPr="03049F3E">
        <w:t xml:space="preserve"> работа по разработване на системата</w:t>
      </w:r>
      <w:r>
        <w:t>;</w:t>
      </w:r>
    </w:p>
    <w:p w:rsidR="00564A1D" w:rsidRPr="00564A1D" w:rsidRDefault="00E1424E" w:rsidP="00564A1D">
      <w:pPr>
        <w:pStyle w:val="ListParagraph"/>
        <w:numPr>
          <w:ilvl w:val="0"/>
          <w:numId w:val="3"/>
        </w:numPr>
        <w:spacing w:before="240" w:after="240"/>
        <w:rPr>
          <w:rFonts w:eastAsia="Calibri" w:cs="Arial"/>
          <w:szCs w:val="24"/>
        </w:rPr>
      </w:pPr>
      <w:r>
        <w:t>Извършени бяха дейности по</w:t>
      </w:r>
      <w:r w:rsidR="00564A1D" w:rsidRPr="03049F3E">
        <w:t xml:space="preserve"> миграцията в тестова среда</w:t>
      </w:r>
      <w:r>
        <w:t>.</w:t>
      </w: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564A1D" w:rsidRPr="00637369" w:rsidRDefault="00564A1D" w:rsidP="00F847DC">
      <w:pPr>
        <w:spacing w:line="240" w:lineRule="auto"/>
        <w:ind w:left="357" w:right="23" w:firstLine="448"/>
      </w:pPr>
      <w:r w:rsidRPr="494E65AA">
        <w:t>За периода 12.0</w:t>
      </w:r>
      <w:r>
        <w:t>3</w:t>
      </w:r>
      <w:r w:rsidRPr="494E65AA">
        <w:t>.2022 г. – 11.0</w:t>
      </w:r>
      <w:r>
        <w:t>4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564A1D" w:rsidRDefault="00564A1D" w:rsidP="00F847DC">
      <w:pPr>
        <w:spacing w:line="240" w:lineRule="auto"/>
        <w:ind w:left="357" w:right="23" w:firstLine="448"/>
        <w:rPr>
          <w:szCs w:val="24"/>
          <w:lang w:val="en-US"/>
        </w:rPr>
      </w:pPr>
      <w:r w:rsidRPr="00AF2AF6">
        <w:rPr>
          <w:szCs w:val="24"/>
        </w:rPr>
        <w:t xml:space="preserve">Дейност </w:t>
      </w:r>
      <w:r>
        <w:rPr>
          <w:szCs w:val="24"/>
        </w:rPr>
        <w:t xml:space="preserve">коригиране на </w:t>
      </w:r>
      <w:r w:rsidRPr="00AF2AF6">
        <w:rPr>
          <w:szCs w:val="24"/>
        </w:rPr>
        <w:t xml:space="preserve">“Системен проект“: </w:t>
      </w:r>
      <w:r>
        <w:rPr>
          <w:szCs w:val="24"/>
        </w:rPr>
        <w:t>15</w:t>
      </w:r>
      <w:r w:rsidRPr="00AF2AF6">
        <w:rPr>
          <w:szCs w:val="24"/>
        </w:rPr>
        <w:t xml:space="preserve"> </w:t>
      </w:r>
      <w:proofErr w:type="spellStart"/>
      <w:r w:rsidRPr="00AF2AF6">
        <w:rPr>
          <w:szCs w:val="24"/>
        </w:rPr>
        <w:t>човекодни</w:t>
      </w:r>
      <w:proofErr w:type="spellEnd"/>
      <w:r w:rsidR="00F847DC">
        <w:rPr>
          <w:szCs w:val="24"/>
        </w:rPr>
        <w:t xml:space="preserve"> за изпълнителя и 10 за възложителя.</w:t>
      </w:r>
    </w:p>
    <w:p w:rsidR="00564A1D" w:rsidRDefault="00564A1D" w:rsidP="00F847DC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 xml:space="preserve">Дейност коригиране на „Функционална спецификация“: 21 </w:t>
      </w:r>
      <w:proofErr w:type="spellStart"/>
      <w:r>
        <w:rPr>
          <w:szCs w:val="24"/>
        </w:rPr>
        <w:t>човекодни</w:t>
      </w:r>
      <w:proofErr w:type="spellEnd"/>
      <w:r w:rsidR="00F847DC">
        <w:rPr>
          <w:szCs w:val="24"/>
        </w:rPr>
        <w:t xml:space="preserve"> за изпълнителя и 56 за възложителя.</w:t>
      </w:r>
    </w:p>
    <w:p w:rsidR="00564A1D" w:rsidRDefault="00564A1D" w:rsidP="00F847DC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 xml:space="preserve">Дейност Разработване: 335 </w:t>
      </w:r>
      <w:proofErr w:type="spellStart"/>
      <w:r>
        <w:rPr>
          <w:szCs w:val="24"/>
        </w:rPr>
        <w:t>човекодни</w:t>
      </w:r>
      <w:proofErr w:type="spellEnd"/>
      <w:r w:rsidR="00F847DC">
        <w:rPr>
          <w:szCs w:val="24"/>
        </w:rPr>
        <w:t xml:space="preserve"> за изпълнителя и 241 за възложителя.</w:t>
      </w:r>
    </w:p>
    <w:p w:rsidR="00564A1D" w:rsidRPr="00E76709" w:rsidRDefault="00564A1D" w:rsidP="00F847DC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 xml:space="preserve">Дейност Миграция: 63 </w:t>
      </w:r>
      <w:proofErr w:type="spellStart"/>
      <w:r>
        <w:rPr>
          <w:szCs w:val="24"/>
        </w:rPr>
        <w:t>човекодни</w:t>
      </w:r>
      <w:proofErr w:type="spellEnd"/>
      <w:r w:rsidR="00F847DC">
        <w:rPr>
          <w:szCs w:val="24"/>
        </w:rPr>
        <w:t xml:space="preserve"> за изпълнителя и 35.5 за възложителя.</w:t>
      </w:r>
      <w:bookmarkStart w:id="90" w:name="_GoBack"/>
      <w:bookmarkEnd w:id="90"/>
    </w:p>
    <w:p w:rsidR="0048150B" w:rsidRPr="00D4207C" w:rsidRDefault="0048150B" w:rsidP="00564A1D">
      <w:pPr>
        <w:spacing w:line="240" w:lineRule="auto"/>
        <w:ind w:left="714" w:right="23" w:firstLine="0"/>
        <w:rPr>
          <w:lang w:eastAsia="en-US"/>
        </w:rPr>
      </w:pPr>
    </w:p>
    <w:p w:rsidR="00BD6ABF" w:rsidRDefault="00BD6ABF" w:rsidP="00160057">
      <w:pPr>
        <w:spacing w:after="0" w:line="240" w:lineRule="auto"/>
        <w:ind w:left="0" w:right="0" w:firstLine="360"/>
        <w:rPr>
          <w:szCs w:val="24"/>
        </w:rPr>
      </w:pPr>
    </w:p>
    <w:p w:rsidR="0074283D" w:rsidRPr="00715F4E" w:rsidRDefault="0074283D" w:rsidP="0074283D">
      <w:pPr>
        <w:ind w:left="360" w:firstLine="450"/>
        <w:rPr>
          <w:szCs w:val="24"/>
        </w:rPr>
      </w:pPr>
      <w:r w:rsidRPr="00715F4E"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7C" w:rsidRDefault="00E97B7C" w:rsidP="006E5B09">
      <w:pPr>
        <w:spacing w:after="0" w:line="240" w:lineRule="auto"/>
      </w:pPr>
      <w:r>
        <w:separator/>
      </w:r>
    </w:p>
  </w:endnote>
  <w:endnote w:type="continuationSeparator" w:id="0">
    <w:p w:rsidR="00E97B7C" w:rsidRDefault="00E97B7C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7C" w:rsidRDefault="00E97B7C" w:rsidP="006E5B09">
      <w:pPr>
        <w:spacing w:after="0" w:line="240" w:lineRule="auto"/>
      </w:pPr>
      <w:r>
        <w:separator/>
      </w:r>
    </w:p>
  </w:footnote>
  <w:footnote w:type="continuationSeparator" w:id="0">
    <w:p w:rsidR="00E97B7C" w:rsidRDefault="00E97B7C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0D4D3A"/>
    <w:rsid w:val="00112F3A"/>
    <w:rsid w:val="001265B2"/>
    <w:rsid w:val="00127170"/>
    <w:rsid w:val="00150A11"/>
    <w:rsid w:val="00160057"/>
    <w:rsid w:val="001872D5"/>
    <w:rsid w:val="001D032A"/>
    <w:rsid w:val="001E3DBF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7CC1"/>
    <w:rsid w:val="0039576E"/>
    <w:rsid w:val="003A791D"/>
    <w:rsid w:val="003C735F"/>
    <w:rsid w:val="003F2C39"/>
    <w:rsid w:val="00410160"/>
    <w:rsid w:val="0048150B"/>
    <w:rsid w:val="004A4348"/>
    <w:rsid w:val="004C2076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2D82"/>
    <w:rsid w:val="0074118C"/>
    <w:rsid w:val="0074283D"/>
    <w:rsid w:val="007C6F9B"/>
    <w:rsid w:val="007D60AA"/>
    <w:rsid w:val="008205D7"/>
    <w:rsid w:val="008A7C8E"/>
    <w:rsid w:val="008D59BD"/>
    <w:rsid w:val="009123F5"/>
    <w:rsid w:val="00955E85"/>
    <w:rsid w:val="009756F2"/>
    <w:rsid w:val="009B1664"/>
    <w:rsid w:val="009B5609"/>
    <w:rsid w:val="009D0022"/>
    <w:rsid w:val="00A625D9"/>
    <w:rsid w:val="00A65748"/>
    <w:rsid w:val="00AA3CEA"/>
    <w:rsid w:val="00AB4277"/>
    <w:rsid w:val="00AC6E2C"/>
    <w:rsid w:val="00B53C52"/>
    <w:rsid w:val="00B55912"/>
    <w:rsid w:val="00B65A04"/>
    <w:rsid w:val="00BA4A36"/>
    <w:rsid w:val="00BD6ABF"/>
    <w:rsid w:val="00C25B3E"/>
    <w:rsid w:val="00C4322E"/>
    <w:rsid w:val="00C561BB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1424E"/>
    <w:rsid w:val="00E52829"/>
    <w:rsid w:val="00E750E6"/>
    <w:rsid w:val="00E97B7C"/>
    <w:rsid w:val="00EA3355"/>
    <w:rsid w:val="00F16E4E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D85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2022-04-14T08:40:00Z</dcterms:created>
  <dcterms:modified xsi:type="dcterms:W3CDTF">2022-04-14T08:58:00Z</dcterms:modified>
</cp:coreProperties>
</file>