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11E" w:rsidRPr="008B3C30" w:rsidRDefault="002C711E" w:rsidP="00520236">
      <w:pPr>
        <w:shd w:val="clear" w:color="auto" w:fill="FFFFFF"/>
        <w:spacing w:line="365" w:lineRule="exact"/>
        <w:ind w:left="5" w:firstLine="562"/>
        <w:jc w:val="both"/>
        <w:rPr>
          <w:rFonts w:ascii="Times New Roman" w:hAnsi="Times New Roman" w:cs="Times New Roman"/>
          <w:b/>
          <w:bCs/>
          <w:sz w:val="32"/>
          <w:szCs w:val="32"/>
        </w:rPr>
      </w:pPr>
      <w:bookmarkStart w:id="0" w:name="_GoBack"/>
      <w:bookmarkEnd w:id="0"/>
    </w:p>
    <w:p w:rsidR="002C711E" w:rsidRPr="008B3C30" w:rsidRDefault="002C711E" w:rsidP="00520236">
      <w:pPr>
        <w:shd w:val="clear" w:color="auto" w:fill="FFFFFF"/>
        <w:spacing w:line="365" w:lineRule="exact"/>
        <w:ind w:left="5" w:firstLine="562"/>
        <w:jc w:val="both"/>
        <w:rPr>
          <w:rFonts w:ascii="Times New Roman" w:hAnsi="Times New Roman" w:cs="Times New Roman"/>
          <w:b/>
          <w:bCs/>
          <w:sz w:val="32"/>
          <w:szCs w:val="32"/>
        </w:rPr>
      </w:pPr>
    </w:p>
    <w:p w:rsidR="002C711E" w:rsidRPr="008B3C30" w:rsidRDefault="002C711E" w:rsidP="00520236">
      <w:pPr>
        <w:shd w:val="clear" w:color="auto" w:fill="FFFFFF"/>
        <w:spacing w:line="365" w:lineRule="exact"/>
        <w:ind w:left="5" w:firstLine="562"/>
        <w:jc w:val="both"/>
        <w:rPr>
          <w:rFonts w:ascii="Times New Roman" w:hAnsi="Times New Roman" w:cs="Times New Roman"/>
          <w:b/>
          <w:bCs/>
          <w:sz w:val="32"/>
          <w:szCs w:val="32"/>
        </w:rPr>
      </w:pPr>
    </w:p>
    <w:p w:rsidR="002C711E" w:rsidRPr="008B3C30" w:rsidRDefault="00336043" w:rsidP="00336043">
      <w:pPr>
        <w:shd w:val="clear" w:color="auto" w:fill="FFFFFF"/>
        <w:tabs>
          <w:tab w:val="left" w:pos="2003"/>
        </w:tabs>
        <w:spacing w:line="365" w:lineRule="exact"/>
        <w:ind w:left="5" w:firstLine="562"/>
        <w:jc w:val="both"/>
        <w:rPr>
          <w:rFonts w:ascii="Times New Roman" w:hAnsi="Times New Roman" w:cs="Times New Roman"/>
          <w:b/>
          <w:bCs/>
          <w:sz w:val="32"/>
          <w:szCs w:val="32"/>
        </w:rPr>
      </w:pPr>
      <w:r w:rsidRPr="008B3C30">
        <w:rPr>
          <w:rFonts w:ascii="Times New Roman" w:hAnsi="Times New Roman" w:cs="Times New Roman"/>
          <w:b/>
          <w:bCs/>
          <w:sz w:val="32"/>
          <w:szCs w:val="32"/>
        </w:rPr>
        <w:tab/>
      </w:r>
    </w:p>
    <w:p w:rsidR="002C711E" w:rsidRPr="008B3C30" w:rsidRDefault="002C711E" w:rsidP="00520236">
      <w:pPr>
        <w:shd w:val="clear" w:color="auto" w:fill="FFFFFF"/>
        <w:spacing w:line="365" w:lineRule="exact"/>
        <w:ind w:left="5" w:firstLine="562"/>
        <w:jc w:val="both"/>
        <w:rPr>
          <w:rFonts w:ascii="Times New Roman" w:hAnsi="Times New Roman" w:cs="Times New Roman"/>
          <w:b/>
          <w:bCs/>
          <w:sz w:val="32"/>
          <w:szCs w:val="32"/>
        </w:rPr>
      </w:pPr>
    </w:p>
    <w:p w:rsidR="002C711E" w:rsidRPr="008B3C30" w:rsidRDefault="002C711E" w:rsidP="00520236">
      <w:pPr>
        <w:shd w:val="clear" w:color="auto" w:fill="FFFFFF"/>
        <w:spacing w:line="365" w:lineRule="exact"/>
        <w:ind w:left="5" w:firstLine="562"/>
        <w:jc w:val="both"/>
        <w:rPr>
          <w:rFonts w:ascii="Times New Roman" w:hAnsi="Times New Roman" w:cs="Times New Roman"/>
          <w:b/>
          <w:bCs/>
          <w:sz w:val="32"/>
          <w:szCs w:val="32"/>
        </w:rPr>
      </w:pPr>
    </w:p>
    <w:p w:rsidR="002C711E" w:rsidRPr="008B3C30" w:rsidRDefault="002C711E" w:rsidP="00520236">
      <w:pPr>
        <w:shd w:val="clear" w:color="auto" w:fill="FFFFFF"/>
        <w:spacing w:line="365" w:lineRule="exact"/>
        <w:ind w:left="5" w:firstLine="562"/>
        <w:jc w:val="both"/>
        <w:rPr>
          <w:rFonts w:ascii="Times New Roman" w:hAnsi="Times New Roman" w:cs="Times New Roman"/>
          <w:b/>
          <w:bCs/>
          <w:sz w:val="32"/>
          <w:szCs w:val="32"/>
        </w:rPr>
      </w:pPr>
    </w:p>
    <w:p w:rsidR="002C711E" w:rsidRPr="008B3C30" w:rsidRDefault="002C711E" w:rsidP="00520236">
      <w:pPr>
        <w:shd w:val="clear" w:color="auto" w:fill="FFFFFF"/>
        <w:spacing w:line="365" w:lineRule="exact"/>
        <w:ind w:left="5" w:firstLine="562"/>
        <w:jc w:val="both"/>
        <w:rPr>
          <w:rFonts w:ascii="Times New Roman" w:hAnsi="Times New Roman" w:cs="Times New Roman"/>
          <w:b/>
          <w:bCs/>
          <w:sz w:val="32"/>
          <w:szCs w:val="32"/>
        </w:rPr>
      </w:pPr>
    </w:p>
    <w:p w:rsidR="002C711E" w:rsidRPr="008B3C30" w:rsidRDefault="002C711E" w:rsidP="00520236">
      <w:pPr>
        <w:shd w:val="clear" w:color="auto" w:fill="FFFFFF"/>
        <w:spacing w:line="365" w:lineRule="exact"/>
        <w:ind w:left="5" w:firstLine="562"/>
        <w:jc w:val="both"/>
        <w:rPr>
          <w:rFonts w:ascii="Times New Roman" w:hAnsi="Times New Roman" w:cs="Times New Roman"/>
          <w:b/>
          <w:bCs/>
          <w:sz w:val="32"/>
          <w:szCs w:val="32"/>
        </w:rPr>
      </w:pPr>
    </w:p>
    <w:p w:rsidR="002C711E" w:rsidRPr="008B3C30" w:rsidRDefault="002C711E" w:rsidP="00520236">
      <w:pPr>
        <w:shd w:val="clear" w:color="auto" w:fill="FFFFFF"/>
        <w:spacing w:line="365" w:lineRule="exact"/>
        <w:ind w:left="5" w:firstLine="562"/>
        <w:jc w:val="both"/>
        <w:rPr>
          <w:rFonts w:ascii="Times New Roman" w:hAnsi="Times New Roman" w:cs="Times New Roman"/>
          <w:b/>
          <w:bCs/>
          <w:sz w:val="32"/>
          <w:szCs w:val="32"/>
        </w:rPr>
      </w:pPr>
    </w:p>
    <w:p w:rsidR="002C711E" w:rsidRPr="008B3C30" w:rsidRDefault="002C711E" w:rsidP="00520236">
      <w:pPr>
        <w:shd w:val="clear" w:color="auto" w:fill="FFFFFF"/>
        <w:spacing w:line="365" w:lineRule="exact"/>
        <w:ind w:left="5" w:firstLine="562"/>
        <w:jc w:val="both"/>
        <w:rPr>
          <w:rFonts w:ascii="Times New Roman" w:hAnsi="Times New Roman" w:cs="Times New Roman"/>
          <w:b/>
          <w:bCs/>
          <w:sz w:val="32"/>
          <w:szCs w:val="32"/>
        </w:rPr>
      </w:pPr>
    </w:p>
    <w:p w:rsidR="002C711E" w:rsidRPr="008B3C30" w:rsidRDefault="002C711E" w:rsidP="00520236">
      <w:pPr>
        <w:shd w:val="clear" w:color="auto" w:fill="FFFFFF"/>
        <w:spacing w:line="365" w:lineRule="exact"/>
        <w:ind w:left="5" w:firstLine="562"/>
        <w:jc w:val="both"/>
        <w:rPr>
          <w:rFonts w:ascii="Times New Roman" w:hAnsi="Times New Roman" w:cs="Times New Roman"/>
          <w:b/>
          <w:bCs/>
          <w:sz w:val="32"/>
          <w:szCs w:val="32"/>
        </w:rPr>
      </w:pPr>
    </w:p>
    <w:p w:rsidR="002C711E" w:rsidRPr="008B3C30" w:rsidRDefault="002C711E" w:rsidP="005B56B8">
      <w:pPr>
        <w:shd w:val="clear" w:color="auto" w:fill="FFFFFF"/>
        <w:spacing w:line="365" w:lineRule="exact"/>
        <w:ind w:left="5" w:hanging="5"/>
        <w:jc w:val="center"/>
        <w:rPr>
          <w:rFonts w:ascii="Times New Roman" w:hAnsi="Times New Roman" w:cs="Times New Roman"/>
        </w:rPr>
      </w:pPr>
      <w:r w:rsidRPr="008B3C30">
        <w:rPr>
          <w:rFonts w:ascii="Times New Roman" w:hAnsi="Times New Roman" w:cs="Times New Roman"/>
          <w:b/>
          <w:bCs/>
          <w:sz w:val="32"/>
          <w:szCs w:val="32"/>
        </w:rPr>
        <w:t>ПРОГРАМА ЗА ЗАЩИТА НА ПОТРЕБИТЕЛИТЕ НА</w:t>
      </w:r>
      <w:r w:rsidR="006754CF">
        <w:rPr>
          <w:rFonts w:ascii="Times New Roman" w:hAnsi="Times New Roman" w:cs="Times New Roman"/>
          <w:b/>
          <w:bCs/>
          <w:sz w:val="32"/>
          <w:szCs w:val="32"/>
        </w:rPr>
        <w:t xml:space="preserve"> </w:t>
      </w:r>
      <w:r w:rsidRPr="008B3C30">
        <w:rPr>
          <w:rFonts w:ascii="Times New Roman" w:hAnsi="Times New Roman" w:cs="Times New Roman"/>
          <w:b/>
          <w:bCs/>
          <w:spacing w:val="-3"/>
          <w:sz w:val="32"/>
          <w:szCs w:val="32"/>
        </w:rPr>
        <w:t>НЕБАНКОВИ ФИНАНСОВИ УСЛУГИ И ПРОДУКТИ</w:t>
      </w:r>
    </w:p>
    <w:p w:rsidR="002C711E" w:rsidRPr="008B3C30" w:rsidRDefault="00EE1CF3" w:rsidP="00EE1CF3">
      <w:pPr>
        <w:shd w:val="clear" w:color="auto" w:fill="FFFFFF"/>
        <w:spacing w:line="365" w:lineRule="exact"/>
        <w:ind w:left="5" w:hanging="5"/>
        <w:jc w:val="center"/>
        <w:rPr>
          <w:rFonts w:ascii="Times New Roman" w:hAnsi="Times New Roman" w:cs="Times New Roman"/>
        </w:rPr>
        <w:sectPr w:rsidR="002C711E" w:rsidRPr="008B3C30" w:rsidSect="002C711E">
          <w:footerReference w:type="default" r:id="rId8"/>
          <w:pgSz w:w="11909" w:h="16834"/>
          <w:pgMar w:top="1440" w:right="1544" w:bottom="720" w:left="1682" w:header="708" w:footer="708" w:gutter="0"/>
          <w:cols w:space="60"/>
          <w:noEndnote/>
        </w:sectPr>
      </w:pPr>
      <w:r>
        <w:rPr>
          <w:rFonts w:ascii="Times New Roman" w:hAnsi="Times New Roman" w:cs="Times New Roman"/>
          <w:b/>
          <w:bCs/>
          <w:spacing w:val="3"/>
          <w:sz w:val="32"/>
          <w:szCs w:val="32"/>
        </w:rPr>
        <w:t>(</w:t>
      </w:r>
      <w:r w:rsidR="002C711E" w:rsidRPr="008B3C30">
        <w:rPr>
          <w:rFonts w:ascii="Times New Roman" w:hAnsi="Times New Roman" w:cs="Times New Roman"/>
          <w:b/>
          <w:bCs/>
          <w:spacing w:val="3"/>
          <w:sz w:val="32"/>
          <w:szCs w:val="32"/>
        </w:rPr>
        <w:t>2018</w:t>
      </w:r>
      <w:r>
        <w:rPr>
          <w:rFonts w:ascii="Times New Roman" w:hAnsi="Times New Roman" w:cs="Times New Roman"/>
          <w:b/>
          <w:bCs/>
          <w:spacing w:val="3"/>
          <w:sz w:val="32"/>
          <w:szCs w:val="32"/>
        </w:rPr>
        <w:t xml:space="preserve"> г.</w:t>
      </w:r>
      <w:r w:rsidR="002C711E" w:rsidRPr="008B3C30">
        <w:rPr>
          <w:rFonts w:ascii="Times New Roman" w:hAnsi="Times New Roman" w:cs="Times New Roman"/>
          <w:b/>
          <w:bCs/>
          <w:spacing w:val="3"/>
          <w:sz w:val="32"/>
          <w:szCs w:val="32"/>
        </w:rPr>
        <w:t xml:space="preserve"> </w:t>
      </w:r>
      <w:r>
        <w:rPr>
          <w:rFonts w:ascii="Times New Roman" w:hAnsi="Times New Roman" w:cs="Times New Roman"/>
          <w:b/>
          <w:bCs/>
          <w:spacing w:val="3"/>
          <w:sz w:val="32"/>
          <w:szCs w:val="32"/>
        </w:rPr>
        <w:t>– 2020 г.)</w:t>
      </w:r>
    </w:p>
    <w:p w:rsidR="006D1858" w:rsidRPr="008B3C30" w:rsidRDefault="002C711E" w:rsidP="00520236">
      <w:pPr>
        <w:shd w:val="clear" w:color="auto" w:fill="FFFFFF"/>
        <w:tabs>
          <w:tab w:val="left" w:leader="dot" w:pos="0"/>
          <w:tab w:val="left" w:pos="485"/>
        </w:tabs>
        <w:spacing w:line="274" w:lineRule="exact"/>
        <w:ind w:right="3"/>
        <w:jc w:val="center"/>
        <w:rPr>
          <w:rFonts w:ascii="Times New Roman" w:hAnsi="Times New Roman" w:cs="Times New Roman"/>
          <w:b/>
          <w:sz w:val="24"/>
          <w:szCs w:val="24"/>
        </w:rPr>
      </w:pPr>
      <w:r w:rsidRPr="008B3C30">
        <w:rPr>
          <w:rFonts w:ascii="Times New Roman" w:hAnsi="Times New Roman" w:cs="Times New Roman"/>
          <w:b/>
          <w:bCs/>
          <w:sz w:val="24"/>
          <w:szCs w:val="24"/>
        </w:rPr>
        <w:lastRenderedPageBreak/>
        <w:t>I</w:t>
      </w:r>
      <w:r w:rsidR="00954012" w:rsidRPr="008B3C30">
        <w:rPr>
          <w:rFonts w:ascii="Times New Roman" w:hAnsi="Times New Roman" w:cs="Times New Roman"/>
          <w:b/>
          <w:bCs/>
          <w:sz w:val="24"/>
          <w:szCs w:val="24"/>
        </w:rPr>
        <w:t>.</w:t>
      </w:r>
      <w:r w:rsidRPr="008B3C30">
        <w:rPr>
          <w:rFonts w:ascii="Times New Roman" w:hAnsi="Times New Roman" w:cs="Times New Roman"/>
          <w:sz w:val="24"/>
          <w:szCs w:val="24"/>
        </w:rPr>
        <w:t xml:space="preserve">  </w:t>
      </w:r>
      <w:r w:rsidR="006D1858" w:rsidRPr="008B3C30">
        <w:rPr>
          <w:rFonts w:ascii="Times New Roman" w:hAnsi="Times New Roman" w:cs="Times New Roman"/>
          <w:b/>
          <w:sz w:val="24"/>
          <w:szCs w:val="24"/>
        </w:rPr>
        <w:t>АНАЛИЗ НА СРЕДАТА В ОБЛАСТТА НА ЗАЩИТА НА ПОТРЕБИТЕЛИТЕ</w:t>
      </w:r>
    </w:p>
    <w:p w:rsidR="002C711E" w:rsidRPr="008B3C30" w:rsidRDefault="002C711E" w:rsidP="00520236">
      <w:pPr>
        <w:shd w:val="clear" w:color="auto" w:fill="FFFFFF"/>
        <w:spacing w:line="269" w:lineRule="exact"/>
        <w:ind w:left="365" w:firstLine="562"/>
        <w:jc w:val="both"/>
        <w:rPr>
          <w:rFonts w:ascii="Times New Roman" w:hAnsi="Times New Roman" w:cs="Times New Roman"/>
          <w:b/>
          <w:bCs/>
          <w:spacing w:val="-1"/>
          <w:sz w:val="24"/>
          <w:szCs w:val="24"/>
        </w:rPr>
      </w:pPr>
    </w:p>
    <w:p w:rsidR="002C711E" w:rsidRPr="008B3C30" w:rsidRDefault="002C711E" w:rsidP="00AD549A">
      <w:pPr>
        <w:pStyle w:val="BodyText"/>
        <w:tabs>
          <w:tab w:val="center" w:pos="4854"/>
        </w:tabs>
        <w:ind w:firstLine="562"/>
        <w:rPr>
          <w:rFonts w:cs="Times New Roman"/>
          <w:sz w:val="24"/>
          <w:szCs w:val="24"/>
        </w:rPr>
      </w:pPr>
    </w:p>
    <w:p w:rsidR="00934EEF" w:rsidRPr="008B3C30" w:rsidRDefault="00934EEF" w:rsidP="00AD549A">
      <w:pPr>
        <w:pStyle w:val="BodyText"/>
        <w:tabs>
          <w:tab w:val="center" w:pos="4854"/>
        </w:tabs>
        <w:ind w:firstLine="562"/>
        <w:rPr>
          <w:rFonts w:cs="Times New Roman"/>
          <w:sz w:val="24"/>
          <w:szCs w:val="24"/>
        </w:rPr>
      </w:pPr>
    </w:p>
    <w:p w:rsidR="001C5D21" w:rsidRPr="008B3C30" w:rsidRDefault="003F36EF" w:rsidP="00520236">
      <w:pPr>
        <w:pStyle w:val="BodyText"/>
        <w:tabs>
          <w:tab w:val="center" w:pos="4854"/>
        </w:tabs>
        <w:ind w:firstLine="0"/>
        <w:jc w:val="center"/>
        <w:rPr>
          <w:rFonts w:cs="Times New Roman"/>
          <w:sz w:val="24"/>
          <w:szCs w:val="24"/>
        </w:rPr>
      </w:pPr>
      <w:r w:rsidRPr="008B3C30">
        <w:rPr>
          <w:rFonts w:cs="Times New Roman"/>
          <w:b/>
          <w:spacing w:val="-2"/>
          <w:sz w:val="24"/>
          <w:szCs w:val="24"/>
        </w:rPr>
        <w:t>Основни приоритети</w:t>
      </w:r>
      <w:r w:rsidR="001C5D21" w:rsidRPr="008B3C30">
        <w:rPr>
          <w:rFonts w:cs="Times New Roman"/>
          <w:b/>
          <w:spacing w:val="-2"/>
          <w:sz w:val="24"/>
          <w:szCs w:val="24"/>
        </w:rPr>
        <w:t xml:space="preserve"> на европейската политика</w:t>
      </w:r>
    </w:p>
    <w:p w:rsidR="00B045C5" w:rsidRPr="008B3C30" w:rsidRDefault="00B045C5" w:rsidP="00AD549A">
      <w:pPr>
        <w:pStyle w:val="BodyText"/>
        <w:tabs>
          <w:tab w:val="center" w:pos="4854"/>
        </w:tabs>
        <w:ind w:firstLine="562"/>
        <w:rPr>
          <w:rFonts w:cs="Times New Roman"/>
          <w:sz w:val="24"/>
          <w:szCs w:val="24"/>
        </w:rPr>
      </w:pPr>
    </w:p>
    <w:p w:rsidR="002C0775" w:rsidRPr="008B3C30" w:rsidRDefault="002F3121" w:rsidP="00AD549A">
      <w:pPr>
        <w:pStyle w:val="BodyText"/>
        <w:tabs>
          <w:tab w:val="center" w:pos="4854"/>
        </w:tabs>
        <w:ind w:firstLine="562"/>
        <w:rPr>
          <w:rFonts w:cs="Times New Roman"/>
          <w:sz w:val="24"/>
          <w:szCs w:val="24"/>
        </w:rPr>
      </w:pPr>
      <w:r w:rsidRPr="008B3C30">
        <w:rPr>
          <w:rFonts w:cs="Times New Roman"/>
          <w:sz w:val="24"/>
          <w:szCs w:val="24"/>
        </w:rPr>
        <w:t xml:space="preserve">По данни на Европейската комисия, икономиката в рамките на </w:t>
      </w:r>
      <w:r w:rsidR="00073954" w:rsidRPr="008B3C30">
        <w:rPr>
          <w:rFonts w:cs="Times New Roman"/>
          <w:sz w:val="24"/>
          <w:szCs w:val="24"/>
        </w:rPr>
        <w:t>е</w:t>
      </w:r>
      <w:r w:rsidRPr="008B3C30">
        <w:rPr>
          <w:rFonts w:cs="Times New Roman"/>
          <w:sz w:val="24"/>
          <w:szCs w:val="24"/>
        </w:rPr>
        <w:t xml:space="preserve">динния пазар, </w:t>
      </w:r>
      <w:r w:rsidR="005B7547" w:rsidRPr="008B3C30">
        <w:rPr>
          <w:rFonts w:cs="Times New Roman"/>
          <w:sz w:val="24"/>
          <w:szCs w:val="24"/>
        </w:rPr>
        <w:t>който е основан на свободата на движение на хора, стоки, услуги и капитал, генерира 15 трилиона евро годишно. Статистическите данни показват, че държави</w:t>
      </w:r>
      <w:r w:rsidR="003D1D31" w:rsidRPr="008B3C30">
        <w:rPr>
          <w:rFonts w:cs="Times New Roman"/>
          <w:sz w:val="24"/>
          <w:szCs w:val="24"/>
        </w:rPr>
        <w:t>те</w:t>
      </w:r>
      <w:r w:rsidR="005B7547" w:rsidRPr="008B3C30">
        <w:rPr>
          <w:rFonts w:cs="Times New Roman"/>
          <w:sz w:val="24"/>
          <w:szCs w:val="24"/>
        </w:rPr>
        <w:t xml:space="preserve">-членки, които </w:t>
      </w:r>
      <w:r w:rsidR="00963C82" w:rsidRPr="008B3C30">
        <w:rPr>
          <w:rFonts w:cs="Times New Roman"/>
          <w:sz w:val="24"/>
          <w:szCs w:val="24"/>
        </w:rPr>
        <w:t xml:space="preserve">си поставят за приоритет </w:t>
      </w:r>
      <w:r w:rsidR="005B7547" w:rsidRPr="008B3C30">
        <w:rPr>
          <w:rFonts w:cs="Times New Roman"/>
          <w:sz w:val="24"/>
          <w:szCs w:val="24"/>
        </w:rPr>
        <w:t>защитата на интересите на потребителите</w:t>
      </w:r>
      <w:r w:rsidR="003D1D31" w:rsidRPr="008B3C30">
        <w:rPr>
          <w:rFonts w:cs="Times New Roman"/>
          <w:sz w:val="24"/>
          <w:szCs w:val="24"/>
        </w:rPr>
        <w:t>,</w:t>
      </w:r>
      <w:r w:rsidR="005B7547" w:rsidRPr="008B3C30">
        <w:rPr>
          <w:rFonts w:cs="Times New Roman"/>
          <w:sz w:val="24"/>
          <w:szCs w:val="24"/>
        </w:rPr>
        <w:t xml:space="preserve"> бележат по-голям </w:t>
      </w:r>
      <w:r w:rsidR="00936D3C" w:rsidRPr="008B3C30">
        <w:rPr>
          <w:rFonts w:cs="Times New Roman"/>
          <w:sz w:val="24"/>
          <w:szCs w:val="24"/>
        </w:rPr>
        <w:t xml:space="preserve">икономически </w:t>
      </w:r>
      <w:r w:rsidR="005B7547" w:rsidRPr="008B3C30">
        <w:rPr>
          <w:rFonts w:cs="Times New Roman"/>
          <w:sz w:val="24"/>
          <w:szCs w:val="24"/>
        </w:rPr>
        <w:t xml:space="preserve">прираст в сравнение с останалите. </w:t>
      </w:r>
      <w:r w:rsidR="00591B5C" w:rsidRPr="008B3C30">
        <w:rPr>
          <w:rFonts w:cs="Times New Roman"/>
          <w:sz w:val="24"/>
          <w:szCs w:val="24"/>
        </w:rPr>
        <w:t>С оглед на горното, сред о</w:t>
      </w:r>
      <w:r w:rsidR="002C711E" w:rsidRPr="008B3C30">
        <w:rPr>
          <w:rFonts w:cs="Times New Roman"/>
          <w:sz w:val="24"/>
          <w:szCs w:val="24"/>
        </w:rPr>
        <w:t>сновните приоритетни политики на Европейския съюз (ЕС) през последните години е изграждането на по-солидни основи за бъдещото развитие на финансовите системи чрез реформи</w:t>
      </w:r>
      <w:r w:rsidR="00936D3C" w:rsidRPr="008B3C30">
        <w:rPr>
          <w:rFonts w:cs="Times New Roman"/>
          <w:sz w:val="24"/>
          <w:szCs w:val="24"/>
        </w:rPr>
        <w:t>,</w:t>
      </w:r>
      <w:r w:rsidR="002C711E" w:rsidRPr="008B3C30">
        <w:rPr>
          <w:rFonts w:cs="Times New Roman"/>
          <w:sz w:val="24"/>
          <w:szCs w:val="24"/>
        </w:rPr>
        <w:t xml:space="preserve"> </w:t>
      </w:r>
      <w:r w:rsidR="002C0775" w:rsidRPr="008B3C30">
        <w:rPr>
          <w:rFonts w:cs="Times New Roman"/>
          <w:sz w:val="24"/>
          <w:szCs w:val="24"/>
        </w:rPr>
        <w:t xml:space="preserve">целящи </w:t>
      </w:r>
      <w:r w:rsidR="00A40F55" w:rsidRPr="008B3C30">
        <w:rPr>
          <w:rFonts w:cs="Times New Roman"/>
          <w:sz w:val="24"/>
          <w:szCs w:val="24"/>
        </w:rPr>
        <w:t>ефективното</w:t>
      </w:r>
      <w:r w:rsidR="002C0775" w:rsidRPr="008B3C30">
        <w:rPr>
          <w:rFonts w:cs="Times New Roman"/>
          <w:sz w:val="24"/>
          <w:szCs w:val="24"/>
        </w:rPr>
        <w:t xml:space="preserve"> регулиране на пазара</w:t>
      </w:r>
      <w:r w:rsidR="002C711E" w:rsidRPr="008B3C30">
        <w:rPr>
          <w:rFonts w:cs="Times New Roman"/>
          <w:sz w:val="24"/>
          <w:szCs w:val="24"/>
        </w:rPr>
        <w:t xml:space="preserve">, в т.ч. </w:t>
      </w:r>
      <w:r w:rsidR="00B3119A" w:rsidRPr="008B3C30">
        <w:rPr>
          <w:rFonts w:cs="Times New Roman"/>
          <w:sz w:val="24"/>
          <w:szCs w:val="24"/>
        </w:rPr>
        <w:t>разработване на по-</w:t>
      </w:r>
      <w:r w:rsidR="00936D3C" w:rsidRPr="008B3C30">
        <w:rPr>
          <w:rFonts w:cs="Times New Roman"/>
          <w:sz w:val="24"/>
          <w:szCs w:val="24"/>
        </w:rPr>
        <w:t>еф</w:t>
      </w:r>
      <w:r w:rsidR="00473B4A" w:rsidRPr="008B3C30">
        <w:rPr>
          <w:rFonts w:cs="Times New Roman"/>
          <w:sz w:val="24"/>
          <w:szCs w:val="24"/>
        </w:rPr>
        <w:t>и</w:t>
      </w:r>
      <w:r w:rsidR="00936D3C" w:rsidRPr="008B3C30">
        <w:rPr>
          <w:rFonts w:cs="Times New Roman"/>
          <w:sz w:val="24"/>
          <w:szCs w:val="24"/>
        </w:rPr>
        <w:t>к</w:t>
      </w:r>
      <w:r w:rsidR="00194B35" w:rsidRPr="008B3C30">
        <w:rPr>
          <w:rFonts w:cs="Times New Roman"/>
          <w:sz w:val="24"/>
          <w:szCs w:val="24"/>
        </w:rPr>
        <w:t>асни</w:t>
      </w:r>
      <w:r w:rsidR="00B3119A" w:rsidRPr="008B3C30">
        <w:rPr>
          <w:rFonts w:cs="Times New Roman"/>
          <w:sz w:val="24"/>
          <w:szCs w:val="24"/>
        </w:rPr>
        <w:t xml:space="preserve"> </w:t>
      </w:r>
      <w:r w:rsidR="002C711E" w:rsidRPr="008B3C30">
        <w:rPr>
          <w:rFonts w:cs="Times New Roman"/>
          <w:sz w:val="24"/>
          <w:szCs w:val="24"/>
        </w:rPr>
        <w:t xml:space="preserve">мерки за защита на потребителите на финансовите продукти и услуги, предлагани на финансовите пазари. </w:t>
      </w:r>
    </w:p>
    <w:p w:rsidR="002C711E" w:rsidRPr="008B3C30" w:rsidRDefault="002C711E" w:rsidP="00AD549A">
      <w:pPr>
        <w:pStyle w:val="BodyText"/>
        <w:tabs>
          <w:tab w:val="center" w:pos="4854"/>
        </w:tabs>
        <w:ind w:firstLine="562"/>
        <w:rPr>
          <w:rFonts w:cs="Times New Roman"/>
          <w:sz w:val="24"/>
          <w:szCs w:val="24"/>
        </w:rPr>
      </w:pPr>
      <w:r w:rsidRPr="008B3C30">
        <w:rPr>
          <w:rFonts w:cs="Times New Roman"/>
          <w:sz w:val="24"/>
          <w:szCs w:val="24"/>
        </w:rPr>
        <w:t xml:space="preserve">Политиката за </w:t>
      </w:r>
      <w:r w:rsidR="002C0775" w:rsidRPr="008B3C30">
        <w:rPr>
          <w:rFonts w:cs="Times New Roman"/>
          <w:sz w:val="24"/>
          <w:szCs w:val="24"/>
        </w:rPr>
        <w:t xml:space="preserve">защита на </w:t>
      </w:r>
      <w:r w:rsidRPr="008B3C30">
        <w:rPr>
          <w:rFonts w:cs="Times New Roman"/>
          <w:sz w:val="24"/>
          <w:szCs w:val="24"/>
        </w:rPr>
        <w:t>потребителите е част от стратегическата цел на ЕС</w:t>
      </w:r>
      <w:r w:rsidR="00B3119A" w:rsidRPr="008B3C30">
        <w:rPr>
          <w:rFonts w:cs="Times New Roman"/>
          <w:sz w:val="24"/>
          <w:szCs w:val="24"/>
        </w:rPr>
        <w:t xml:space="preserve">, свързана с </w:t>
      </w:r>
      <w:r w:rsidRPr="008B3C30">
        <w:rPr>
          <w:rFonts w:cs="Times New Roman"/>
          <w:sz w:val="24"/>
          <w:szCs w:val="24"/>
        </w:rPr>
        <w:t>повиш</w:t>
      </w:r>
      <w:r w:rsidR="00B3119A" w:rsidRPr="008B3C30">
        <w:rPr>
          <w:rFonts w:cs="Times New Roman"/>
          <w:sz w:val="24"/>
          <w:szCs w:val="24"/>
        </w:rPr>
        <w:t>аването</w:t>
      </w:r>
      <w:r w:rsidRPr="008B3C30">
        <w:rPr>
          <w:rFonts w:cs="Times New Roman"/>
          <w:sz w:val="24"/>
          <w:szCs w:val="24"/>
        </w:rPr>
        <w:t xml:space="preserve"> качеството на живот на </w:t>
      </w:r>
      <w:r w:rsidR="00B3119A" w:rsidRPr="008B3C30">
        <w:rPr>
          <w:rFonts w:cs="Times New Roman"/>
          <w:sz w:val="24"/>
          <w:szCs w:val="24"/>
        </w:rPr>
        <w:t>европейските</w:t>
      </w:r>
      <w:r w:rsidRPr="008B3C30">
        <w:rPr>
          <w:rFonts w:cs="Times New Roman"/>
          <w:sz w:val="24"/>
          <w:szCs w:val="24"/>
        </w:rPr>
        <w:t xml:space="preserve"> граждани. </w:t>
      </w:r>
      <w:r w:rsidR="002C0775" w:rsidRPr="008B3C30">
        <w:rPr>
          <w:rFonts w:cs="Times New Roman"/>
          <w:sz w:val="24"/>
          <w:szCs w:val="24"/>
        </w:rPr>
        <w:t>По своята същност тя е в</w:t>
      </w:r>
      <w:r w:rsidRPr="008B3C30">
        <w:rPr>
          <w:rFonts w:cs="Times New Roman"/>
          <w:sz w:val="24"/>
          <w:szCs w:val="24"/>
        </w:rPr>
        <w:t>ажен елемент</w:t>
      </w:r>
      <w:r w:rsidR="00DE59AC" w:rsidRPr="008B3C30">
        <w:rPr>
          <w:rFonts w:cs="Times New Roman"/>
          <w:sz w:val="24"/>
          <w:szCs w:val="24"/>
        </w:rPr>
        <w:t xml:space="preserve">, с който се цели </w:t>
      </w:r>
      <w:r w:rsidRPr="008B3C30">
        <w:rPr>
          <w:rFonts w:cs="Times New Roman"/>
          <w:sz w:val="24"/>
          <w:szCs w:val="24"/>
        </w:rPr>
        <w:t xml:space="preserve">доброто функциониране на единния вътрешен пазар, </w:t>
      </w:r>
      <w:r w:rsidR="00DE59AC" w:rsidRPr="008B3C30">
        <w:rPr>
          <w:rFonts w:cs="Times New Roman"/>
          <w:sz w:val="24"/>
          <w:szCs w:val="24"/>
        </w:rPr>
        <w:t>като същевременно</w:t>
      </w:r>
      <w:r w:rsidRPr="008B3C30">
        <w:rPr>
          <w:rFonts w:cs="Times New Roman"/>
          <w:sz w:val="24"/>
          <w:szCs w:val="24"/>
        </w:rPr>
        <w:t xml:space="preserve"> се осъществява ефективна защита на </w:t>
      </w:r>
      <w:r w:rsidR="00DE59AC" w:rsidRPr="008B3C30">
        <w:rPr>
          <w:rFonts w:cs="Times New Roman"/>
          <w:sz w:val="24"/>
          <w:szCs w:val="24"/>
        </w:rPr>
        <w:t>финансовите</w:t>
      </w:r>
      <w:r w:rsidRPr="008B3C30">
        <w:rPr>
          <w:rFonts w:cs="Times New Roman"/>
          <w:sz w:val="24"/>
          <w:szCs w:val="24"/>
        </w:rPr>
        <w:t xml:space="preserve"> интереси на потребителите.</w:t>
      </w:r>
      <w:r w:rsidR="00073954" w:rsidRPr="008B3C30">
        <w:rPr>
          <w:rFonts w:cs="Times New Roman"/>
          <w:sz w:val="24"/>
          <w:szCs w:val="24"/>
        </w:rPr>
        <w:t xml:space="preserve"> Важен елемент в тази насока е </w:t>
      </w:r>
      <w:r w:rsidR="00591B5C" w:rsidRPr="008B3C30">
        <w:rPr>
          <w:rFonts w:cs="Times New Roman"/>
          <w:sz w:val="24"/>
          <w:szCs w:val="24"/>
        </w:rPr>
        <w:t xml:space="preserve">осигуряването на право на информация и по-добри програми, </w:t>
      </w:r>
      <w:r w:rsidR="00D93F96" w:rsidRPr="008B3C30">
        <w:rPr>
          <w:rFonts w:cs="Times New Roman"/>
          <w:sz w:val="24"/>
          <w:szCs w:val="24"/>
        </w:rPr>
        <w:t xml:space="preserve">които </w:t>
      </w:r>
      <w:r w:rsidR="00A40F55" w:rsidRPr="008B3C30">
        <w:rPr>
          <w:rFonts w:cs="Times New Roman"/>
          <w:sz w:val="24"/>
          <w:szCs w:val="24"/>
        </w:rPr>
        <w:t>ще допринесат</w:t>
      </w:r>
      <w:r w:rsidR="00591B5C" w:rsidRPr="008B3C30">
        <w:rPr>
          <w:rFonts w:cs="Times New Roman"/>
          <w:sz w:val="24"/>
          <w:szCs w:val="24"/>
        </w:rPr>
        <w:t xml:space="preserve"> </w:t>
      </w:r>
      <w:r w:rsidR="00D93F96" w:rsidRPr="008B3C30">
        <w:rPr>
          <w:rFonts w:cs="Times New Roman"/>
          <w:sz w:val="24"/>
          <w:szCs w:val="24"/>
        </w:rPr>
        <w:t xml:space="preserve">за </w:t>
      </w:r>
      <w:r w:rsidR="00591B5C" w:rsidRPr="008B3C30">
        <w:rPr>
          <w:rFonts w:cs="Times New Roman"/>
          <w:sz w:val="24"/>
          <w:szCs w:val="24"/>
        </w:rPr>
        <w:t xml:space="preserve">подобряването на финансовата грамотност на потребителите. </w:t>
      </w:r>
      <w:r w:rsidRPr="008B3C30">
        <w:rPr>
          <w:rFonts w:cs="Times New Roman"/>
          <w:sz w:val="24"/>
          <w:szCs w:val="24"/>
        </w:rPr>
        <w:t xml:space="preserve"> </w:t>
      </w:r>
    </w:p>
    <w:p w:rsidR="002C711E" w:rsidRPr="008B3C30" w:rsidRDefault="002C711E" w:rsidP="005B7B48">
      <w:pPr>
        <w:pStyle w:val="BodyText"/>
        <w:tabs>
          <w:tab w:val="center" w:pos="4854"/>
        </w:tabs>
        <w:ind w:firstLine="562"/>
        <w:rPr>
          <w:rFonts w:cs="Times New Roman"/>
          <w:sz w:val="24"/>
          <w:szCs w:val="24"/>
        </w:rPr>
      </w:pPr>
      <w:r w:rsidRPr="008B3C30">
        <w:rPr>
          <w:rFonts w:cs="Times New Roman"/>
          <w:sz w:val="24"/>
          <w:szCs w:val="24"/>
        </w:rPr>
        <w:t xml:space="preserve">На европейско ниво към настоящия момент </w:t>
      </w:r>
      <w:r w:rsidR="002C0775" w:rsidRPr="008B3C30">
        <w:rPr>
          <w:rFonts w:cs="Times New Roman"/>
          <w:sz w:val="24"/>
          <w:szCs w:val="24"/>
        </w:rPr>
        <w:t>е в сила</w:t>
      </w:r>
      <w:r w:rsidRPr="008B3C30">
        <w:rPr>
          <w:rFonts w:cs="Times New Roman"/>
          <w:sz w:val="24"/>
          <w:szCs w:val="24"/>
        </w:rPr>
        <w:t xml:space="preserve"> </w:t>
      </w:r>
      <w:r w:rsidR="002C0775" w:rsidRPr="008B3C30">
        <w:rPr>
          <w:rFonts w:cs="Times New Roman"/>
          <w:sz w:val="24"/>
          <w:szCs w:val="24"/>
        </w:rPr>
        <w:t>Програма</w:t>
      </w:r>
      <w:r w:rsidR="00D93F96" w:rsidRPr="008B3C30">
        <w:rPr>
          <w:rFonts w:cs="Times New Roman"/>
          <w:sz w:val="24"/>
          <w:szCs w:val="24"/>
        </w:rPr>
        <w:t>та</w:t>
      </w:r>
      <w:r w:rsidR="002C0775" w:rsidRPr="008B3C30">
        <w:rPr>
          <w:rFonts w:cs="Times New Roman"/>
          <w:sz w:val="24"/>
          <w:szCs w:val="24"/>
        </w:rPr>
        <w:t xml:space="preserve"> за защита на потребителите за </w:t>
      </w:r>
      <w:r w:rsidR="00473B4A" w:rsidRPr="008B3C30">
        <w:rPr>
          <w:rFonts w:cs="Times New Roman"/>
          <w:sz w:val="24"/>
          <w:szCs w:val="24"/>
        </w:rPr>
        <w:t xml:space="preserve"> периода </w:t>
      </w:r>
      <w:r w:rsidR="002C0775" w:rsidRPr="008B3C30">
        <w:rPr>
          <w:rFonts w:cs="Times New Roman"/>
          <w:sz w:val="24"/>
          <w:szCs w:val="24"/>
        </w:rPr>
        <w:t xml:space="preserve">2014-2020 г. </w:t>
      </w:r>
      <w:r w:rsidR="00194B35" w:rsidRPr="008B3C30">
        <w:rPr>
          <w:rFonts w:cs="Times New Roman"/>
          <w:sz w:val="24"/>
          <w:szCs w:val="24"/>
        </w:rPr>
        <w:t xml:space="preserve">В действие е и европейската инициатива </w:t>
      </w:r>
      <w:r w:rsidR="00473B4A" w:rsidRPr="008B3C30">
        <w:rPr>
          <w:rFonts w:cs="Times New Roman"/>
          <w:sz w:val="24"/>
          <w:szCs w:val="24"/>
        </w:rPr>
        <w:t>„</w:t>
      </w:r>
      <w:r w:rsidRPr="008B3C30">
        <w:rPr>
          <w:rFonts w:cs="Times New Roman"/>
          <w:sz w:val="24"/>
          <w:szCs w:val="24"/>
        </w:rPr>
        <w:t>Съюз на капиталовите пазари</w:t>
      </w:r>
      <w:r w:rsidR="00473B4A" w:rsidRPr="008B3C30">
        <w:rPr>
          <w:rFonts w:cs="Times New Roman"/>
          <w:sz w:val="24"/>
          <w:szCs w:val="24"/>
        </w:rPr>
        <w:t>“</w:t>
      </w:r>
      <w:r w:rsidR="00A40F55" w:rsidRPr="008B3C30">
        <w:rPr>
          <w:rFonts w:cs="Times New Roman"/>
          <w:sz w:val="24"/>
          <w:szCs w:val="24"/>
        </w:rPr>
        <w:t xml:space="preserve">, който има </w:t>
      </w:r>
      <w:r w:rsidRPr="008B3C30">
        <w:rPr>
          <w:rFonts w:cs="Times New Roman"/>
          <w:sz w:val="24"/>
          <w:szCs w:val="24"/>
        </w:rPr>
        <w:t xml:space="preserve">за цел да </w:t>
      </w:r>
      <w:r w:rsidR="00194B35" w:rsidRPr="008B3C30">
        <w:rPr>
          <w:rFonts w:cs="Times New Roman"/>
          <w:sz w:val="24"/>
          <w:szCs w:val="24"/>
        </w:rPr>
        <w:t>задълбочи и допълнително да интегрира капиталовите пазари на 28</w:t>
      </w:r>
      <w:r w:rsidR="00194B35" w:rsidRPr="008B3C30">
        <w:rPr>
          <w:rFonts w:cs="Times New Roman"/>
          <w:sz w:val="24"/>
          <w:szCs w:val="24"/>
        </w:rPr>
        <w:noBreakHyphen/>
        <w:t>те държави</w:t>
      </w:r>
      <w:r w:rsidR="00473B4A" w:rsidRPr="008B3C30">
        <w:rPr>
          <w:rFonts w:cs="Times New Roman"/>
          <w:sz w:val="24"/>
          <w:szCs w:val="24"/>
        </w:rPr>
        <w:t>-</w:t>
      </w:r>
      <w:r w:rsidR="00194B35" w:rsidRPr="008B3C30">
        <w:rPr>
          <w:rFonts w:cs="Times New Roman"/>
          <w:sz w:val="24"/>
          <w:szCs w:val="24"/>
        </w:rPr>
        <w:t>членки на ЕС</w:t>
      </w:r>
      <w:r w:rsidR="00A40F55" w:rsidRPr="008B3C30">
        <w:rPr>
          <w:rFonts w:cs="Times New Roman"/>
          <w:sz w:val="24"/>
          <w:szCs w:val="24"/>
        </w:rPr>
        <w:t>,</w:t>
      </w:r>
      <w:r w:rsidRPr="008B3C30">
        <w:rPr>
          <w:rFonts w:cs="Times New Roman"/>
          <w:sz w:val="24"/>
          <w:szCs w:val="24"/>
        </w:rPr>
        <w:t xml:space="preserve"> като</w:t>
      </w:r>
      <w:r w:rsidR="00383F5C" w:rsidRPr="008B3C30">
        <w:rPr>
          <w:rFonts w:cs="Times New Roman"/>
          <w:sz w:val="24"/>
          <w:szCs w:val="24"/>
        </w:rPr>
        <w:t xml:space="preserve"> осигури </w:t>
      </w:r>
      <w:r w:rsidR="00383F5C" w:rsidRPr="008B3C30">
        <w:rPr>
          <w:rFonts w:cs="Times New Roman"/>
          <w:bCs/>
          <w:sz w:val="24"/>
          <w:szCs w:val="24"/>
        </w:rPr>
        <w:t>нови източници на финансиране за предприятията</w:t>
      </w:r>
      <w:r w:rsidR="00383F5C" w:rsidRPr="008B3C30">
        <w:rPr>
          <w:rFonts w:cs="Times New Roman"/>
          <w:sz w:val="24"/>
          <w:szCs w:val="24"/>
        </w:rPr>
        <w:t xml:space="preserve">, </w:t>
      </w:r>
      <w:r w:rsidR="00580999" w:rsidRPr="008B3C30">
        <w:rPr>
          <w:rFonts w:cs="Times New Roman"/>
          <w:sz w:val="24"/>
          <w:szCs w:val="24"/>
        </w:rPr>
        <w:t xml:space="preserve">да намали разходите за набиране на капитал, да </w:t>
      </w:r>
      <w:r w:rsidR="00383F5C" w:rsidRPr="008B3C30">
        <w:rPr>
          <w:rFonts w:cs="Times New Roman"/>
          <w:sz w:val="24"/>
          <w:szCs w:val="24"/>
        </w:rPr>
        <w:t xml:space="preserve">улесни </w:t>
      </w:r>
      <w:r w:rsidR="00383F5C" w:rsidRPr="008B3C30">
        <w:rPr>
          <w:rStyle w:val="Strong"/>
          <w:rFonts w:cs="Times New Roman"/>
          <w:b w:val="0"/>
          <w:sz w:val="24"/>
          <w:szCs w:val="24"/>
        </w:rPr>
        <w:t>трансграничните инвестиции</w:t>
      </w:r>
      <w:r w:rsidR="00194B35" w:rsidRPr="008B3C30">
        <w:rPr>
          <w:rFonts w:cs="Times New Roman"/>
          <w:sz w:val="24"/>
          <w:szCs w:val="24"/>
        </w:rPr>
        <w:t xml:space="preserve">, </w:t>
      </w:r>
      <w:r w:rsidR="00580999" w:rsidRPr="008B3C30">
        <w:rPr>
          <w:rFonts w:cs="Times New Roman"/>
          <w:sz w:val="24"/>
          <w:szCs w:val="24"/>
        </w:rPr>
        <w:t xml:space="preserve">да </w:t>
      </w:r>
      <w:r w:rsidR="00194B35" w:rsidRPr="008B3C30">
        <w:rPr>
          <w:rFonts w:cs="Times New Roman"/>
          <w:sz w:val="24"/>
          <w:szCs w:val="24"/>
        </w:rPr>
        <w:t>привлече нови инвестиции</w:t>
      </w:r>
      <w:r w:rsidR="00580999" w:rsidRPr="008B3C30">
        <w:rPr>
          <w:rFonts w:cs="Times New Roman"/>
          <w:sz w:val="24"/>
          <w:szCs w:val="24"/>
        </w:rPr>
        <w:t xml:space="preserve"> в ЕС, да увеличи възможностите на вложителите в ЕС</w:t>
      </w:r>
      <w:r w:rsidR="0072536E" w:rsidRPr="008B3C30">
        <w:rPr>
          <w:rFonts w:cs="Times New Roman"/>
          <w:sz w:val="24"/>
          <w:szCs w:val="24"/>
        </w:rPr>
        <w:t xml:space="preserve"> и</w:t>
      </w:r>
      <w:r w:rsidR="00E60B53" w:rsidRPr="008B3C30">
        <w:rPr>
          <w:rFonts w:cs="Times New Roman"/>
          <w:sz w:val="24"/>
          <w:szCs w:val="24"/>
        </w:rPr>
        <w:t xml:space="preserve"> </w:t>
      </w:r>
      <w:r w:rsidR="00580999" w:rsidRPr="008B3C30">
        <w:rPr>
          <w:rFonts w:cs="Times New Roman"/>
          <w:sz w:val="24"/>
          <w:szCs w:val="24"/>
        </w:rPr>
        <w:t>да направи</w:t>
      </w:r>
      <w:r w:rsidR="00383F5C" w:rsidRPr="008B3C30">
        <w:rPr>
          <w:rFonts w:cs="Times New Roman"/>
          <w:sz w:val="24"/>
          <w:szCs w:val="24"/>
        </w:rPr>
        <w:t xml:space="preserve"> финансовата система на ЕС по-стабилна, устойчива и </w:t>
      </w:r>
      <w:r w:rsidR="00A40F55" w:rsidRPr="008B3C30">
        <w:rPr>
          <w:rFonts w:cs="Times New Roman"/>
          <w:sz w:val="24"/>
          <w:szCs w:val="24"/>
        </w:rPr>
        <w:t>к</w:t>
      </w:r>
      <w:r w:rsidR="00383F5C" w:rsidRPr="008B3C30">
        <w:rPr>
          <w:rFonts w:cs="Times New Roman"/>
          <w:sz w:val="24"/>
          <w:szCs w:val="24"/>
        </w:rPr>
        <w:t>онкурентоспособна</w:t>
      </w:r>
      <w:r w:rsidRPr="008B3C30">
        <w:rPr>
          <w:rFonts w:cs="Times New Roman"/>
          <w:sz w:val="24"/>
          <w:szCs w:val="24"/>
        </w:rPr>
        <w:t xml:space="preserve">. </w:t>
      </w:r>
    </w:p>
    <w:p w:rsidR="006E6426" w:rsidRPr="008B3C30" w:rsidRDefault="002C711E" w:rsidP="006E6426">
      <w:pPr>
        <w:pStyle w:val="BodyText"/>
        <w:tabs>
          <w:tab w:val="center" w:pos="4854"/>
        </w:tabs>
        <w:ind w:firstLine="562"/>
        <w:rPr>
          <w:rFonts w:cs="Times New Roman"/>
          <w:sz w:val="24"/>
          <w:szCs w:val="24"/>
        </w:rPr>
      </w:pPr>
      <w:r w:rsidRPr="008B3C30">
        <w:rPr>
          <w:rFonts w:cs="Times New Roman"/>
          <w:sz w:val="24"/>
          <w:szCs w:val="24"/>
        </w:rPr>
        <w:t>Предлагането на услуги и продукти на финансовите пазари се развива в среда на все по</w:t>
      </w:r>
      <w:r w:rsidR="006E6426" w:rsidRPr="008B3C30">
        <w:rPr>
          <w:rFonts w:cs="Times New Roman"/>
          <w:sz w:val="24"/>
          <w:szCs w:val="24"/>
        </w:rPr>
        <w:t>-</w:t>
      </w:r>
      <w:r w:rsidRPr="008B3C30">
        <w:rPr>
          <w:rFonts w:cs="Times New Roman"/>
          <w:sz w:val="24"/>
          <w:szCs w:val="24"/>
        </w:rPr>
        <w:t xml:space="preserve">широка дигитализация на </w:t>
      </w:r>
      <w:r w:rsidR="00C1571B" w:rsidRPr="008B3C30">
        <w:rPr>
          <w:rFonts w:cs="Times New Roman"/>
          <w:sz w:val="24"/>
          <w:szCs w:val="24"/>
        </w:rPr>
        <w:t>икономиката. Това поставя</w:t>
      </w:r>
      <w:r w:rsidRPr="008B3C30">
        <w:rPr>
          <w:rFonts w:cs="Times New Roman"/>
          <w:sz w:val="24"/>
          <w:szCs w:val="24"/>
        </w:rPr>
        <w:t xml:space="preserve"> </w:t>
      </w:r>
      <w:r w:rsidR="006E6426" w:rsidRPr="008B3C30">
        <w:rPr>
          <w:rFonts w:cs="Times New Roman"/>
          <w:sz w:val="24"/>
          <w:szCs w:val="24"/>
        </w:rPr>
        <w:t>въпрос</w:t>
      </w:r>
      <w:r w:rsidR="00580999" w:rsidRPr="008B3C30">
        <w:rPr>
          <w:rFonts w:cs="Times New Roman"/>
          <w:sz w:val="24"/>
          <w:szCs w:val="24"/>
        </w:rPr>
        <w:t>а</w:t>
      </w:r>
      <w:r w:rsidR="006E6426" w:rsidRPr="008B3C30">
        <w:rPr>
          <w:rFonts w:cs="Times New Roman"/>
          <w:sz w:val="24"/>
          <w:szCs w:val="24"/>
        </w:rPr>
        <w:t xml:space="preserve"> </w:t>
      </w:r>
      <w:r w:rsidRPr="008B3C30">
        <w:rPr>
          <w:rFonts w:cs="Times New Roman"/>
          <w:sz w:val="24"/>
          <w:szCs w:val="24"/>
        </w:rPr>
        <w:t xml:space="preserve">за </w:t>
      </w:r>
      <w:r w:rsidR="00580999" w:rsidRPr="008B3C30">
        <w:rPr>
          <w:rFonts w:cs="Times New Roman"/>
          <w:sz w:val="24"/>
          <w:szCs w:val="24"/>
        </w:rPr>
        <w:t xml:space="preserve">мястото </w:t>
      </w:r>
      <w:r w:rsidRPr="008B3C30">
        <w:rPr>
          <w:rFonts w:cs="Times New Roman"/>
          <w:sz w:val="24"/>
          <w:szCs w:val="24"/>
        </w:rPr>
        <w:t>на регулаторите в процеса на защита на интересите на потребителите в тази нова среда.</w:t>
      </w:r>
      <w:r w:rsidR="006E6426" w:rsidRPr="008B3C30">
        <w:rPr>
          <w:rFonts w:cs="Times New Roman"/>
          <w:sz w:val="24"/>
          <w:szCs w:val="24"/>
        </w:rPr>
        <w:t xml:space="preserve"> В тази връзка е разработена Стратегия за цифров единен пазар, която цели по-добър достъп до стоки за потребителите и изграждането на среда, в която цифровите мре</w:t>
      </w:r>
      <w:r w:rsidR="00C1571B" w:rsidRPr="008B3C30">
        <w:rPr>
          <w:rFonts w:cs="Times New Roman"/>
          <w:sz w:val="24"/>
          <w:szCs w:val="24"/>
        </w:rPr>
        <w:t>ж</w:t>
      </w:r>
      <w:r w:rsidR="006E6426" w:rsidRPr="008B3C30">
        <w:rPr>
          <w:rFonts w:cs="Times New Roman"/>
          <w:sz w:val="24"/>
          <w:szCs w:val="24"/>
        </w:rPr>
        <w:t xml:space="preserve">и и услуги могат да се развиват успешно. </w:t>
      </w:r>
    </w:p>
    <w:p w:rsidR="002C711E" w:rsidRPr="008B3C30" w:rsidRDefault="00A40F55" w:rsidP="005B7B48">
      <w:pPr>
        <w:pStyle w:val="BodyText"/>
        <w:ind w:firstLine="562"/>
        <w:rPr>
          <w:rFonts w:cs="Times New Roman"/>
          <w:sz w:val="24"/>
          <w:szCs w:val="24"/>
        </w:rPr>
      </w:pPr>
      <w:r w:rsidRPr="008B3C30">
        <w:rPr>
          <w:rFonts w:cs="Times New Roman"/>
          <w:sz w:val="24"/>
          <w:szCs w:val="24"/>
        </w:rPr>
        <w:t>Осигуряването на з</w:t>
      </w:r>
      <w:r w:rsidR="002C711E" w:rsidRPr="008B3C30">
        <w:rPr>
          <w:rFonts w:cs="Times New Roman"/>
          <w:sz w:val="24"/>
          <w:szCs w:val="24"/>
        </w:rPr>
        <w:t xml:space="preserve">ащитата на </w:t>
      </w:r>
      <w:r w:rsidRPr="008B3C30">
        <w:rPr>
          <w:rFonts w:cs="Times New Roman"/>
          <w:sz w:val="24"/>
          <w:szCs w:val="24"/>
        </w:rPr>
        <w:t xml:space="preserve">интересите на </w:t>
      </w:r>
      <w:r w:rsidR="002C711E" w:rsidRPr="008B3C30">
        <w:rPr>
          <w:rFonts w:cs="Times New Roman"/>
          <w:sz w:val="24"/>
          <w:szCs w:val="24"/>
        </w:rPr>
        <w:t xml:space="preserve">потребителите е сред водещите фактори, </w:t>
      </w:r>
      <w:r w:rsidR="00C1571B" w:rsidRPr="008B3C30">
        <w:rPr>
          <w:rFonts w:cs="Times New Roman"/>
          <w:sz w:val="24"/>
          <w:szCs w:val="24"/>
        </w:rPr>
        <w:t xml:space="preserve">които </w:t>
      </w:r>
      <w:r w:rsidR="00580999" w:rsidRPr="008B3C30">
        <w:rPr>
          <w:rFonts w:cs="Times New Roman"/>
          <w:sz w:val="24"/>
          <w:szCs w:val="24"/>
        </w:rPr>
        <w:t>спомагат</w:t>
      </w:r>
      <w:r w:rsidR="00C1571B" w:rsidRPr="008B3C30">
        <w:rPr>
          <w:rFonts w:cs="Times New Roman"/>
          <w:sz w:val="24"/>
          <w:szCs w:val="24"/>
        </w:rPr>
        <w:t xml:space="preserve"> </w:t>
      </w:r>
      <w:r w:rsidR="00473B4A" w:rsidRPr="008B3C30">
        <w:rPr>
          <w:rFonts w:cs="Times New Roman"/>
          <w:sz w:val="24"/>
          <w:szCs w:val="24"/>
        </w:rPr>
        <w:t xml:space="preserve">за </w:t>
      </w:r>
      <w:r w:rsidR="002C711E" w:rsidRPr="008B3C30">
        <w:rPr>
          <w:rFonts w:cs="Times New Roman"/>
          <w:sz w:val="24"/>
          <w:szCs w:val="24"/>
        </w:rPr>
        <w:t>ефективно функциониране на финансовите пазари</w:t>
      </w:r>
      <w:r w:rsidRPr="008B3C30">
        <w:rPr>
          <w:rFonts w:cs="Times New Roman"/>
          <w:sz w:val="24"/>
          <w:szCs w:val="24"/>
        </w:rPr>
        <w:t xml:space="preserve"> и </w:t>
      </w:r>
      <w:r w:rsidR="002C711E" w:rsidRPr="008B3C30">
        <w:rPr>
          <w:rFonts w:cs="Times New Roman"/>
          <w:sz w:val="24"/>
          <w:szCs w:val="24"/>
        </w:rPr>
        <w:t>намалява</w:t>
      </w:r>
      <w:r w:rsidR="00C1571B" w:rsidRPr="008B3C30">
        <w:rPr>
          <w:rFonts w:cs="Times New Roman"/>
          <w:sz w:val="24"/>
          <w:szCs w:val="24"/>
        </w:rPr>
        <w:t>т</w:t>
      </w:r>
      <w:r w:rsidR="002C711E" w:rsidRPr="008B3C30">
        <w:rPr>
          <w:rFonts w:cs="Times New Roman"/>
          <w:sz w:val="24"/>
          <w:szCs w:val="24"/>
        </w:rPr>
        <w:t xml:space="preserve"> рисковете, свързани с финансовата</w:t>
      </w:r>
      <w:r w:rsidR="002C711E" w:rsidRPr="008B3C30">
        <w:rPr>
          <w:rFonts w:cs="Times New Roman"/>
          <w:spacing w:val="1"/>
          <w:sz w:val="24"/>
          <w:szCs w:val="24"/>
        </w:rPr>
        <w:t xml:space="preserve"> стабилност. </w:t>
      </w:r>
      <w:r w:rsidRPr="008B3C30">
        <w:rPr>
          <w:rFonts w:cs="Times New Roman"/>
          <w:spacing w:val="1"/>
          <w:sz w:val="24"/>
          <w:szCs w:val="24"/>
        </w:rPr>
        <w:t>Воденето на ефективна политика за защита на потребителите</w:t>
      </w:r>
      <w:r w:rsidR="002C711E" w:rsidRPr="008B3C30">
        <w:rPr>
          <w:rFonts w:cs="Times New Roman"/>
          <w:spacing w:val="1"/>
          <w:sz w:val="24"/>
          <w:szCs w:val="24"/>
        </w:rPr>
        <w:t xml:space="preserve"> допринася за изграждането на потребителското доверие</w:t>
      </w:r>
      <w:r w:rsidRPr="008B3C30">
        <w:rPr>
          <w:rFonts w:cs="Times New Roman"/>
          <w:spacing w:val="1"/>
          <w:sz w:val="24"/>
          <w:szCs w:val="24"/>
        </w:rPr>
        <w:t>, като същевременно</w:t>
      </w:r>
      <w:r w:rsidR="002C711E" w:rsidRPr="008B3C30">
        <w:rPr>
          <w:rFonts w:cs="Times New Roman"/>
          <w:sz w:val="24"/>
          <w:szCs w:val="24"/>
        </w:rPr>
        <w:t xml:space="preserve"> стимулира пазар</w:t>
      </w:r>
      <w:r w:rsidRPr="008B3C30">
        <w:rPr>
          <w:rFonts w:cs="Times New Roman"/>
          <w:sz w:val="24"/>
          <w:szCs w:val="24"/>
        </w:rPr>
        <w:t>ния</w:t>
      </w:r>
      <w:r w:rsidR="002C711E" w:rsidRPr="008B3C30">
        <w:rPr>
          <w:rFonts w:cs="Times New Roman"/>
          <w:sz w:val="24"/>
          <w:szCs w:val="24"/>
        </w:rPr>
        <w:t xml:space="preserve"> растеж.</w:t>
      </w:r>
    </w:p>
    <w:p w:rsidR="002C711E" w:rsidRPr="008B3C30" w:rsidRDefault="002C711E" w:rsidP="00AD549A">
      <w:pPr>
        <w:pStyle w:val="BodyText"/>
        <w:tabs>
          <w:tab w:val="center" w:pos="4854"/>
        </w:tabs>
        <w:ind w:firstLine="562"/>
        <w:rPr>
          <w:rFonts w:cs="Times New Roman"/>
          <w:sz w:val="24"/>
          <w:szCs w:val="24"/>
        </w:rPr>
      </w:pPr>
      <w:r w:rsidRPr="008B3C30">
        <w:rPr>
          <w:rFonts w:cs="Times New Roman"/>
          <w:sz w:val="24"/>
          <w:szCs w:val="24"/>
        </w:rPr>
        <w:t>Защитата на инвеститорите, осигурените и застрахованите лица (потребителите на финансови продукти и услуги</w:t>
      </w:r>
      <w:r w:rsidR="00C1571B" w:rsidRPr="008B3C30">
        <w:rPr>
          <w:rFonts w:cs="Times New Roman"/>
          <w:sz w:val="24"/>
          <w:szCs w:val="24"/>
        </w:rPr>
        <w:t xml:space="preserve"> в небанковия финансов сектор</w:t>
      </w:r>
      <w:r w:rsidRPr="008B3C30">
        <w:rPr>
          <w:rFonts w:cs="Times New Roman"/>
          <w:sz w:val="24"/>
          <w:szCs w:val="24"/>
        </w:rPr>
        <w:t xml:space="preserve">) е една от </w:t>
      </w:r>
      <w:r w:rsidR="00CF4838" w:rsidRPr="008B3C30">
        <w:rPr>
          <w:rFonts w:cs="Times New Roman"/>
          <w:sz w:val="24"/>
          <w:szCs w:val="24"/>
        </w:rPr>
        <w:t>законоустановените</w:t>
      </w:r>
      <w:r w:rsidRPr="008B3C30">
        <w:rPr>
          <w:rFonts w:cs="Times New Roman"/>
          <w:sz w:val="24"/>
          <w:szCs w:val="24"/>
        </w:rPr>
        <w:t xml:space="preserve"> цели на Комисията за финансов надзор</w:t>
      </w:r>
      <w:r w:rsidR="003018E0" w:rsidRPr="008B3C30">
        <w:rPr>
          <w:rFonts w:cs="Times New Roman"/>
          <w:sz w:val="24"/>
          <w:szCs w:val="24"/>
        </w:rPr>
        <w:t xml:space="preserve"> (КФН)</w:t>
      </w:r>
      <w:r w:rsidRPr="008B3C30">
        <w:rPr>
          <w:rFonts w:cs="Times New Roman"/>
          <w:sz w:val="24"/>
          <w:szCs w:val="24"/>
        </w:rPr>
        <w:t xml:space="preserve">. Тази цел се реализира и посредством функциите на члена на КФН по чл. 3, т. 5 </w:t>
      </w:r>
      <w:r w:rsidR="00B76492" w:rsidRPr="008B3C30">
        <w:rPr>
          <w:rFonts w:cs="Times New Roman"/>
          <w:sz w:val="24"/>
          <w:szCs w:val="24"/>
        </w:rPr>
        <w:t xml:space="preserve">от Закона за </w:t>
      </w:r>
      <w:r w:rsidR="00C1571B" w:rsidRPr="008B3C30">
        <w:rPr>
          <w:rFonts w:cs="Times New Roman"/>
          <w:sz w:val="24"/>
          <w:szCs w:val="24"/>
        </w:rPr>
        <w:t>К</w:t>
      </w:r>
      <w:r w:rsidR="00B76492" w:rsidRPr="008B3C30">
        <w:rPr>
          <w:rFonts w:cs="Times New Roman"/>
          <w:sz w:val="24"/>
          <w:szCs w:val="24"/>
        </w:rPr>
        <w:t>омисията за финансов надзор (</w:t>
      </w:r>
      <w:r w:rsidRPr="008B3C30">
        <w:rPr>
          <w:rFonts w:cs="Times New Roman"/>
          <w:sz w:val="24"/>
          <w:szCs w:val="24"/>
        </w:rPr>
        <w:t>ЗКФН</w:t>
      </w:r>
      <w:r w:rsidR="00B76492" w:rsidRPr="008B3C30">
        <w:rPr>
          <w:rFonts w:cs="Times New Roman"/>
          <w:sz w:val="24"/>
          <w:szCs w:val="24"/>
        </w:rPr>
        <w:t>)</w:t>
      </w:r>
      <w:r w:rsidRPr="008B3C30">
        <w:rPr>
          <w:rFonts w:cs="Times New Roman"/>
          <w:sz w:val="24"/>
          <w:szCs w:val="24"/>
        </w:rPr>
        <w:t xml:space="preserve">, подпомагащ политиката </w:t>
      </w:r>
      <w:r w:rsidR="004E35C3" w:rsidRPr="008B3C30">
        <w:rPr>
          <w:rFonts w:cs="Times New Roman"/>
          <w:sz w:val="24"/>
          <w:szCs w:val="24"/>
        </w:rPr>
        <w:t xml:space="preserve">ѝ </w:t>
      </w:r>
      <w:r w:rsidRPr="008B3C30">
        <w:rPr>
          <w:rFonts w:cs="Times New Roman"/>
          <w:sz w:val="24"/>
          <w:szCs w:val="24"/>
        </w:rPr>
        <w:t>по анализ и оценка на рисковете на финансовите пазари, усъвършенстване на надзорната практика и защита интересите на инвеститорите, застрахованите и осигурените лица.</w:t>
      </w:r>
    </w:p>
    <w:p w:rsidR="001D50F6" w:rsidRPr="008B3C30" w:rsidRDefault="001D50F6" w:rsidP="008212B7">
      <w:pPr>
        <w:shd w:val="clear" w:color="auto" w:fill="FFFFFF"/>
        <w:tabs>
          <w:tab w:val="left" w:leader="dot" w:pos="9043"/>
        </w:tabs>
        <w:spacing w:line="274" w:lineRule="exact"/>
        <w:jc w:val="both"/>
        <w:rPr>
          <w:rFonts w:ascii="Times New Roman" w:hAnsi="Times New Roman" w:cs="Times New Roman"/>
          <w:b/>
          <w:spacing w:val="-1"/>
          <w:sz w:val="24"/>
          <w:szCs w:val="24"/>
        </w:rPr>
      </w:pPr>
    </w:p>
    <w:p w:rsidR="001D50F6" w:rsidRPr="008B3C30" w:rsidRDefault="001D50F6" w:rsidP="00520236">
      <w:pPr>
        <w:pStyle w:val="BodyText"/>
        <w:ind w:firstLine="0"/>
        <w:jc w:val="center"/>
        <w:rPr>
          <w:rFonts w:cs="Times New Roman"/>
          <w:b/>
          <w:sz w:val="24"/>
          <w:szCs w:val="24"/>
        </w:rPr>
      </w:pPr>
      <w:r w:rsidRPr="008B3C30">
        <w:rPr>
          <w:rFonts w:cs="Times New Roman"/>
          <w:b/>
          <w:sz w:val="24"/>
          <w:szCs w:val="24"/>
        </w:rPr>
        <w:lastRenderedPageBreak/>
        <w:t>Стратегия на ЕС за защита на потребителите</w:t>
      </w:r>
    </w:p>
    <w:p w:rsidR="00EB4875" w:rsidRPr="008B3C30" w:rsidRDefault="00EB4875" w:rsidP="00B045C5">
      <w:pPr>
        <w:shd w:val="clear" w:color="auto" w:fill="FFFFFF"/>
        <w:tabs>
          <w:tab w:val="left" w:leader="dot" w:pos="9043"/>
        </w:tabs>
        <w:spacing w:line="274" w:lineRule="exact"/>
        <w:ind w:firstLine="562"/>
        <w:jc w:val="both"/>
        <w:rPr>
          <w:rFonts w:ascii="Times New Roman" w:hAnsi="Times New Roman" w:cs="Times New Roman"/>
          <w:b/>
          <w:spacing w:val="-1"/>
          <w:sz w:val="24"/>
          <w:szCs w:val="24"/>
        </w:rPr>
      </w:pPr>
    </w:p>
    <w:p w:rsidR="001D50F6" w:rsidRPr="008B3C30" w:rsidRDefault="001D50F6" w:rsidP="00B045C5">
      <w:pPr>
        <w:pStyle w:val="BodyText"/>
        <w:ind w:firstLine="562"/>
        <w:rPr>
          <w:rFonts w:cs="Times New Roman"/>
          <w:sz w:val="24"/>
          <w:szCs w:val="24"/>
        </w:rPr>
      </w:pPr>
      <w:r w:rsidRPr="008B3C30">
        <w:rPr>
          <w:rFonts w:cs="Times New Roman"/>
          <w:sz w:val="24"/>
          <w:szCs w:val="24"/>
        </w:rPr>
        <w:t>Европейският съюз цели гарантирането на високо равнище на защитата на потребителите</w:t>
      </w:r>
      <w:r w:rsidR="00CF4838">
        <w:rPr>
          <w:rFonts w:cs="Times New Roman"/>
          <w:sz w:val="24"/>
          <w:szCs w:val="24"/>
        </w:rPr>
        <w:t>,</w:t>
      </w:r>
      <w:r w:rsidRPr="008B3C30">
        <w:rPr>
          <w:rFonts w:cs="Times New Roman"/>
          <w:sz w:val="24"/>
          <w:szCs w:val="24"/>
        </w:rPr>
        <w:t xml:space="preserve"> като на </w:t>
      </w:r>
      <w:r w:rsidR="00C1571B" w:rsidRPr="008B3C30">
        <w:rPr>
          <w:rFonts w:cs="Times New Roman"/>
          <w:sz w:val="24"/>
          <w:szCs w:val="24"/>
        </w:rPr>
        <w:t>тях е</w:t>
      </w:r>
      <w:r w:rsidRPr="008B3C30">
        <w:rPr>
          <w:rFonts w:cs="Times New Roman"/>
          <w:sz w:val="24"/>
          <w:szCs w:val="24"/>
        </w:rPr>
        <w:t xml:space="preserve"> отредено централно място във вътрешния пазар чрез подпомагане и допълване на политиките на </w:t>
      </w:r>
      <w:r w:rsidR="00C1571B" w:rsidRPr="008B3C30">
        <w:rPr>
          <w:rFonts w:cs="Times New Roman"/>
          <w:sz w:val="24"/>
          <w:szCs w:val="24"/>
        </w:rPr>
        <w:t xml:space="preserve">отделните </w:t>
      </w:r>
      <w:r w:rsidRPr="008B3C30">
        <w:rPr>
          <w:rFonts w:cs="Times New Roman"/>
          <w:sz w:val="24"/>
          <w:szCs w:val="24"/>
        </w:rPr>
        <w:t>държави</w:t>
      </w:r>
      <w:r w:rsidR="00C1571B" w:rsidRPr="008B3C30">
        <w:rPr>
          <w:rFonts w:cs="Times New Roman"/>
          <w:sz w:val="24"/>
          <w:szCs w:val="24"/>
        </w:rPr>
        <w:t>-</w:t>
      </w:r>
      <w:r w:rsidRPr="008B3C30">
        <w:rPr>
          <w:rFonts w:cs="Times New Roman"/>
          <w:sz w:val="24"/>
          <w:szCs w:val="24"/>
        </w:rPr>
        <w:t>членки</w:t>
      </w:r>
      <w:r w:rsidR="00580999" w:rsidRPr="008B3C30">
        <w:rPr>
          <w:rFonts w:cs="Times New Roman"/>
          <w:sz w:val="24"/>
          <w:szCs w:val="24"/>
        </w:rPr>
        <w:t xml:space="preserve"> (ДЧ)</w:t>
      </w:r>
      <w:r w:rsidRPr="008B3C30">
        <w:rPr>
          <w:rFonts w:cs="Times New Roman"/>
          <w:sz w:val="24"/>
          <w:szCs w:val="24"/>
        </w:rPr>
        <w:t xml:space="preserve">. </w:t>
      </w:r>
      <w:r w:rsidR="00C1571B" w:rsidRPr="008B3C30">
        <w:rPr>
          <w:rFonts w:cs="Times New Roman"/>
          <w:sz w:val="24"/>
          <w:szCs w:val="24"/>
        </w:rPr>
        <w:t xml:space="preserve">Цели се </w:t>
      </w:r>
      <w:r w:rsidRPr="008B3C30">
        <w:rPr>
          <w:rFonts w:cs="Times New Roman"/>
          <w:sz w:val="24"/>
          <w:szCs w:val="24"/>
        </w:rPr>
        <w:t>създаване на условия, гарантиращи на гражданите възможността да се възползват в пълна степен от предимствата на вътрешния пазар, като чрез конкретни действия ефективно се обезпечат законните им интереси.</w:t>
      </w:r>
      <w:r w:rsidR="00BB0AC2" w:rsidRPr="008B3C30">
        <w:rPr>
          <w:rFonts w:cs="Times New Roman"/>
          <w:sz w:val="24"/>
          <w:szCs w:val="24"/>
        </w:rPr>
        <w:t xml:space="preserve"> </w:t>
      </w:r>
    </w:p>
    <w:p w:rsidR="00BB0AC2" w:rsidRPr="008B3C30" w:rsidRDefault="00BB0AC2" w:rsidP="00B045C5">
      <w:pPr>
        <w:pStyle w:val="BodyText"/>
        <w:ind w:firstLine="562"/>
        <w:rPr>
          <w:rFonts w:cs="Times New Roman"/>
          <w:sz w:val="24"/>
          <w:szCs w:val="24"/>
        </w:rPr>
      </w:pPr>
      <w:r w:rsidRPr="008B3C30">
        <w:rPr>
          <w:rFonts w:cs="Times New Roman"/>
          <w:sz w:val="24"/>
          <w:szCs w:val="24"/>
        </w:rPr>
        <w:t xml:space="preserve">Една от целите на Европейската комисия е да подобри начина, по който функционира Единният пазар за финансови продукти и по-специално да осигури на гражданите достъп до трансгранични финансови услуги и продукти. За да постигне тази цел, през декември 2015 г. Европейската комисия публикува </w:t>
      </w:r>
      <w:proofErr w:type="spellStart"/>
      <w:r w:rsidRPr="008B3C30">
        <w:rPr>
          <w:rFonts w:cs="Times New Roman"/>
          <w:sz w:val="24"/>
          <w:szCs w:val="24"/>
        </w:rPr>
        <w:t>Green</w:t>
      </w:r>
      <w:proofErr w:type="spellEnd"/>
      <w:r w:rsidRPr="008B3C30">
        <w:rPr>
          <w:rFonts w:cs="Times New Roman"/>
          <w:sz w:val="24"/>
          <w:szCs w:val="24"/>
        </w:rPr>
        <w:t xml:space="preserve"> Paper за финансовите услуги на дребно, наречен „По-добри продукти, повече възможности за избор и по-големи възможности за потребителите и предприятията“. Тази инициатива цели да помогне потребителите в рамките на ЕС да сключват най-добрите сделки за финансови услуги, с по-подходящи продукти и по-голям избор, вследствие на засилена конкурентоспособност.</w:t>
      </w:r>
    </w:p>
    <w:p w:rsidR="001D50F6" w:rsidRPr="008B3C30" w:rsidRDefault="00750E44" w:rsidP="00B045C5">
      <w:pPr>
        <w:pStyle w:val="BodyText"/>
        <w:ind w:firstLine="562"/>
        <w:rPr>
          <w:rFonts w:cs="Times New Roman"/>
          <w:sz w:val="24"/>
          <w:szCs w:val="24"/>
        </w:rPr>
      </w:pPr>
      <w:r w:rsidRPr="008B3C30">
        <w:rPr>
          <w:rFonts w:cs="Times New Roman"/>
          <w:sz w:val="24"/>
          <w:szCs w:val="24"/>
        </w:rPr>
        <w:t xml:space="preserve">В съответствие с член 12 от Договора за функционирането на Европейския съюз (ДФЕС) във всички политики на ЕС приоритетно място заема включването на интересите на потребителите. </w:t>
      </w:r>
      <w:r w:rsidR="001D50F6" w:rsidRPr="008B3C30">
        <w:rPr>
          <w:rFonts w:cs="Times New Roman"/>
          <w:sz w:val="24"/>
          <w:szCs w:val="24"/>
        </w:rPr>
        <w:t>Към настоящия момент са разработени и са действащи няколко стратегически документа, касаещи защитата на потребителите на всички стоки и услуги, предлагани на общия пазар.</w:t>
      </w:r>
    </w:p>
    <w:p w:rsidR="00EB4875" w:rsidRPr="008B3C30" w:rsidRDefault="001D50F6" w:rsidP="008212B7">
      <w:pPr>
        <w:pStyle w:val="BodyText"/>
        <w:numPr>
          <w:ilvl w:val="0"/>
          <w:numId w:val="8"/>
        </w:numPr>
        <w:ind w:left="0" w:firstLine="567"/>
        <w:rPr>
          <w:rFonts w:cs="Times New Roman"/>
          <w:sz w:val="24"/>
          <w:szCs w:val="24"/>
        </w:rPr>
      </w:pPr>
      <w:r w:rsidRPr="008B3C30">
        <w:rPr>
          <w:rFonts w:cs="Times New Roman"/>
          <w:sz w:val="24"/>
          <w:szCs w:val="24"/>
        </w:rPr>
        <w:t>„Европа 2020“ Стратегия за интелигентен, устойчив и приобщаващ растеж</w:t>
      </w:r>
      <w:r w:rsidR="005225C1" w:rsidRPr="008B3C30">
        <w:rPr>
          <w:rFonts w:cs="Times New Roman"/>
          <w:sz w:val="24"/>
          <w:szCs w:val="24"/>
        </w:rPr>
        <w:t>, която</w:t>
      </w:r>
      <w:r w:rsidRPr="008B3C30">
        <w:rPr>
          <w:rFonts w:cs="Times New Roman"/>
          <w:sz w:val="24"/>
          <w:szCs w:val="24"/>
        </w:rPr>
        <w:t xml:space="preserve"> обхваща периода 2010-2020 г. </w:t>
      </w:r>
      <w:r w:rsidR="000065A0" w:rsidRPr="008B3C30">
        <w:rPr>
          <w:rFonts w:cs="Times New Roman"/>
          <w:sz w:val="24"/>
          <w:szCs w:val="24"/>
        </w:rPr>
        <w:t xml:space="preserve">Стратегията си поставя три </w:t>
      </w:r>
      <w:r w:rsidR="00750E44" w:rsidRPr="008B3C30">
        <w:rPr>
          <w:rFonts w:cs="Times New Roman"/>
          <w:sz w:val="24"/>
          <w:szCs w:val="24"/>
        </w:rPr>
        <w:t>взаимно допълващи</w:t>
      </w:r>
      <w:r w:rsidR="000065A0" w:rsidRPr="008B3C30">
        <w:rPr>
          <w:rFonts w:cs="Times New Roman"/>
          <w:sz w:val="24"/>
          <w:szCs w:val="24"/>
        </w:rPr>
        <w:t xml:space="preserve"> се приоритет</w:t>
      </w:r>
      <w:r w:rsidR="005D788D" w:rsidRPr="008B3C30">
        <w:rPr>
          <w:rFonts w:cs="Times New Roman"/>
          <w:sz w:val="24"/>
          <w:szCs w:val="24"/>
        </w:rPr>
        <w:t>и</w:t>
      </w:r>
      <w:r w:rsidR="000065A0" w:rsidRPr="008B3C30">
        <w:rPr>
          <w:rFonts w:cs="Times New Roman"/>
          <w:sz w:val="24"/>
          <w:szCs w:val="24"/>
        </w:rPr>
        <w:t xml:space="preserve">: </w:t>
      </w:r>
    </w:p>
    <w:p w:rsidR="00EB4875" w:rsidRPr="008B3C30" w:rsidRDefault="00EB4875" w:rsidP="005225C1">
      <w:pPr>
        <w:pStyle w:val="BodyText"/>
        <w:ind w:firstLine="709"/>
        <w:rPr>
          <w:rFonts w:cs="Times New Roman"/>
          <w:sz w:val="24"/>
          <w:szCs w:val="24"/>
        </w:rPr>
      </w:pPr>
      <w:r w:rsidRPr="008B3C30">
        <w:rPr>
          <w:rFonts w:cs="Times New Roman"/>
          <w:sz w:val="24"/>
          <w:szCs w:val="24"/>
        </w:rPr>
        <w:t>-</w:t>
      </w:r>
      <w:r w:rsidR="00073954" w:rsidRPr="008B3C30">
        <w:rPr>
          <w:rFonts w:cs="Times New Roman"/>
          <w:sz w:val="24"/>
          <w:szCs w:val="24"/>
        </w:rPr>
        <w:t xml:space="preserve"> </w:t>
      </w:r>
      <w:r w:rsidR="000065A0" w:rsidRPr="008B3C30">
        <w:rPr>
          <w:rFonts w:cs="Times New Roman"/>
          <w:sz w:val="24"/>
          <w:szCs w:val="24"/>
        </w:rPr>
        <w:t>интелигентен ра</w:t>
      </w:r>
      <w:r w:rsidRPr="008B3C30">
        <w:rPr>
          <w:rFonts w:cs="Times New Roman"/>
          <w:sz w:val="24"/>
          <w:szCs w:val="24"/>
        </w:rPr>
        <w:t>с</w:t>
      </w:r>
      <w:r w:rsidR="000065A0" w:rsidRPr="008B3C30">
        <w:rPr>
          <w:rFonts w:cs="Times New Roman"/>
          <w:sz w:val="24"/>
          <w:szCs w:val="24"/>
        </w:rPr>
        <w:t xml:space="preserve">теж: изграждане на икономика, основаваща се на знания и иновации; </w:t>
      </w:r>
    </w:p>
    <w:p w:rsidR="00EB4875" w:rsidRPr="008B3C30" w:rsidRDefault="00EB4875" w:rsidP="005225C1">
      <w:pPr>
        <w:pStyle w:val="BodyText"/>
        <w:ind w:firstLine="709"/>
        <w:rPr>
          <w:rFonts w:cs="Times New Roman"/>
          <w:sz w:val="24"/>
          <w:szCs w:val="24"/>
        </w:rPr>
      </w:pPr>
      <w:r w:rsidRPr="008B3C30">
        <w:rPr>
          <w:rFonts w:cs="Times New Roman"/>
          <w:sz w:val="24"/>
          <w:szCs w:val="24"/>
        </w:rPr>
        <w:t>-</w:t>
      </w:r>
      <w:r w:rsidR="00073954" w:rsidRPr="008B3C30">
        <w:rPr>
          <w:rFonts w:cs="Times New Roman"/>
          <w:sz w:val="24"/>
          <w:szCs w:val="24"/>
        </w:rPr>
        <w:t xml:space="preserve"> </w:t>
      </w:r>
      <w:r w:rsidR="000065A0" w:rsidRPr="008B3C30">
        <w:rPr>
          <w:rFonts w:cs="Times New Roman"/>
          <w:sz w:val="24"/>
          <w:szCs w:val="24"/>
        </w:rPr>
        <w:t>устойчив растеж: насърчаване на по-екологична и по-конкурентоспособна икономика</w:t>
      </w:r>
      <w:r w:rsidR="005D788D" w:rsidRPr="008B3C30">
        <w:rPr>
          <w:rFonts w:cs="Times New Roman"/>
          <w:sz w:val="24"/>
          <w:szCs w:val="24"/>
        </w:rPr>
        <w:t>,</w:t>
      </w:r>
      <w:r w:rsidR="000065A0" w:rsidRPr="008B3C30">
        <w:rPr>
          <w:rFonts w:cs="Times New Roman"/>
          <w:sz w:val="24"/>
          <w:szCs w:val="24"/>
        </w:rPr>
        <w:t xml:space="preserve"> с по-ефективно използване на ресурсите; </w:t>
      </w:r>
    </w:p>
    <w:p w:rsidR="001D50F6" w:rsidRPr="008B3C30" w:rsidRDefault="00EB4875" w:rsidP="005225C1">
      <w:pPr>
        <w:pStyle w:val="BodyText"/>
        <w:ind w:firstLine="709"/>
        <w:rPr>
          <w:rFonts w:cs="Times New Roman"/>
          <w:sz w:val="24"/>
          <w:szCs w:val="24"/>
        </w:rPr>
      </w:pPr>
      <w:r w:rsidRPr="008B3C30">
        <w:rPr>
          <w:rFonts w:cs="Times New Roman"/>
          <w:sz w:val="24"/>
          <w:szCs w:val="24"/>
        </w:rPr>
        <w:t xml:space="preserve">- </w:t>
      </w:r>
      <w:r w:rsidR="000065A0" w:rsidRPr="008B3C30">
        <w:rPr>
          <w:rFonts w:cs="Times New Roman"/>
          <w:sz w:val="24"/>
          <w:szCs w:val="24"/>
        </w:rPr>
        <w:t>приобщаващ режим: стимулиране на икономика с високи равнища на заетост, която да доведе до социално и териториално сближаване.</w:t>
      </w:r>
    </w:p>
    <w:p w:rsidR="001D50F6" w:rsidRPr="008B3C30" w:rsidRDefault="005225C1" w:rsidP="008212B7">
      <w:pPr>
        <w:pStyle w:val="BodyText"/>
        <w:numPr>
          <w:ilvl w:val="0"/>
          <w:numId w:val="8"/>
        </w:numPr>
        <w:ind w:left="0" w:firstLine="567"/>
        <w:rPr>
          <w:rFonts w:cs="Times New Roman"/>
          <w:sz w:val="24"/>
          <w:szCs w:val="24"/>
        </w:rPr>
      </w:pPr>
      <w:r w:rsidRPr="008B3C30">
        <w:rPr>
          <w:rFonts w:cs="Times New Roman"/>
          <w:sz w:val="24"/>
          <w:szCs w:val="24"/>
        </w:rPr>
        <w:t xml:space="preserve"> </w:t>
      </w:r>
      <w:r w:rsidR="001D50F6" w:rsidRPr="008B3C30">
        <w:rPr>
          <w:rFonts w:cs="Times New Roman"/>
          <w:sz w:val="24"/>
          <w:szCs w:val="24"/>
        </w:rPr>
        <w:t>Многогодишната програма „Потребители“ за периода 2014—2020 г. (Програмата)</w:t>
      </w:r>
      <w:r w:rsidR="005B7B48" w:rsidRPr="008B3C30">
        <w:rPr>
          <w:rFonts w:cs="Times New Roman"/>
          <w:sz w:val="24"/>
          <w:szCs w:val="24"/>
        </w:rPr>
        <w:t xml:space="preserve"> въведена чрез</w:t>
      </w:r>
      <w:r w:rsidR="001D50F6" w:rsidRPr="008B3C30">
        <w:rPr>
          <w:rFonts w:cs="Times New Roman"/>
          <w:sz w:val="24"/>
          <w:szCs w:val="24"/>
        </w:rPr>
        <w:t xml:space="preserve"> </w:t>
      </w:r>
      <w:r w:rsidR="007C1004" w:rsidRPr="008B3C30">
        <w:rPr>
          <w:rFonts w:cs="Times New Roman"/>
          <w:sz w:val="24"/>
          <w:szCs w:val="24"/>
        </w:rPr>
        <w:t>Р</w:t>
      </w:r>
      <w:r w:rsidR="001D50F6" w:rsidRPr="008B3C30">
        <w:rPr>
          <w:rFonts w:cs="Times New Roman"/>
          <w:sz w:val="24"/>
          <w:szCs w:val="24"/>
        </w:rPr>
        <w:t xml:space="preserve">егламент (ЕС) 254/2014 на ЕП и Съвета следва да спомогне за гарантирането на висока степен на защита </w:t>
      </w:r>
      <w:r w:rsidR="005D788D" w:rsidRPr="008B3C30">
        <w:rPr>
          <w:rFonts w:cs="Times New Roman"/>
          <w:sz w:val="24"/>
          <w:szCs w:val="24"/>
        </w:rPr>
        <w:t>н</w:t>
      </w:r>
      <w:r w:rsidR="001D50F6" w:rsidRPr="008B3C30">
        <w:rPr>
          <w:rFonts w:cs="Times New Roman"/>
          <w:sz w:val="24"/>
          <w:szCs w:val="24"/>
        </w:rPr>
        <w:t>а потребителите и да предостави пълна подкрепа за постигането на амбициозните цели на „Европа 2020“ по отношение на растежа и конкурентоспособността</w:t>
      </w:r>
      <w:r w:rsidR="005B7B48" w:rsidRPr="008B3C30">
        <w:rPr>
          <w:rFonts w:cs="Times New Roman"/>
          <w:sz w:val="24"/>
          <w:szCs w:val="24"/>
        </w:rPr>
        <w:t>. В</w:t>
      </w:r>
      <w:r w:rsidR="001D50F6" w:rsidRPr="008B3C30">
        <w:rPr>
          <w:rFonts w:cs="Times New Roman"/>
          <w:sz w:val="24"/>
          <w:szCs w:val="24"/>
        </w:rPr>
        <w:t xml:space="preserve"> Програмата</w:t>
      </w:r>
      <w:r w:rsidR="005B7B48" w:rsidRPr="008B3C30">
        <w:rPr>
          <w:rFonts w:cs="Times New Roman"/>
          <w:sz w:val="24"/>
          <w:szCs w:val="24"/>
        </w:rPr>
        <w:t xml:space="preserve"> </w:t>
      </w:r>
      <w:r w:rsidR="002018E2" w:rsidRPr="008B3C30">
        <w:rPr>
          <w:rFonts w:cs="Times New Roman"/>
          <w:sz w:val="24"/>
          <w:szCs w:val="24"/>
        </w:rPr>
        <w:t>са</w:t>
      </w:r>
      <w:r w:rsidR="001D50F6" w:rsidRPr="008B3C30">
        <w:rPr>
          <w:rFonts w:cs="Times New Roman"/>
          <w:sz w:val="24"/>
          <w:szCs w:val="24"/>
        </w:rPr>
        <w:t xml:space="preserve"> включени специфични въпроси, определени в „Европа 2020“ относно дневния ред в областта на цифровите технологии за Европа, за да се гарантира, че цифровизацията действително води до подобряване на благосъстоянието на потребителите</w:t>
      </w:r>
      <w:r w:rsidR="00D45E27" w:rsidRPr="008B3C30">
        <w:rPr>
          <w:rFonts w:cs="Times New Roman"/>
          <w:sz w:val="24"/>
          <w:szCs w:val="24"/>
        </w:rPr>
        <w:t xml:space="preserve"> по отношение на</w:t>
      </w:r>
      <w:r w:rsidR="006F48FB" w:rsidRPr="008B3C30">
        <w:rPr>
          <w:rFonts w:cs="Times New Roman"/>
          <w:sz w:val="24"/>
          <w:szCs w:val="24"/>
        </w:rPr>
        <w:t xml:space="preserve"> </w:t>
      </w:r>
      <w:r w:rsidR="001D50F6" w:rsidRPr="008B3C30">
        <w:rPr>
          <w:rFonts w:cs="Times New Roman"/>
          <w:sz w:val="24"/>
          <w:szCs w:val="24"/>
        </w:rPr>
        <w:t>устойчивия растеж чрез преход към по-</w:t>
      </w:r>
      <w:r w:rsidR="005B7B48" w:rsidRPr="008B3C30">
        <w:rPr>
          <w:rFonts w:cs="Times New Roman"/>
          <w:sz w:val="24"/>
          <w:szCs w:val="24"/>
        </w:rPr>
        <w:t xml:space="preserve">стабилни </w:t>
      </w:r>
      <w:r w:rsidR="001D50F6" w:rsidRPr="008B3C30">
        <w:rPr>
          <w:rFonts w:cs="Times New Roman"/>
          <w:sz w:val="24"/>
          <w:szCs w:val="24"/>
        </w:rPr>
        <w:t xml:space="preserve">модели на потребление, като се отчитат специфичното положение на уязвимите потребители и потребностите на застаряващото население, както и </w:t>
      </w:r>
      <w:r w:rsidR="00D45E27" w:rsidRPr="008B3C30">
        <w:rPr>
          <w:rFonts w:cs="Times New Roman"/>
          <w:sz w:val="24"/>
          <w:szCs w:val="24"/>
        </w:rPr>
        <w:t>по отношение на</w:t>
      </w:r>
      <w:r w:rsidR="001D50F6" w:rsidRPr="008B3C30">
        <w:rPr>
          <w:rFonts w:cs="Times New Roman"/>
          <w:sz w:val="24"/>
          <w:szCs w:val="24"/>
        </w:rPr>
        <w:t xml:space="preserve"> </w:t>
      </w:r>
      <w:r w:rsidR="005B7B48" w:rsidRPr="008B3C30">
        <w:rPr>
          <w:rFonts w:cs="Times New Roman"/>
          <w:sz w:val="24"/>
          <w:szCs w:val="24"/>
        </w:rPr>
        <w:t xml:space="preserve">ефективното </w:t>
      </w:r>
      <w:r w:rsidR="001D50F6" w:rsidRPr="008B3C30">
        <w:rPr>
          <w:rFonts w:cs="Times New Roman"/>
          <w:sz w:val="24"/>
          <w:szCs w:val="24"/>
        </w:rPr>
        <w:t>регулиране</w:t>
      </w:r>
      <w:r w:rsidR="005B7B48" w:rsidRPr="008B3C30">
        <w:rPr>
          <w:rFonts w:cs="Times New Roman"/>
          <w:sz w:val="24"/>
          <w:szCs w:val="24"/>
        </w:rPr>
        <w:t xml:space="preserve"> и </w:t>
      </w:r>
      <w:r w:rsidR="001D50F6" w:rsidRPr="008B3C30">
        <w:rPr>
          <w:rFonts w:cs="Times New Roman"/>
          <w:sz w:val="24"/>
          <w:szCs w:val="24"/>
        </w:rPr>
        <w:t>наблюдение на потребителските пазари за създаването на добре обмислена и целенасочена нормативна уредба.</w:t>
      </w:r>
    </w:p>
    <w:p w:rsidR="005B7B48" w:rsidRPr="008B3C30" w:rsidRDefault="00284C43" w:rsidP="00B045C5">
      <w:pPr>
        <w:pStyle w:val="BodyText"/>
        <w:ind w:firstLine="562"/>
        <w:rPr>
          <w:rFonts w:cs="Times New Roman"/>
          <w:sz w:val="24"/>
          <w:szCs w:val="24"/>
        </w:rPr>
      </w:pPr>
      <w:r w:rsidRPr="008B3C30">
        <w:rPr>
          <w:rFonts w:cs="Times New Roman"/>
          <w:sz w:val="24"/>
          <w:szCs w:val="24"/>
        </w:rPr>
        <w:t xml:space="preserve">Основните цели в </w:t>
      </w:r>
      <w:r w:rsidR="005B7B48" w:rsidRPr="008B3C30">
        <w:rPr>
          <w:rFonts w:cs="Times New Roman"/>
          <w:sz w:val="24"/>
          <w:szCs w:val="24"/>
        </w:rPr>
        <w:t>П</w:t>
      </w:r>
      <w:r w:rsidRPr="008B3C30">
        <w:rPr>
          <w:rFonts w:cs="Times New Roman"/>
          <w:sz w:val="24"/>
          <w:szCs w:val="24"/>
        </w:rPr>
        <w:t>рограма</w:t>
      </w:r>
      <w:r w:rsidR="00EB4875" w:rsidRPr="008B3C30">
        <w:rPr>
          <w:rFonts w:cs="Times New Roman"/>
          <w:sz w:val="24"/>
          <w:szCs w:val="24"/>
        </w:rPr>
        <w:t>та</w:t>
      </w:r>
      <w:r w:rsidR="004711AA" w:rsidRPr="008B3C30">
        <w:rPr>
          <w:rFonts w:cs="Times New Roman"/>
          <w:sz w:val="24"/>
          <w:szCs w:val="24"/>
        </w:rPr>
        <w:t>, които</w:t>
      </w:r>
      <w:r w:rsidRPr="008B3C30">
        <w:rPr>
          <w:rFonts w:cs="Times New Roman"/>
          <w:sz w:val="24"/>
          <w:szCs w:val="24"/>
        </w:rPr>
        <w:t xml:space="preserve"> </w:t>
      </w:r>
      <w:r w:rsidR="00BD30AC" w:rsidRPr="008B3C30">
        <w:rPr>
          <w:rFonts w:cs="Times New Roman"/>
          <w:sz w:val="24"/>
          <w:szCs w:val="24"/>
        </w:rPr>
        <w:t>са насочени към</w:t>
      </w:r>
      <w:r w:rsidR="004711AA" w:rsidRPr="008B3C30">
        <w:rPr>
          <w:rFonts w:cs="Times New Roman"/>
          <w:sz w:val="24"/>
          <w:szCs w:val="24"/>
        </w:rPr>
        <w:t xml:space="preserve"> проблеми, свързани с цифровизацията и нарастващата степен на сложност на решенията, които потребителите трябва да взимат</w:t>
      </w:r>
      <w:r w:rsidR="00AB5C95" w:rsidRPr="008B3C30">
        <w:rPr>
          <w:rFonts w:cs="Times New Roman"/>
          <w:sz w:val="24"/>
          <w:szCs w:val="24"/>
        </w:rPr>
        <w:t xml:space="preserve"> са</w:t>
      </w:r>
      <w:r w:rsidRPr="008B3C30">
        <w:rPr>
          <w:rFonts w:cs="Times New Roman"/>
          <w:sz w:val="24"/>
          <w:szCs w:val="24"/>
        </w:rPr>
        <w:t xml:space="preserve">: </w:t>
      </w:r>
    </w:p>
    <w:p w:rsidR="00284C43" w:rsidRPr="008B3C30" w:rsidRDefault="005B7B48" w:rsidP="005B7B48">
      <w:pPr>
        <w:pStyle w:val="BodyText"/>
        <w:ind w:firstLine="709"/>
        <w:rPr>
          <w:rFonts w:cs="Times New Roman"/>
          <w:sz w:val="24"/>
          <w:szCs w:val="24"/>
        </w:rPr>
      </w:pPr>
      <w:r w:rsidRPr="008B3C30">
        <w:rPr>
          <w:rFonts w:cs="Times New Roman"/>
          <w:sz w:val="24"/>
          <w:szCs w:val="24"/>
        </w:rPr>
        <w:t xml:space="preserve">- </w:t>
      </w:r>
      <w:r w:rsidR="001509B4" w:rsidRPr="008B3C30">
        <w:rPr>
          <w:rFonts w:cs="Times New Roman"/>
          <w:sz w:val="24"/>
          <w:szCs w:val="24"/>
        </w:rPr>
        <w:t>к</w:t>
      </w:r>
      <w:r w:rsidR="00284C43" w:rsidRPr="008B3C30">
        <w:rPr>
          <w:rFonts w:cs="Times New Roman"/>
          <w:sz w:val="24"/>
          <w:szCs w:val="24"/>
        </w:rPr>
        <w:t xml:space="preserve">онсолидиране и повишаване на безопасността на продуктите чрез ефективно наблюдение на пазара (в това число системата за бързо предупреждение за опасни потребителски продукти на ЕС - RAPEX) в целия ЕС; безопасността на продуктите е важна за потребителите, но и за търговците и производителите (чиято </w:t>
      </w:r>
      <w:r w:rsidR="00284C43" w:rsidRPr="008B3C30">
        <w:rPr>
          <w:rFonts w:cs="Times New Roman"/>
          <w:sz w:val="24"/>
          <w:szCs w:val="24"/>
        </w:rPr>
        <w:lastRenderedPageBreak/>
        <w:t>конкурентоспособност зависи от спазването на стандартите за безопасност);</w:t>
      </w:r>
    </w:p>
    <w:p w:rsidR="00AD549A" w:rsidRPr="008B3C30" w:rsidRDefault="001509B4" w:rsidP="002018E2">
      <w:pPr>
        <w:shd w:val="clear" w:color="auto" w:fill="FFFFFF"/>
        <w:tabs>
          <w:tab w:val="left" w:leader="dot" w:pos="9043"/>
        </w:tabs>
        <w:spacing w:line="274" w:lineRule="exact"/>
        <w:ind w:firstLine="709"/>
        <w:jc w:val="both"/>
        <w:rPr>
          <w:rFonts w:ascii="Times New Roman" w:hAnsi="Times New Roman" w:cs="Times New Roman"/>
          <w:sz w:val="24"/>
          <w:szCs w:val="24"/>
        </w:rPr>
      </w:pPr>
      <w:r w:rsidRPr="008B3C30">
        <w:rPr>
          <w:rFonts w:ascii="Times New Roman" w:hAnsi="Times New Roman" w:cs="Times New Roman"/>
          <w:sz w:val="24"/>
          <w:szCs w:val="24"/>
        </w:rPr>
        <w:t>- о</w:t>
      </w:r>
      <w:r w:rsidR="00284C43" w:rsidRPr="008B3C30">
        <w:rPr>
          <w:rFonts w:ascii="Times New Roman" w:hAnsi="Times New Roman" w:cs="Times New Roman"/>
          <w:sz w:val="24"/>
          <w:szCs w:val="24"/>
        </w:rPr>
        <w:t>сигуряване на информация за потребителите</w:t>
      </w:r>
      <w:r w:rsidRPr="008B3C30">
        <w:rPr>
          <w:rFonts w:ascii="Times New Roman" w:hAnsi="Times New Roman" w:cs="Times New Roman"/>
          <w:sz w:val="24"/>
          <w:szCs w:val="24"/>
        </w:rPr>
        <w:t>; предоставяне на</w:t>
      </w:r>
      <w:r w:rsidR="00284C43" w:rsidRPr="008B3C30">
        <w:rPr>
          <w:rFonts w:ascii="Times New Roman" w:hAnsi="Times New Roman" w:cs="Times New Roman"/>
          <w:sz w:val="24"/>
          <w:szCs w:val="24"/>
        </w:rPr>
        <w:t xml:space="preserve"> обучени</w:t>
      </w:r>
      <w:r w:rsidR="001A4E24" w:rsidRPr="008B3C30">
        <w:rPr>
          <w:rFonts w:ascii="Times New Roman" w:hAnsi="Times New Roman" w:cs="Times New Roman"/>
          <w:sz w:val="24"/>
          <w:szCs w:val="24"/>
        </w:rPr>
        <w:t>я</w:t>
      </w:r>
      <w:r w:rsidR="00284C43" w:rsidRPr="008B3C30">
        <w:rPr>
          <w:rFonts w:ascii="Times New Roman" w:hAnsi="Times New Roman" w:cs="Times New Roman"/>
          <w:sz w:val="24"/>
          <w:szCs w:val="24"/>
        </w:rPr>
        <w:t xml:space="preserve"> и подкрепа за организациите на потребителите, включително отчитане на специфичните нужди на уязвимите потребители;</w:t>
      </w:r>
    </w:p>
    <w:p w:rsidR="00AD549A" w:rsidRPr="008B3C30" w:rsidRDefault="001509B4" w:rsidP="001509B4">
      <w:pPr>
        <w:shd w:val="clear" w:color="auto" w:fill="FFFFFF"/>
        <w:tabs>
          <w:tab w:val="left" w:leader="dot" w:pos="9043"/>
        </w:tabs>
        <w:spacing w:line="274" w:lineRule="exact"/>
        <w:ind w:firstLine="709"/>
        <w:jc w:val="both"/>
        <w:rPr>
          <w:rFonts w:ascii="Times New Roman" w:hAnsi="Times New Roman" w:cs="Times New Roman"/>
          <w:sz w:val="24"/>
          <w:szCs w:val="24"/>
        </w:rPr>
      </w:pPr>
      <w:r w:rsidRPr="008B3C30">
        <w:rPr>
          <w:rFonts w:ascii="Times New Roman" w:hAnsi="Times New Roman" w:cs="Times New Roman"/>
          <w:sz w:val="24"/>
          <w:szCs w:val="24"/>
        </w:rPr>
        <w:t>-</w:t>
      </w:r>
      <w:r w:rsidR="00284C43" w:rsidRPr="008B3C30">
        <w:rPr>
          <w:rFonts w:ascii="Times New Roman" w:hAnsi="Times New Roman" w:cs="Times New Roman"/>
          <w:sz w:val="24"/>
          <w:szCs w:val="24"/>
        </w:rPr>
        <w:t xml:space="preserve"> </w:t>
      </w:r>
      <w:r w:rsidRPr="008B3C30">
        <w:rPr>
          <w:rFonts w:ascii="Times New Roman" w:hAnsi="Times New Roman" w:cs="Times New Roman"/>
          <w:sz w:val="24"/>
          <w:szCs w:val="24"/>
        </w:rPr>
        <w:t>г</w:t>
      </w:r>
      <w:r w:rsidR="00284C43" w:rsidRPr="008B3C30">
        <w:rPr>
          <w:rFonts w:ascii="Times New Roman" w:hAnsi="Times New Roman" w:cs="Times New Roman"/>
          <w:sz w:val="24"/>
          <w:szCs w:val="24"/>
        </w:rPr>
        <w:t>арантиране спазването на правата на потребителите и възстановяване на правата на потребителите посредством интелигентни регулаторни действия и по-добър достъп до лесни, ефикасни, бързи и евтини средства за обезщетение (включително извънсъдебно разрешаване на спорове);</w:t>
      </w:r>
    </w:p>
    <w:p w:rsidR="00284C43" w:rsidRPr="008B3C30" w:rsidRDefault="001509B4" w:rsidP="001509B4">
      <w:pPr>
        <w:shd w:val="clear" w:color="auto" w:fill="FFFFFF"/>
        <w:tabs>
          <w:tab w:val="left" w:leader="dot" w:pos="9043"/>
        </w:tabs>
        <w:spacing w:line="274" w:lineRule="exact"/>
        <w:ind w:firstLine="709"/>
        <w:jc w:val="both"/>
        <w:rPr>
          <w:rFonts w:ascii="Times New Roman" w:hAnsi="Times New Roman" w:cs="Times New Roman"/>
          <w:sz w:val="24"/>
          <w:szCs w:val="24"/>
        </w:rPr>
      </w:pPr>
      <w:r w:rsidRPr="008B3C30">
        <w:rPr>
          <w:rFonts w:ascii="Times New Roman" w:hAnsi="Times New Roman" w:cs="Times New Roman"/>
          <w:sz w:val="24"/>
          <w:szCs w:val="24"/>
        </w:rPr>
        <w:t>-</w:t>
      </w:r>
      <w:r w:rsidR="00284C43" w:rsidRPr="008B3C30">
        <w:rPr>
          <w:rFonts w:ascii="Times New Roman" w:hAnsi="Times New Roman" w:cs="Times New Roman"/>
          <w:sz w:val="24"/>
          <w:szCs w:val="24"/>
        </w:rPr>
        <w:t xml:space="preserve"> </w:t>
      </w:r>
      <w:r w:rsidR="00AB467B" w:rsidRPr="008B3C30">
        <w:rPr>
          <w:rFonts w:ascii="Times New Roman" w:hAnsi="Times New Roman" w:cs="Times New Roman"/>
          <w:sz w:val="24"/>
          <w:szCs w:val="24"/>
        </w:rPr>
        <w:t>п</w:t>
      </w:r>
      <w:r w:rsidR="00284C43" w:rsidRPr="008B3C30">
        <w:rPr>
          <w:rFonts w:ascii="Times New Roman" w:hAnsi="Times New Roman" w:cs="Times New Roman"/>
          <w:sz w:val="24"/>
          <w:szCs w:val="24"/>
        </w:rPr>
        <w:t>о-добро прилагане на законите чрез по-тясно сътрудничество между националните правоприлагащи органи и чрез предоставяне на съвети на потребителите.</w:t>
      </w:r>
    </w:p>
    <w:p w:rsidR="000065A0" w:rsidRPr="008B3C30" w:rsidRDefault="00680C38" w:rsidP="002018E2">
      <w:pPr>
        <w:ind w:firstLine="562"/>
        <w:jc w:val="both"/>
        <w:rPr>
          <w:rFonts w:ascii="Times New Roman" w:hAnsi="Times New Roman" w:cs="Times New Roman"/>
          <w:sz w:val="24"/>
          <w:szCs w:val="24"/>
        </w:rPr>
      </w:pPr>
      <w:r w:rsidRPr="008B3C30">
        <w:rPr>
          <w:rFonts w:ascii="Times New Roman" w:hAnsi="Times New Roman" w:cs="Times New Roman"/>
          <w:sz w:val="24"/>
          <w:szCs w:val="24"/>
        </w:rPr>
        <w:t>Многогодишната програма</w:t>
      </w:r>
      <w:r w:rsidR="008E2C03" w:rsidRPr="008B3C30">
        <w:rPr>
          <w:rFonts w:ascii="Times New Roman" w:hAnsi="Times New Roman" w:cs="Times New Roman"/>
          <w:sz w:val="24"/>
          <w:szCs w:val="24"/>
        </w:rPr>
        <w:t xml:space="preserve"> „Потребители“</w:t>
      </w:r>
      <w:r w:rsidR="000065A0" w:rsidRPr="008B3C30">
        <w:rPr>
          <w:rFonts w:ascii="Times New Roman" w:hAnsi="Times New Roman" w:cs="Times New Roman"/>
          <w:sz w:val="24"/>
          <w:szCs w:val="24"/>
        </w:rPr>
        <w:t xml:space="preserve"> гарантира достъпа на уязвимите потребители до информация за стоки</w:t>
      </w:r>
      <w:r w:rsidR="00483C6D" w:rsidRPr="008B3C30">
        <w:rPr>
          <w:rFonts w:ascii="Times New Roman" w:hAnsi="Times New Roman" w:cs="Times New Roman"/>
          <w:sz w:val="24"/>
          <w:szCs w:val="24"/>
        </w:rPr>
        <w:t>те</w:t>
      </w:r>
      <w:r w:rsidR="000065A0" w:rsidRPr="008B3C30">
        <w:rPr>
          <w:rFonts w:ascii="Times New Roman" w:hAnsi="Times New Roman" w:cs="Times New Roman"/>
          <w:sz w:val="24"/>
          <w:szCs w:val="24"/>
        </w:rPr>
        <w:t xml:space="preserve"> и услуги</w:t>
      </w:r>
      <w:r w:rsidR="00483C6D" w:rsidRPr="008B3C30">
        <w:rPr>
          <w:rFonts w:ascii="Times New Roman" w:hAnsi="Times New Roman" w:cs="Times New Roman"/>
          <w:sz w:val="24"/>
          <w:szCs w:val="24"/>
        </w:rPr>
        <w:t>те</w:t>
      </w:r>
      <w:r w:rsidR="000065A0" w:rsidRPr="008B3C30">
        <w:rPr>
          <w:rFonts w:ascii="Times New Roman" w:hAnsi="Times New Roman" w:cs="Times New Roman"/>
          <w:sz w:val="24"/>
          <w:szCs w:val="24"/>
        </w:rPr>
        <w:t xml:space="preserve">, </w:t>
      </w:r>
      <w:r w:rsidR="008E2C03" w:rsidRPr="008B3C30">
        <w:rPr>
          <w:rFonts w:ascii="Times New Roman" w:hAnsi="Times New Roman" w:cs="Times New Roman"/>
          <w:sz w:val="24"/>
          <w:szCs w:val="24"/>
        </w:rPr>
        <w:t>като им осигур</w:t>
      </w:r>
      <w:r w:rsidR="001A4E24" w:rsidRPr="008B3C30">
        <w:rPr>
          <w:rFonts w:ascii="Times New Roman" w:hAnsi="Times New Roman" w:cs="Times New Roman"/>
          <w:sz w:val="24"/>
          <w:szCs w:val="24"/>
        </w:rPr>
        <w:t>ява</w:t>
      </w:r>
      <w:r w:rsidR="000065A0" w:rsidRPr="008B3C30">
        <w:rPr>
          <w:rFonts w:ascii="Times New Roman" w:hAnsi="Times New Roman" w:cs="Times New Roman"/>
          <w:sz w:val="24"/>
          <w:szCs w:val="24"/>
        </w:rPr>
        <w:t xml:space="preserve"> равни възможности за свободен и </w:t>
      </w:r>
      <w:r w:rsidR="008E2C03" w:rsidRPr="008B3C30">
        <w:rPr>
          <w:rFonts w:ascii="Times New Roman" w:hAnsi="Times New Roman" w:cs="Times New Roman"/>
          <w:sz w:val="24"/>
          <w:szCs w:val="24"/>
        </w:rPr>
        <w:t xml:space="preserve">достатъчно добре </w:t>
      </w:r>
      <w:r w:rsidR="000065A0" w:rsidRPr="008B3C30">
        <w:rPr>
          <w:rFonts w:ascii="Times New Roman" w:hAnsi="Times New Roman" w:cs="Times New Roman"/>
          <w:sz w:val="24"/>
          <w:szCs w:val="24"/>
        </w:rPr>
        <w:t xml:space="preserve">информиран избор, </w:t>
      </w:r>
      <w:r w:rsidR="008E2C03" w:rsidRPr="008B3C30">
        <w:rPr>
          <w:rFonts w:ascii="Times New Roman" w:hAnsi="Times New Roman" w:cs="Times New Roman"/>
          <w:sz w:val="24"/>
          <w:szCs w:val="24"/>
        </w:rPr>
        <w:t xml:space="preserve">с цел </w:t>
      </w:r>
      <w:r w:rsidR="001A4E24" w:rsidRPr="008B3C30">
        <w:rPr>
          <w:rFonts w:ascii="Times New Roman" w:hAnsi="Times New Roman" w:cs="Times New Roman"/>
          <w:sz w:val="24"/>
          <w:szCs w:val="24"/>
        </w:rPr>
        <w:t>намаляване на</w:t>
      </w:r>
      <w:r w:rsidR="008E2C03" w:rsidRPr="008B3C30">
        <w:rPr>
          <w:rFonts w:ascii="Times New Roman" w:hAnsi="Times New Roman" w:cs="Times New Roman"/>
          <w:sz w:val="24"/>
          <w:szCs w:val="24"/>
        </w:rPr>
        <w:t xml:space="preserve"> </w:t>
      </w:r>
      <w:r w:rsidR="000065A0" w:rsidRPr="008B3C30">
        <w:rPr>
          <w:rFonts w:ascii="Times New Roman" w:hAnsi="Times New Roman" w:cs="Times New Roman"/>
          <w:sz w:val="24"/>
          <w:szCs w:val="24"/>
        </w:rPr>
        <w:t>риск</w:t>
      </w:r>
      <w:r w:rsidR="008E2C03" w:rsidRPr="008B3C30">
        <w:rPr>
          <w:rFonts w:ascii="Times New Roman" w:hAnsi="Times New Roman" w:cs="Times New Roman"/>
          <w:sz w:val="24"/>
          <w:szCs w:val="24"/>
        </w:rPr>
        <w:t>а</w:t>
      </w:r>
      <w:r w:rsidR="000065A0" w:rsidRPr="008B3C30">
        <w:rPr>
          <w:rFonts w:ascii="Times New Roman" w:hAnsi="Times New Roman" w:cs="Times New Roman"/>
          <w:sz w:val="24"/>
          <w:szCs w:val="24"/>
        </w:rPr>
        <w:t xml:space="preserve"> да бъдат подведени</w:t>
      </w:r>
      <w:r w:rsidR="008E2C03" w:rsidRPr="008B3C30">
        <w:rPr>
          <w:rFonts w:ascii="Times New Roman" w:hAnsi="Times New Roman" w:cs="Times New Roman"/>
          <w:sz w:val="24"/>
          <w:szCs w:val="24"/>
        </w:rPr>
        <w:t xml:space="preserve"> при </w:t>
      </w:r>
      <w:r w:rsidR="00750E44" w:rsidRPr="008B3C30">
        <w:rPr>
          <w:rFonts w:ascii="Times New Roman" w:hAnsi="Times New Roman" w:cs="Times New Roman"/>
          <w:sz w:val="24"/>
          <w:szCs w:val="24"/>
        </w:rPr>
        <w:t>избиране на дадена услуга или продукт</w:t>
      </w:r>
      <w:r w:rsidR="000065A0" w:rsidRPr="008B3C30">
        <w:rPr>
          <w:rFonts w:ascii="Times New Roman" w:hAnsi="Times New Roman" w:cs="Times New Roman"/>
          <w:sz w:val="24"/>
          <w:szCs w:val="24"/>
        </w:rPr>
        <w:t>.</w:t>
      </w:r>
      <w:r w:rsidR="00750E44" w:rsidRPr="008B3C30">
        <w:rPr>
          <w:rFonts w:ascii="Times New Roman" w:hAnsi="Times New Roman" w:cs="Times New Roman"/>
          <w:sz w:val="24"/>
          <w:szCs w:val="24"/>
        </w:rPr>
        <w:t xml:space="preserve"> </w:t>
      </w:r>
      <w:r w:rsidR="001A4E24" w:rsidRPr="008B3C30">
        <w:rPr>
          <w:rFonts w:ascii="Times New Roman" w:hAnsi="Times New Roman" w:cs="Times New Roman"/>
          <w:sz w:val="24"/>
          <w:szCs w:val="24"/>
        </w:rPr>
        <w:t>Програмата</w:t>
      </w:r>
      <w:r w:rsidR="00750E44" w:rsidRPr="008B3C30">
        <w:rPr>
          <w:rFonts w:ascii="Times New Roman" w:hAnsi="Times New Roman" w:cs="Times New Roman"/>
          <w:sz w:val="24"/>
          <w:szCs w:val="24"/>
        </w:rPr>
        <w:t xml:space="preserve"> създа</w:t>
      </w:r>
      <w:r w:rsidR="001A4E24" w:rsidRPr="008B3C30">
        <w:rPr>
          <w:rFonts w:ascii="Times New Roman" w:hAnsi="Times New Roman" w:cs="Times New Roman"/>
          <w:sz w:val="24"/>
          <w:szCs w:val="24"/>
        </w:rPr>
        <w:t>ва</w:t>
      </w:r>
      <w:r w:rsidR="00750E44" w:rsidRPr="008B3C30">
        <w:rPr>
          <w:rFonts w:ascii="Times New Roman" w:hAnsi="Times New Roman" w:cs="Times New Roman"/>
          <w:sz w:val="24"/>
          <w:szCs w:val="24"/>
        </w:rPr>
        <w:t xml:space="preserve"> условия за повишаване на доверието на потребителите </w:t>
      </w:r>
      <w:r w:rsidR="00483C6D" w:rsidRPr="008B3C30">
        <w:rPr>
          <w:rFonts w:ascii="Times New Roman" w:hAnsi="Times New Roman" w:cs="Times New Roman"/>
          <w:sz w:val="24"/>
          <w:szCs w:val="24"/>
        </w:rPr>
        <w:t>в единния пазар</w:t>
      </w:r>
      <w:r w:rsidR="00750E44" w:rsidRPr="008B3C30">
        <w:rPr>
          <w:rFonts w:ascii="Times New Roman" w:hAnsi="Times New Roman" w:cs="Times New Roman"/>
          <w:sz w:val="24"/>
          <w:szCs w:val="24"/>
        </w:rPr>
        <w:t>.</w:t>
      </w:r>
    </w:p>
    <w:p w:rsidR="001D50F6" w:rsidRPr="008B3C30" w:rsidRDefault="001D50F6" w:rsidP="00B045C5">
      <w:pPr>
        <w:shd w:val="clear" w:color="auto" w:fill="FFFFFF"/>
        <w:tabs>
          <w:tab w:val="left" w:leader="dot" w:pos="9043"/>
        </w:tabs>
        <w:spacing w:line="274" w:lineRule="exact"/>
        <w:ind w:firstLine="562"/>
        <w:jc w:val="both"/>
        <w:rPr>
          <w:rFonts w:ascii="Times New Roman" w:hAnsi="Times New Roman" w:cs="Times New Roman"/>
          <w:spacing w:val="-1"/>
          <w:sz w:val="24"/>
          <w:szCs w:val="24"/>
        </w:rPr>
      </w:pPr>
    </w:p>
    <w:p w:rsidR="00750E44" w:rsidRPr="008B3C30" w:rsidRDefault="00750E44" w:rsidP="00B045C5">
      <w:pPr>
        <w:shd w:val="clear" w:color="auto" w:fill="FFFFFF"/>
        <w:tabs>
          <w:tab w:val="left" w:leader="dot" w:pos="9043"/>
        </w:tabs>
        <w:spacing w:line="274" w:lineRule="exact"/>
        <w:ind w:firstLine="562"/>
        <w:jc w:val="both"/>
        <w:rPr>
          <w:rFonts w:ascii="Times New Roman" w:hAnsi="Times New Roman" w:cs="Times New Roman"/>
          <w:spacing w:val="-1"/>
          <w:sz w:val="24"/>
          <w:szCs w:val="24"/>
        </w:rPr>
      </w:pPr>
    </w:p>
    <w:p w:rsidR="00AD549A" w:rsidRPr="008B3C30" w:rsidRDefault="00AD549A" w:rsidP="00520236">
      <w:pPr>
        <w:shd w:val="clear" w:color="auto" w:fill="FFFFFF"/>
        <w:tabs>
          <w:tab w:val="left" w:pos="485"/>
          <w:tab w:val="left" w:leader="dot" w:pos="8981"/>
        </w:tabs>
        <w:spacing w:line="274" w:lineRule="exact"/>
        <w:jc w:val="center"/>
        <w:rPr>
          <w:rFonts w:ascii="Times New Roman" w:hAnsi="Times New Roman" w:cs="Times New Roman"/>
          <w:b/>
          <w:spacing w:val="-2"/>
          <w:sz w:val="24"/>
          <w:szCs w:val="24"/>
        </w:rPr>
      </w:pPr>
      <w:r w:rsidRPr="008B3C30">
        <w:rPr>
          <w:rFonts w:ascii="Times New Roman" w:hAnsi="Times New Roman" w:cs="Times New Roman"/>
          <w:b/>
          <w:spacing w:val="-2"/>
          <w:sz w:val="24"/>
          <w:szCs w:val="24"/>
        </w:rPr>
        <w:t>Международни аспекти на защитата на потребителите</w:t>
      </w:r>
    </w:p>
    <w:p w:rsidR="00943EBE" w:rsidRPr="008B3C30" w:rsidRDefault="00943EBE" w:rsidP="00520236">
      <w:pPr>
        <w:shd w:val="clear" w:color="auto" w:fill="FFFFFF"/>
        <w:tabs>
          <w:tab w:val="left" w:pos="485"/>
          <w:tab w:val="left" w:leader="dot" w:pos="8981"/>
        </w:tabs>
        <w:spacing w:line="274" w:lineRule="exact"/>
        <w:jc w:val="center"/>
        <w:rPr>
          <w:rFonts w:ascii="Times New Roman" w:hAnsi="Times New Roman" w:cs="Times New Roman"/>
          <w:b/>
          <w:spacing w:val="-2"/>
          <w:sz w:val="24"/>
          <w:szCs w:val="24"/>
        </w:rPr>
      </w:pPr>
    </w:p>
    <w:p w:rsidR="005A7823" w:rsidRPr="008B3C30" w:rsidRDefault="006C2629" w:rsidP="005A7823">
      <w:pPr>
        <w:ind w:firstLine="562"/>
        <w:jc w:val="both"/>
        <w:rPr>
          <w:rFonts w:ascii="Times New Roman" w:hAnsi="Times New Roman" w:cs="Times New Roman"/>
          <w:sz w:val="24"/>
          <w:szCs w:val="24"/>
        </w:rPr>
      </w:pPr>
      <w:r w:rsidRPr="008B3C30">
        <w:rPr>
          <w:rStyle w:val="notranslate"/>
          <w:rFonts w:ascii="Times New Roman" w:hAnsi="Times New Roman" w:cs="Times New Roman"/>
          <w:sz w:val="24"/>
          <w:szCs w:val="24"/>
        </w:rPr>
        <w:t xml:space="preserve">В своята практика, с цел </w:t>
      </w:r>
      <w:r w:rsidRPr="008B3C30">
        <w:rPr>
          <w:rFonts w:ascii="Times New Roman" w:hAnsi="Times New Roman" w:cs="Times New Roman"/>
          <w:sz w:val="24"/>
          <w:szCs w:val="24"/>
        </w:rPr>
        <w:t xml:space="preserve">защита на потребителите, </w:t>
      </w:r>
      <w:r w:rsidR="00A1126B" w:rsidRPr="008B3C30">
        <w:rPr>
          <w:rFonts w:ascii="Times New Roman" w:hAnsi="Times New Roman" w:cs="Times New Roman"/>
          <w:sz w:val="24"/>
          <w:szCs w:val="24"/>
        </w:rPr>
        <w:t xml:space="preserve">Световната банка извършва </w:t>
      </w:r>
      <w:r w:rsidR="002018E2" w:rsidRPr="008B3C30">
        <w:rPr>
          <w:rFonts w:ascii="Times New Roman" w:hAnsi="Times New Roman" w:cs="Times New Roman"/>
          <w:sz w:val="24"/>
          <w:szCs w:val="24"/>
        </w:rPr>
        <w:t xml:space="preserve">различни </w:t>
      </w:r>
      <w:r w:rsidR="00A1126B" w:rsidRPr="008B3C30">
        <w:rPr>
          <w:rFonts w:ascii="Times New Roman" w:hAnsi="Times New Roman" w:cs="Times New Roman"/>
          <w:sz w:val="24"/>
          <w:szCs w:val="24"/>
        </w:rPr>
        <w:t>проучвания</w:t>
      </w:r>
      <w:r w:rsidRPr="008B3C30">
        <w:rPr>
          <w:rFonts w:ascii="Times New Roman" w:hAnsi="Times New Roman" w:cs="Times New Roman"/>
          <w:sz w:val="24"/>
          <w:szCs w:val="24"/>
        </w:rPr>
        <w:t xml:space="preserve"> и</w:t>
      </w:r>
      <w:r w:rsidR="00A1126B" w:rsidRPr="008B3C30">
        <w:rPr>
          <w:rFonts w:ascii="Times New Roman" w:hAnsi="Times New Roman" w:cs="Times New Roman"/>
          <w:sz w:val="24"/>
          <w:szCs w:val="24"/>
        </w:rPr>
        <w:t xml:space="preserve"> анализи. </w:t>
      </w:r>
      <w:r w:rsidR="005A7823" w:rsidRPr="008B3C30">
        <w:rPr>
          <w:rFonts w:ascii="Times New Roman" w:hAnsi="Times New Roman" w:cs="Times New Roman"/>
          <w:sz w:val="24"/>
          <w:szCs w:val="24"/>
        </w:rPr>
        <w:t xml:space="preserve">Световната банка издава документи, които разглеждат установените добри практики за защита на потребителите и могат да се прилагат от регулаторите. „Добри практики“ от 2017 г. включват нови подходи, свързани с цифровите канали, иновационните продукти и бизнес моделите и новите видове доставчици на финансови услуги.  </w:t>
      </w:r>
    </w:p>
    <w:p w:rsidR="00CB0BCA" w:rsidRPr="008B3C30" w:rsidRDefault="00CB0BCA" w:rsidP="00AD549A">
      <w:pPr>
        <w:ind w:firstLine="562"/>
        <w:jc w:val="both"/>
        <w:rPr>
          <w:rFonts w:ascii="Times New Roman" w:hAnsi="Times New Roman" w:cs="Times New Roman"/>
          <w:sz w:val="24"/>
          <w:szCs w:val="24"/>
        </w:rPr>
      </w:pPr>
      <w:r w:rsidRPr="008B3C30">
        <w:rPr>
          <w:rFonts w:ascii="Times New Roman" w:hAnsi="Times New Roman" w:cs="Times New Roman"/>
          <w:sz w:val="24"/>
          <w:szCs w:val="24"/>
        </w:rPr>
        <w:t>Защитата на потребителите на финансови услуги гарантира, че разширеният достъп до финансови услуги ще бъде от полза за тях, като им дава възможност да вземат добре информирани решения за това как най-добре да използват финансовите услуги, да изградят доверие във финансовия сектор и да допринасят за стабилни и конкурентни финансови пазари</w:t>
      </w:r>
      <w:r w:rsidR="005A7823" w:rsidRPr="008B3C30">
        <w:rPr>
          <w:rFonts w:ascii="Times New Roman" w:hAnsi="Times New Roman" w:cs="Times New Roman"/>
          <w:sz w:val="24"/>
          <w:szCs w:val="24"/>
        </w:rPr>
        <w:t xml:space="preserve"> в условията на нараснал риск, вследствие на бързото </w:t>
      </w:r>
      <w:r w:rsidRPr="008B3C30">
        <w:rPr>
          <w:rFonts w:ascii="Times New Roman" w:hAnsi="Times New Roman" w:cs="Times New Roman"/>
          <w:sz w:val="24"/>
          <w:szCs w:val="24"/>
        </w:rPr>
        <w:t xml:space="preserve">развитие на информационните технологии.  </w:t>
      </w:r>
    </w:p>
    <w:p w:rsidR="00A14734" w:rsidRPr="008B3C30" w:rsidRDefault="00A14734" w:rsidP="00AD549A">
      <w:pPr>
        <w:ind w:firstLine="562"/>
        <w:jc w:val="both"/>
        <w:rPr>
          <w:rFonts w:ascii="Times New Roman" w:hAnsi="Times New Roman" w:cs="Times New Roman"/>
          <w:sz w:val="24"/>
          <w:szCs w:val="24"/>
        </w:rPr>
      </w:pPr>
    </w:p>
    <w:p w:rsidR="00CE79B2" w:rsidRPr="008B3C30" w:rsidRDefault="00CE79B2" w:rsidP="00B045C5">
      <w:pPr>
        <w:shd w:val="clear" w:color="auto" w:fill="FFFFFF"/>
        <w:tabs>
          <w:tab w:val="left" w:leader="dot" w:pos="8923"/>
        </w:tabs>
        <w:spacing w:line="274" w:lineRule="exact"/>
        <w:ind w:left="360" w:firstLine="562"/>
        <w:jc w:val="both"/>
        <w:rPr>
          <w:rFonts w:ascii="Times New Roman" w:hAnsi="Times New Roman" w:cs="Times New Roman"/>
          <w:b/>
          <w:spacing w:val="-3"/>
          <w:sz w:val="24"/>
          <w:szCs w:val="24"/>
        </w:rPr>
      </w:pPr>
    </w:p>
    <w:p w:rsidR="00943EBE" w:rsidRDefault="00D31381" w:rsidP="00520236">
      <w:pPr>
        <w:shd w:val="clear" w:color="auto" w:fill="FFFFFF"/>
        <w:tabs>
          <w:tab w:val="left" w:leader="dot" w:pos="8923"/>
        </w:tabs>
        <w:spacing w:line="274" w:lineRule="exact"/>
        <w:jc w:val="center"/>
        <w:rPr>
          <w:rFonts w:ascii="Times New Roman" w:hAnsi="Times New Roman" w:cs="Times New Roman"/>
          <w:b/>
          <w:spacing w:val="-3"/>
          <w:sz w:val="24"/>
          <w:szCs w:val="24"/>
        </w:rPr>
      </w:pPr>
      <w:r w:rsidRPr="008B3C30">
        <w:rPr>
          <w:rFonts w:ascii="Times New Roman" w:hAnsi="Times New Roman" w:cs="Times New Roman"/>
          <w:b/>
          <w:spacing w:val="-3"/>
          <w:sz w:val="24"/>
          <w:szCs w:val="24"/>
        </w:rPr>
        <w:t>ОИСР</w:t>
      </w:r>
    </w:p>
    <w:p w:rsidR="00EE1CF3" w:rsidRPr="008B3C30" w:rsidRDefault="00EE1CF3" w:rsidP="00520236">
      <w:pPr>
        <w:shd w:val="clear" w:color="auto" w:fill="FFFFFF"/>
        <w:tabs>
          <w:tab w:val="left" w:leader="dot" w:pos="8923"/>
        </w:tabs>
        <w:spacing w:line="274" w:lineRule="exact"/>
        <w:jc w:val="center"/>
        <w:rPr>
          <w:rFonts w:ascii="Times New Roman" w:hAnsi="Times New Roman" w:cs="Times New Roman"/>
          <w:b/>
          <w:spacing w:val="-3"/>
          <w:sz w:val="24"/>
          <w:szCs w:val="24"/>
        </w:rPr>
      </w:pPr>
    </w:p>
    <w:p w:rsidR="00073954" w:rsidRPr="008B3C30" w:rsidRDefault="00DF50CE" w:rsidP="002018E2">
      <w:pPr>
        <w:shd w:val="clear" w:color="auto" w:fill="FFFFFF"/>
        <w:tabs>
          <w:tab w:val="left" w:leader="dot" w:pos="8923"/>
        </w:tabs>
        <w:spacing w:line="274" w:lineRule="exact"/>
        <w:ind w:firstLine="562"/>
        <w:jc w:val="both"/>
        <w:rPr>
          <w:rFonts w:ascii="Times New Roman" w:hAnsi="Times New Roman" w:cs="Times New Roman"/>
          <w:b/>
          <w:sz w:val="24"/>
          <w:szCs w:val="24"/>
        </w:rPr>
      </w:pPr>
      <w:r w:rsidRPr="008B3C30">
        <w:rPr>
          <w:rStyle w:val="notranslate"/>
          <w:rFonts w:ascii="Times New Roman" w:hAnsi="Times New Roman" w:cs="Times New Roman"/>
          <w:sz w:val="24"/>
          <w:szCs w:val="24"/>
        </w:rPr>
        <w:t>Организацията за икономическо сътрудничество и развитие</w:t>
      </w:r>
      <w:r w:rsidRPr="008B3C30">
        <w:rPr>
          <w:rFonts w:ascii="Times New Roman" w:hAnsi="Times New Roman" w:cs="Times New Roman"/>
          <w:sz w:val="24"/>
          <w:szCs w:val="24"/>
        </w:rPr>
        <w:t xml:space="preserve"> (ОИСР) работи </w:t>
      </w:r>
      <w:r w:rsidR="00A5343A" w:rsidRPr="008B3C30">
        <w:rPr>
          <w:rFonts w:ascii="Times New Roman" w:hAnsi="Times New Roman" w:cs="Times New Roman"/>
          <w:sz w:val="24"/>
          <w:szCs w:val="24"/>
        </w:rPr>
        <w:t>в посока на разрешаване на п</w:t>
      </w:r>
      <w:r w:rsidRPr="008B3C30">
        <w:rPr>
          <w:rFonts w:ascii="Times New Roman" w:hAnsi="Times New Roman" w:cs="Times New Roman"/>
          <w:sz w:val="24"/>
          <w:szCs w:val="24"/>
        </w:rPr>
        <w:t>роблемите</w:t>
      </w:r>
      <w:r w:rsidR="00A5343A" w:rsidRPr="008B3C30">
        <w:rPr>
          <w:rFonts w:ascii="Times New Roman" w:hAnsi="Times New Roman" w:cs="Times New Roman"/>
          <w:sz w:val="24"/>
          <w:szCs w:val="24"/>
        </w:rPr>
        <w:t>, свързани със</w:t>
      </w:r>
      <w:r w:rsidRPr="008B3C30">
        <w:rPr>
          <w:rFonts w:ascii="Times New Roman" w:hAnsi="Times New Roman" w:cs="Times New Roman"/>
          <w:sz w:val="24"/>
          <w:szCs w:val="24"/>
        </w:rPr>
        <w:t xml:space="preserve"> защи</w:t>
      </w:r>
      <w:r w:rsidR="00A5343A" w:rsidRPr="008B3C30">
        <w:rPr>
          <w:rFonts w:ascii="Times New Roman" w:hAnsi="Times New Roman" w:cs="Times New Roman"/>
          <w:sz w:val="24"/>
          <w:szCs w:val="24"/>
        </w:rPr>
        <w:t>та</w:t>
      </w:r>
      <w:r w:rsidRPr="008B3C30">
        <w:rPr>
          <w:rFonts w:ascii="Times New Roman" w:hAnsi="Times New Roman" w:cs="Times New Roman"/>
          <w:sz w:val="24"/>
          <w:szCs w:val="24"/>
        </w:rPr>
        <w:t>та на потребителите</w:t>
      </w:r>
      <w:r w:rsidR="00A5343A" w:rsidRPr="008B3C30">
        <w:rPr>
          <w:rFonts w:ascii="Times New Roman" w:hAnsi="Times New Roman" w:cs="Times New Roman"/>
          <w:sz w:val="24"/>
          <w:szCs w:val="24"/>
        </w:rPr>
        <w:t xml:space="preserve"> и </w:t>
      </w:r>
      <w:r w:rsidRPr="008B3C30">
        <w:rPr>
          <w:rFonts w:ascii="Times New Roman" w:hAnsi="Times New Roman" w:cs="Times New Roman"/>
          <w:sz w:val="24"/>
          <w:szCs w:val="24"/>
        </w:rPr>
        <w:t>финансовото образование. Заедно с Мрежа</w:t>
      </w:r>
      <w:r w:rsidR="00A5343A" w:rsidRPr="008B3C30">
        <w:rPr>
          <w:rFonts w:ascii="Times New Roman" w:hAnsi="Times New Roman" w:cs="Times New Roman"/>
          <w:sz w:val="24"/>
          <w:szCs w:val="24"/>
        </w:rPr>
        <w:t>та</w:t>
      </w:r>
      <w:r w:rsidRPr="008B3C30">
        <w:rPr>
          <w:rFonts w:ascii="Times New Roman" w:hAnsi="Times New Roman" w:cs="Times New Roman"/>
          <w:sz w:val="24"/>
          <w:szCs w:val="24"/>
        </w:rPr>
        <w:t xml:space="preserve"> за финансово обучение</w:t>
      </w:r>
      <w:r w:rsidR="00A5343A" w:rsidRPr="008B3C30">
        <w:rPr>
          <w:rFonts w:ascii="Times New Roman" w:hAnsi="Times New Roman" w:cs="Times New Roman"/>
          <w:sz w:val="24"/>
          <w:szCs w:val="24"/>
        </w:rPr>
        <w:t>,</w:t>
      </w:r>
      <w:r w:rsidRPr="008B3C30">
        <w:rPr>
          <w:rFonts w:ascii="Times New Roman" w:hAnsi="Times New Roman" w:cs="Times New Roman"/>
          <w:sz w:val="24"/>
          <w:szCs w:val="24"/>
        </w:rPr>
        <w:t xml:space="preserve"> извършва изследвания и разработва инструменти за подпомагане публичните институции и за създаване и въвеждане на национални стратегии за финансова грамотност. </w:t>
      </w:r>
    </w:p>
    <w:p w:rsidR="00073954" w:rsidRPr="008B3C30" w:rsidRDefault="00C4611C" w:rsidP="002018E2">
      <w:pPr>
        <w:shd w:val="clear" w:color="auto" w:fill="FFFFFF"/>
        <w:tabs>
          <w:tab w:val="left" w:leader="dot" w:pos="8923"/>
        </w:tabs>
        <w:spacing w:line="274" w:lineRule="exact"/>
        <w:ind w:firstLine="562"/>
        <w:jc w:val="both"/>
        <w:rPr>
          <w:rFonts w:ascii="Times New Roman" w:hAnsi="Times New Roman" w:cs="Times New Roman"/>
          <w:sz w:val="24"/>
          <w:szCs w:val="24"/>
        </w:rPr>
      </w:pPr>
      <w:r w:rsidRPr="008B3C30">
        <w:rPr>
          <w:rFonts w:ascii="Times New Roman" w:hAnsi="Times New Roman" w:cs="Times New Roman"/>
          <w:sz w:val="24"/>
          <w:szCs w:val="24"/>
        </w:rPr>
        <w:t>През 2015 г. ОИСР публикува На</w:t>
      </w:r>
      <w:r w:rsidR="00DF50CE" w:rsidRPr="008B3C30">
        <w:rPr>
          <w:rFonts w:ascii="Times New Roman" w:hAnsi="Times New Roman" w:cs="Times New Roman"/>
          <w:sz w:val="24"/>
          <w:szCs w:val="24"/>
        </w:rPr>
        <w:t xml:space="preserve">ръчник за политики за национални стратегии за финансово обучение. </w:t>
      </w:r>
      <w:r w:rsidRPr="008B3C30">
        <w:rPr>
          <w:rFonts w:ascii="Times New Roman" w:hAnsi="Times New Roman" w:cs="Times New Roman"/>
          <w:sz w:val="24"/>
          <w:szCs w:val="24"/>
        </w:rPr>
        <w:t xml:space="preserve">В него е поставен фокус </w:t>
      </w:r>
      <w:r w:rsidR="00073954" w:rsidRPr="008B3C30">
        <w:rPr>
          <w:rFonts w:ascii="Times New Roman" w:hAnsi="Times New Roman" w:cs="Times New Roman"/>
          <w:sz w:val="24"/>
          <w:szCs w:val="24"/>
        </w:rPr>
        <w:t>върху отговор</w:t>
      </w:r>
      <w:r w:rsidR="00DB1236" w:rsidRPr="008B3C30">
        <w:rPr>
          <w:rFonts w:ascii="Times New Roman" w:hAnsi="Times New Roman" w:cs="Times New Roman"/>
          <w:sz w:val="24"/>
          <w:szCs w:val="24"/>
        </w:rPr>
        <w:t>ите</w:t>
      </w:r>
      <w:r w:rsidR="00073954" w:rsidRPr="008B3C30">
        <w:rPr>
          <w:rFonts w:ascii="Times New Roman" w:hAnsi="Times New Roman" w:cs="Times New Roman"/>
          <w:sz w:val="24"/>
          <w:szCs w:val="24"/>
        </w:rPr>
        <w:t xml:space="preserve"> на следните практически и политически въпроси: </w:t>
      </w:r>
      <w:r w:rsidR="00DB1236" w:rsidRPr="008B3C30">
        <w:rPr>
          <w:rFonts w:ascii="Times New Roman" w:hAnsi="Times New Roman" w:cs="Times New Roman"/>
          <w:sz w:val="24"/>
          <w:szCs w:val="24"/>
        </w:rPr>
        <w:t>р</w:t>
      </w:r>
      <w:r w:rsidR="00073954" w:rsidRPr="008B3C30">
        <w:rPr>
          <w:rFonts w:ascii="Times New Roman" w:hAnsi="Times New Roman" w:cs="Times New Roman"/>
          <w:sz w:val="24"/>
          <w:szCs w:val="24"/>
        </w:rPr>
        <w:t xml:space="preserve">азработване на оценка на въздействие, която да спомогне за формирането на националната стратегия; </w:t>
      </w:r>
      <w:r w:rsidR="00DB1236" w:rsidRPr="008B3C30">
        <w:rPr>
          <w:rFonts w:ascii="Times New Roman" w:hAnsi="Times New Roman" w:cs="Times New Roman"/>
          <w:sz w:val="24"/>
          <w:szCs w:val="24"/>
        </w:rPr>
        <w:t>у</w:t>
      </w:r>
      <w:r w:rsidR="00073954" w:rsidRPr="008B3C30">
        <w:rPr>
          <w:rFonts w:ascii="Times New Roman" w:hAnsi="Times New Roman" w:cs="Times New Roman"/>
          <w:sz w:val="24"/>
          <w:szCs w:val="24"/>
        </w:rPr>
        <w:t xml:space="preserve">становяване на институционални и управленски мерки; </w:t>
      </w:r>
      <w:r w:rsidR="00DB1236" w:rsidRPr="008B3C30">
        <w:rPr>
          <w:rFonts w:ascii="Times New Roman" w:hAnsi="Times New Roman" w:cs="Times New Roman"/>
          <w:sz w:val="24"/>
          <w:szCs w:val="24"/>
        </w:rPr>
        <w:t>о</w:t>
      </w:r>
      <w:r w:rsidR="00073954" w:rsidRPr="008B3C30">
        <w:rPr>
          <w:rFonts w:ascii="Times New Roman" w:hAnsi="Times New Roman" w:cs="Times New Roman"/>
          <w:sz w:val="24"/>
          <w:szCs w:val="24"/>
        </w:rPr>
        <w:t xml:space="preserve">пределяне и постигане на цели, оценка и финансиране на националната стратегия и </w:t>
      </w:r>
      <w:r w:rsidR="00DB1236" w:rsidRPr="008B3C30">
        <w:rPr>
          <w:rFonts w:ascii="Times New Roman" w:hAnsi="Times New Roman" w:cs="Times New Roman"/>
          <w:sz w:val="24"/>
          <w:szCs w:val="24"/>
        </w:rPr>
        <w:t>о</w:t>
      </w:r>
      <w:r w:rsidR="00073954" w:rsidRPr="008B3C30">
        <w:rPr>
          <w:rFonts w:ascii="Times New Roman" w:hAnsi="Times New Roman" w:cs="Times New Roman"/>
          <w:sz w:val="24"/>
          <w:szCs w:val="24"/>
        </w:rPr>
        <w:t xml:space="preserve">сигуряване на ефективно и иновативно осигуряване на финансовото образование. </w:t>
      </w:r>
    </w:p>
    <w:p w:rsidR="00073954" w:rsidRPr="008B3C30" w:rsidRDefault="00073954" w:rsidP="002018E2">
      <w:pPr>
        <w:shd w:val="clear" w:color="auto" w:fill="FFFFFF"/>
        <w:tabs>
          <w:tab w:val="left" w:leader="dot" w:pos="8923"/>
        </w:tabs>
        <w:spacing w:line="274" w:lineRule="exact"/>
        <w:ind w:firstLine="567"/>
        <w:jc w:val="both"/>
        <w:rPr>
          <w:rFonts w:ascii="Times New Roman" w:hAnsi="Times New Roman" w:cs="Times New Roman"/>
          <w:sz w:val="24"/>
          <w:szCs w:val="24"/>
        </w:rPr>
      </w:pPr>
      <w:r w:rsidRPr="008B3C30">
        <w:rPr>
          <w:rFonts w:ascii="Times New Roman" w:hAnsi="Times New Roman" w:cs="Times New Roman"/>
          <w:sz w:val="24"/>
          <w:szCs w:val="24"/>
        </w:rPr>
        <w:t>Според данни</w:t>
      </w:r>
      <w:r w:rsidR="00DB1236" w:rsidRPr="008B3C30">
        <w:rPr>
          <w:rFonts w:ascii="Times New Roman" w:hAnsi="Times New Roman" w:cs="Times New Roman"/>
          <w:sz w:val="24"/>
          <w:szCs w:val="24"/>
        </w:rPr>
        <w:t>,</w:t>
      </w:r>
      <w:r w:rsidRPr="008B3C30">
        <w:rPr>
          <w:rFonts w:ascii="Times New Roman" w:hAnsi="Times New Roman" w:cs="Times New Roman"/>
          <w:sz w:val="24"/>
          <w:szCs w:val="24"/>
        </w:rPr>
        <w:t xml:space="preserve"> посочени в наръчника, финансовото изключване засяга около два милиарда възрастни в целия свят. Фактори, които обуславят това</w:t>
      </w:r>
      <w:r w:rsidR="00E511A0" w:rsidRPr="008B3C30">
        <w:rPr>
          <w:rFonts w:ascii="Times New Roman" w:hAnsi="Times New Roman" w:cs="Times New Roman"/>
          <w:sz w:val="24"/>
          <w:szCs w:val="24"/>
        </w:rPr>
        <w:t>,</w:t>
      </w:r>
      <w:r w:rsidRPr="008B3C30">
        <w:rPr>
          <w:rFonts w:ascii="Times New Roman" w:hAnsi="Times New Roman" w:cs="Times New Roman"/>
          <w:sz w:val="24"/>
          <w:szCs w:val="24"/>
        </w:rPr>
        <w:t xml:space="preserve"> са регулаторни ограничения, наличие на конкурентни финансови услуги, които не притежават или имат </w:t>
      </w:r>
      <w:r w:rsidRPr="008B3C30">
        <w:rPr>
          <w:rFonts w:ascii="Times New Roman" w:hAnsi="Times New Roman" w:cs="Times New Roman"/>
          <w:sz w:val="24"/>
          <w:szCs w:val="24"/>
        </w:rPr>
        <w:lastRenderedPageBreak/>
        <w:t>ограничен брой финансови потребителски изисквания, забранителни пазарни фактори, както и бариерите, произтичащи от географията и инфраструктура</w:t>
      </w:r>
      <w:r w:rsidR="004A139E" w:rsidRPr="008B3C30">
        <w:rPr>
          <w:rFonts w:ascii="Times New Roman" w:hAnsi="Times New Roman" w:cs="Times New Roman"/>
          <w:sz w:val="24"/>
          <w:szCs w:val="24"/>
        </w:rPr>
        <w:t>та</w:t>
      </w:r>
      <w:r w:rsidRPr="008B3C30">
        <w:rPr>
          <w:rFonts w:ascii="Times New Roman" w:hAnsi="Times New Roman" w:cs="Times New Roman"/>
          <w:sz w:val="24"/>
          <w:szCs w:val="24"/>
        </w:rPr>
        <w:t>. В допълнение към тези елементи, странични фактори могат да допринесат за финансов</w:t>
      </w:r>
      <w:r w:rsidR="00E511A0" w:rsidRPr="008B3C30">
        <w:rPr>
          <w:rFonts w:ascii="Times New Roman" w:hAnsi="Times New Roman" w:cs="Times New Roman"/>
          <w:sz w:val="24"/>
          <w:szCs w:val="24"/>
        </w:rPr>
        <w:t>о</w:t>
      </w:r>
      <w:r w:rsidRPr="008B3C30">
        <w:rPr>
          <w:rFonts w:ascii="Times New Roman" w:hAnsi="Times New Roman" w:cs="Times New Roman"/>
          <w:sz w:val="24"/>
          <w:szCs w:val="24"/>
        </w:rPr>
        <w:t>т</w:t>
      </w:r>
      <w:r w:rsidR="00E511A0" w:rsidRPr="008B3C30">
        <w:rPr>
          <w:rFonts w:ascii="Times New Roman" w:hAnsi="Times New Roman" w:cs="Times New Roman"/>
          <w:sz w:val="24"/>
          <w:szCs w:val="24"/>
        </w:rPr>
        <w:t>о</w:t>
      </w:r>
      <w:r w:rsidRPr="008B3C30">
        <w:rPr>
          <w:rFonts w:ascii="Times New Roman" w:hAnsi="Times New Roman" w:cs="Times New Roman"/>
          <w:sz w:val="24"/>
          <w:szCs w:val="24"/>
        </w:rPr>
        <w:t xml:space="preserve"> </w:t>
      </w:r>
      <w:r w:rsidR="00E511A0" w:rsidRPr="008B3C30">
        <w:rPr>
          <w:rFonts w:ascii="Times New Roman" w:hAnsi="Times New Roman" w:cs="Times New Roman"/>
          <w:sz w:val="24"/>
          <w:szCs w:val="24"/>
        </w:rPr>
        <w:t>изключване</w:t>
      </w:r>
      <w:r w:rsidRPr="008B3C30">
        <w:rPr>
          <w:rFonts w:ascii="Times New Roman" w:hAnsi="Times New Roman" w:cs="Times New Roman"/>
          <w:sz w:val="24"/>
          <w:szCs w:val="24"/>
        </w:rPr>
        <w:t xml:space="preserve"> и по-специално финансовата уязвимост, вследствие на лични обстоятелства, ниска степен на финансова грамотност, намалена социална и техно</w:t>
      </w:r>
      <w:r w:rsidR="00E511A0" w:rsidRPr="008B3C30">
        <w:rPr>
          <w:rFonts w:ascii="Times New Roman" w:hAnsi="Times New Roman" w:cs="Times New Roman"/>
          <w:sz w:val="24"/>
          <w:szCs w:val="24"/>
        </w:rPr>
        <w:t xml:space="preserve">логична интеграция и културни </w:t>
      </w:r>
      <w:r w:rsidRPr="008B3C30">
        <w:rPr>
          <w:rFonts w:ascii="Times New Roman" w:hAnsi="Times New Roman" w:cs="Times New Roman"/>
          <w:sz w:val="24"/>
          <w:szCs w:val="24"/>
        </w:rPr>
        <w:t>бариери.</w:t>
      </w:r>
      <w:r w:rsidRPr="008B3C30">
        <w:rPr>
          <w:rFonts w:ascii="Times New Roman" w:hAnsi="Times New Roman" w:cs="Times New Roman"/>
        </w:rPr>
        <w:t xml:space="preserve"> </w:t>
      </w:r>
    </w:p>
    <w:p w:rsidR="00073954" w:rsidRPr="008B3C30" w:rsidRDefault="00AB5E9D" w:rsidP="002018E2">
      <w:pPr>
        <w:shd w:val="clear" w:color="auto" w:fill="FFFFFF"/>
        <w:tabs>
          <w:tab w:val="left" w:leader="dot" w:pos="8923"/>
        </w:tabs>
        <w:spacing w:line="274" w:lineRule="exact"/>
        <w:ind w:firstLine="567"/>
        <w:jc w:val="both"/>
        <w:rPr>
          <w:rFonts w:ascii="Times New Roman" w:hAnsi="Times New Roman" w:cs="Times New Roman"/>
          <w:sz w:val="24"/>
          <w:szCs w:val="24"/>
        </w:rPr>
      </w:pPr>
      <w:r w:rsidRPr="008B3C30">
        <w:rPr>
          <w:rFonts w:ascii="Times New Roman" w:hAnsi="Times New Roman" w:cs="Times New Roman"/>
          <w:sz w:val="24"/>
          <w:szCs w:val="24"/>
        </w:rPr>
        <w:t>В н</w:t>
      </w:r>
      <w:r w:rsidR="00073954" w:rsidRPr="008B3C30">
        <w:rPr>
          <w:rFonts w:ascii="Times New Roman" w:hAnsi="Times New Roman" w:cs="Times New Roman"/>
          <w:sz w:val="24"/>
          <w:szCs w:val="24"/>
        </w:rPr>
        <w:t>аръчник</w:t>
      </w:r>
      <w:r w:rsidRPr="008B3C30">
        <w:rPr>
          <w:rFonts w:ascii="Times New Roman" w:hAnsi="Times New Roman" w:cs="Times New Roman"/>
          <w:sz w:val="24"/>
          <w:szCs w:val="24"/>
        </w:rPr>
        <w:t>а</w:t>
      </w:r>
      <w:r w:rsidR="00073954" w:rsidRPr="008B3C30">
        <w:rPr>
          <w:rFonts w:ascii="Times New Roman" w:hAnsi="Times New Roman" w:cs="Times New Roman"/>
          <w:sz w:val="24"/>
          <w:szCs w:val="24"/>
        </w:rPr>
        <w:t xml:space="preserve"> </w:t>
      </w:r>
      <w:r w:rsidR="00E511A0" w:rsidRPr="008B3C30">
        <w:rPr>
          <w:rFonts w:ascii="Times New Roman" w:hAnsi="Times New Roman" w:cs="Times New Roman"/>
          <w:sz w:val="24"/>
          <w:szCs w:val="24"/>
        </w:rPr>
        <w:t>е изложено</w:t>
      </w:r>
      <w:r w:rsidR="00073954" w:rsidRPr="008B3C30">
        <w:rPr>
          <w:rFonts w:ascii="Times New Roman" w:hAnsi="Times New Roman" w:cs="Times New Roman"/>
          <w:sz w:val="24"/>
          <w:szCs w:val="24"/>
        </w:rPr>
        <w:t>, че мнозинството от респондентите в проучването на ОИСР са направили оценки на въздействие на нивата на финансов</w:t>
      </w:r>
      <w:r w:rsidRPr="008B3C30">
        <w:rPr>
          <w:rFonts w:ascii="Times New Roman" w:hAnsi="Times New Roman" w:cs="Times New Roman"/>
          <w:sz w:val="24"/>
          <w:szCs w:val="24"/>
        </w:rPr>
        <w:t>ата</w:t>
      </w:r>
      <w:r w:rsidR="00073954" w:rsidRPr="008B3C30">
        <w:rPr>
          <w:rFonts w:ascii="Times New Roman" w:hAnsi="Times New Roman" w:cs="Times New Roman"/>
          <w:sz w:val="24"/>
          <w:szCs w:val="24"/>
        </w:rPr>
        <w:t xml:space="preserve"> грамотност </w:t>
      </w:r>
      <w:r w:rsidR="00E511A0" w:rsidRPr="008B3C30">
        <w:rPr>
          <w:rFonts w:ascii="Times New Roman" w:hAnsi="Times New Roman" w:cs="Times New Roman"/>
          <w:sz w:val="24"/>
          <w:szCs w:val="24"/>
        </w:rPr>
        <w:t>сред</w:t>
      </w:r>
      <w:r w:rsidR="00073954" w:rsidRPr="008B3C30">
        <w:rPr>
          <w:rFonts w:ascii="Times New Roman" w:hAnsi="Times New Roman" w:cs="Times New Roman"/>
          <w:sz w:val="24"/>
          <w:szCs w:val="24"/>
        </w:rPr>
        <w:t xml:space="preserve"> цялото население. Страните</w:t>
      </w:r>
      <w:r w:rsidR="00E511A0" w:rsidRPr="008B3C30">
        <w:rPr>
          <w:rFonts w:ascii="Times New Roman" w:hAnsi="Times New Roman" w:cs="Times New Roman"/>
          <w:sz w:val="24"/>
          <w:szCs w:val="24"/>
        </w:rPr>
        <w:t>,</w:t>
      </w:r>
      <w:r w:rsidR="00073954" w:rsidRPr="008B3C30">
        <w:rPr>
          <w:rFonts w:ascii="Times New Roman" w:hAnsi="Times New Roman" w:cs="Times New Roman"/>
          <w:sz w:val="24"/>
          <w:szCs w:val="24"/>
        </w:rPr>
        <w:t xml:space="preserve"> участнички в проучването</w:t>
      </w:r>
      <w:r w:rsidR="00E511A0" w:rsidRPr="008B3C30">
        <w:rPr>
          <w:rFonts w:ascii="Times New Roman" w:hAnsi="Times New Roman" w:cs="Times New Roman"/>
          <w:sz w:val="24"/>
          <w:szCs w:val="24"/>
        </w:rPr>
        <w:t>,</w:t>
      </w:r>
      <w:r w:rsidR="00073954" w:rsidRPr="008B3C30">
        <w:rPr>
          <w:rFonts w:ascii="Times New Roman" w:hAnsi="Times New Roman" w:cs="Times New Roman"/>
          <w:sz w:val="24"/>
          <w:szCs w:val="24"/>
        </w:rPr>
        <w:t xml:space="preserve"> подчертават, че е полезно да се определят целите на националната стратегия</w:t>
      </w:r>
      <w:r w:rsidR="00E511A0" w:rsidRPr="008B3C30">
        <w:rPr>
          <w:rFonts w:ascii="Times New Roman" w:hAnsi="Times New Roman" w:cs="Times New Roman"/>
          <w:sz w:val="24"/>
          <w:szCs w:val="24"/>
        </w:rPr>
        <w:t xml:space="preserve"> </w:t>
      </w:r>
      <w:r w:rsidR="00073954" w:rsidRPr="008B3C30">
        <w:rPr>
          <w:rFonts w:ascii="Times New Roman" w:hAnsi="Times New Roman" w:cs="Times New Roman"/>
          <w:sz w:val="24"/>
          <w:szCs w:val="24"/>
        </w:rPr>
        <w:t xml:space="preserve">на базата на сериозни доказателства. Това също така позволява на публичните органи да определят </w:t>
      </w:r>
      <w:r w:rsidR="00E511A0" w:rsidRPr="008B3C30">
        <w:rPr>
          <w:rFonts w:ascii="Times New Roman" w:hAnsi="Times New Roman" w:cs="Times New Roman"/>
          <w:sz w:val="24"/>
          <w:szCs w:val="24"/>
        </w:rPr>
        <w:t>р</w:t>
      </w:r>
      <w:r w:rsidR="00073954" w:rsidRPr="008B3C30">
        <w:rPr>
          <w:rFonts w:ascii="Times New Roman" w:hAnsi="Times New Roman" w:cs="Times New Roman"/>
          <w:sz w:val="24"/>
          <w:szCs w:val="24"/>
        </w:rPr>
        <w:t>еалистични цели и да имат добре дефинирани критерии,</w:t>
      </w:r>
      <w:r w:rsidR="00E511A0" w:rsidRPr="008B3C30">
        <w:rPr>
          <w:rFonts w:ascii="Times New Roman" w:hAnsi="Times New Roman" w:cs="Times New Roman"/>
          <w:sz w:val="24"/>
          <w:szCs w:val="24"/>
        </w:rPr>
        <w:t xml:space="preserve"> </w:t>
      </w:r>
      <w:r w:rsidR="00073954" w:rsidRPr="008B3C30">
        <w:rPr>
          <w:rFonts w:ascii="Times New Roman" w:hAnsi="Times New Roman" w:cs="Times New Roman"/>
          <w:sz w:val="24"/>
          <w:szCs w:val="24"/>
        </w:rPr>
        <w:t xml:space="preserve">във връзка с които може да бъде измерен напредъкът. </w:t>
      </w:r>
      <w:r w:rsidR="002275ED" w:rsidRPr="008B3C30">
        <w:rPr>
          <w:rFonts w:ascii="Times New Roman" w:hAnsi="Times New Roman" w:cs="Times New Roman"/>
          <w:sz w:val="24"/>
          <w:szCs w:val="24"/>
        </w:rPr>
        <w:t xml:space="preserve"> </w:t>
      </w:r>
    </w:p>
    <w:p w:rsidR="00073954" w:rsidRPr="008B3C30" w:rsidRDefault="00073954" w:rsidP="002018E2">
      <w:pPr>
        <w:shd w:val="clear" w:color="auto" w:fill="FFFFFF"/>
        <w:tabs>
          <w:tab w:val="left" w:leader="dot" w:pos="8923"/>
        </w:tabs>
        <w:spacing w:line="274" w:lineRule="exact"/>
        <w:ind w:firstLine="567"/>
        <w:jc w:val="both"/>
        <w:rPr>
          <w:rFonts w:ascii="Times New Roman" w:hAnsi="Times New Roman" w:cs="Times New Roman"/>
          <w:sz w:val="24"/>
          <w:szCs w:val="24"/>
        </w:rPr>
      </w:pPr>
      <w:r w:rsidRPr="008B3C30">
        <w:rPr>
          <w:rFonts w:ascii="Times New Roman" w:hAnsi="Times New Roman" w:cs="Times New Roman"/>
          <w:sz w:val="24"/>
          <w:szCs w:val="24"/>
        </w:rPr>
        <w:t xml:space="preserve">В тази връзка е необходимо и в България да се проведе </w:t>
      </w:r>
      <w:r w:rsidR="002275ED" w:rsidRPr="008B3C30">
        <w:rPr>
          <w:rFonts w:ascii="Times New Roman" w:hAnsi="Times New Roman" w:cs="Times New Roman"/>
          <w:sz w:val="24"/>
          <w:szCs w:val="24"/>
        </w:rPr>
        <w:t>актуално</w:t>
      </w:r>
      <w:r w:rsidRPr="008B3C30">
        <w:rPr>
          <w:rFonts w:ascii="Times New Roman" w:hAnsi="Times New Roman" w:cs="Times New Roman"/>
          <w:sz w:val="24"/>
          <w:szCs w:val="24"/>
        </w:rPr>
        <w:t xml:space="preserve"> проучване </w:t>
      </w:r>
      <w:r w:rsidR="002275ED" w:rsidRPr="008B3C30">
        <w:rPr>
          <w:rFonts w:ascii="Times New Roman" w:hAnsi="Times New Roman" w:cs="Times New Roman"/>
          <w:sz w:val="24"/>
          <w:szCs w:val="24"/>
        </w:rPr>
        <w:t xml:space="preserve">с цел </w:t>
      </w:r>
      <w:r w:rsidRPr="008B3C30">
        <w:rPr>
          <w:rFonts w:ascii="Times New Roman" w:hAnsi="Times New Roman" w:cs="Times New Roman"/>
          <w:sz w:val="24"/>
          <w:szCs w:val="24"/>
        </w:rPr>
        <w:t xml:space="preserve">изготвяне на нова оценка на нивото на финансова грамотност на потребителите на финансови услуги </w:t>
      </w:r>
      <w:r w:rsidR="002275ED" w:rsidRPr="008B3C30">
        <w:rPr>
          <w:rFonts w:ascii="Times New Roman" w:hAnsi="Times New Roman" w:cs="Times New Roman"/>
          <w:sz w:val="24"/>
          <w:szCs w:val="24"/>
        </w:rPr>
        <w:t>в</w:t>
      </w:r>
      <w:r w:rsidRPr="008B3C30">
        <w:rPr>
          <w:rFonts w:ascii="Times New Roman" w:hAnsi="Times New Roman" w:cs="Times New Roman"/>
          <w:sz w:val="24"/>
          <w:szCs w:val="24"/>
        </w:rPr>
        <w:t xml:space="preserve"> небанковия финансов сектор.  </w:t>
      </w:r>
    </w:p>
    <w:p w:rsidR="00073954" w:rsidRPr="008B3C30" w:rsidRDefault="00073954" w:rsidP="002018E2">
      <w:pPr>
        <w:shd w:val="clear" w:color="auto" w:fill="FFFFFF"/>
        <w:tabs>
          <w:tab w:val="left" w:leader="dot" w:pos="8923"/>
        </w:tabs>
        <w:spacing w:line="274" w:lineRule="exact"/>
        <w:ind w:firstLine="567"/>
        <w:jc w:val="both"/>
        <w:rPr>
          <w:rFonts w:ascii="Times New Roman" w:hAnsi="Times New Roman" w:cs="Times New Roman"/>
          <w:b/>
          <w:sz w:val="24"/>
          <w:szCs w:val="24"/>
        </w:rPr>
      </w:pPr>
      <w:r w:rsidRPr="008B3C30">
        <w:rPr>
          <w:rFonts w:ascii="Times New Roman" w:hAnsi="Times New Roman" w:cs="Times New Roman"/>
          <w:sz w:val="24"/>
          <w:szCs w:val="24"/>
        </w:rPr>
        <w:t xml:space="preserve">Следва да бъде обърнато внимание и на </w:t>
      </w:r>
      <w:r w:rsidR="00F14DBD" w:rsidRPr="008B3C30">
        <w:rPr>
          <w:rFonts w:ascii="Times New Roman" w:hAnsi="Times New Roman" w:cs="Times New Roman"/>
          <w:sz w:val="24"/>
          <w:szCs w:val="24"/>
        </w:rPr>
        <w:t xml:space="preserve">документа за </w:t>
      </w:r>
      <w:r w:rsidRPr="008B3C30">
        <w:rPr>
          <w:rFonts w:ascii="Times New Roman" w:hAnsi="Times New Roman" w:cs="Times New Roman"/>
          <w:sz w:val="24"/>
          <w:szCs w:val="24"/>
        </w:rPr>
        <w:t>„Прилагането на поведенчески прозрения в програмите и инициативите за финансова грамотност и обучение на инвеститори“, който документ е съвместен проект на Международната организация на комисиите за ценни книжа и Организацията за икономическо сътрудничество и развитие.  В документа е обърнато внимание на необходимостта от образоване и пови</w:t>
      </w:r>
      <w:r w:rsidR="00F14DBD" w:rsidRPr="008B3C30">
        <w:rPr>
          <w:rFonts w:ascii="Times New Roman" w:hAnsi="Times New Roman" w:cs="Times New Roman"/>
          <w:sz w:val="24"/>
          <w:szCs w:val="24"/>
        </w:rPr>
        <w:t xml:space="preserve">шаване на финансова грамотност на всички </w:t>
      </w:r>
      <w:r w:rsidRPr="008B3C30">
        <w:rPr>
          <w:rFonts w:ascii="Times New Roman" w:hAnsi="Times New Roman" w:cs="Times New Roman"/>
          <w:sz w:val="24"/>
          <w:szCs w:val="24"/>
        </w:rPr>
        <w:t xml:space="preserve">инвеститори. </w:t>
      </w:r>
      <w:r w:rsidR="00F14DBD" w:rsidRPr="008B3C30">
        <w:rPr>
          <w:rFonts w:ascii="Times New Roman" w:hAnsi="Times New Roman" w:cs="Times New Roman"/>
          <w:sz w:val="24"/>
          <w:szCs w:val="24"/>
        </w:rPr>
        <w:t>З</w:t>
      </w:r>
      <w:r w:rsidRPr="008B3C30">
        <w:rPr>
          <w:rFonts w:ascii="Times New Roman" w:hAnsi="Times New Roman" w:cs="Times New Roman"/>
          <w:sz w:val="24"/>
          <w:szCs w:val="24"/>
        </w:rPr>
        <w:t xml:space="preserve">астъпено </w:t>
      </w:r>
      <w:r w:rsidR="00F14DBD" w:rsidRPr="008B3C30">
        <w:rPr>
          <w:rFonts w:ascii="Times New Roman" w:hAnsi="Times New Roman" w:cs="Times New Roman"/>
          <w:sz w:val="24"/>
          <w:szCs w:val="24"/>
        </w:rPr>
        <w:t xml:space="preserve">е </w:t>
      </w:r>
      <w:r w:rsidR="0013355E" w:rsidRPr="008B3C30">
        <w:rPr>
          <w:rFonts w:ascii="Times New Roman" w:hAnsi="Times New Roman" w:cs="Times New Roman"/>
          <w:sz w:val="24"/>
          <w:szCs w:val="24"/>
        </w:rPr>
        <w:t>виждането, че по-</w:t>
      </w:r>
      <w:r w:rsidRPr="008B3C30">
        <w:rPr>
          <w:rFonts w:ascii="Times New Roman" w:hAnsi="Times New Roman" w:cs="Times New Roman"/>
          <w:sz w:val="24"/>
          <w:szCs w:val="24"/>
        </w:rPr>
        <w:t>високото ниво на финансова грамотност може да помогне на потребителите</w:t>
      </w:r>
      <w:r w:rsidR="00AB5E9D" w:rsidRPr="008B3C30">
        <w:rPr>
          <w:rFonts w:ascii="Times New Roman" w:hAnsi="Times New Roman" w:cs="Times New Roman"/>
          <w:sz w:val="24"/>
          <w:szCs w:val="24"/>
        </w:rPr>
        <w:t xml:space="preserve"> като им се предостави</w:t>
      </w:r>
      <w:r w:rsidR="0013355E" w:rsidRPr="008B3C30">
        <w:rPr>
          <w:rFonts w:ascii="Times New Roman" w:hAnsi="Times New Roman" w:cs="Times New Roman"/>
          <w:sz w:val="24"/>
          <w:szCs w:val="24"/>
        </w:rPr>
        <w:t xml:space="preserve"> </w:t>
      </w:r>
      <w:r w:rsidRPr="008B3C30">
        <w:rPr>
          <w:rFonts w:ascii="Times New Roman" w:hAnsi="Times New Roman" w:cs="Times New Roman"/>
          <w:sz w:val="24"/>
          <w:szCs w:val="24"/>
        </w:rPr>
        <w:t>възможността за взе</w:t>
      </w:r>
      <w:r w:rsidR="0013355E" w:rsidRPr="008B3C30">
        <w:rPr>
          <w:rFonts w:ascii="Times New Roman" w:hAnsi="Times New Roman" w:cs="Times New Roman"/>
          <w:sz w:val="24"/>
          <w:szCs w:val="24"/>
        </w:rPr>
        <w:t>мане на информирани решения и по-</w:t>
      </w:r>
      <w:r w:rsidRPr="008B3C30">
        <w:rPr>
          <w:rFonts w:ascii="Times New Roman" w:hAnsi="Times New Roman" w:cs="Times New Roman"/>
          <w:sz w:val="24"/>
          <w:szCs w:val="24"/>
        </w:rPr>
        <w:t>добро финансово планиране.</w:t>
      </w:r>
    </w:p>
    <w:p w:rsidR="00073954" w:rsidRPr="008B3C30" w:rsidRDefault="00073954" w:rsidP="00073954">
      <w:pPr>
        <w:pStyle w:val="Heading10"/>
        <w:keepNext/>
        <w:keepLines/>
        <w:shd w:val="clear" w:color="auto" w:fill="auto"/>
        <w:spacing w:after="0"/>
        <w:ind w:left="0"/>
      </w:pPr>
    </w:p>
    <w:p w:rsidR="00121C69" w:rsidRPr="008B3C30" w:rsidRDefault="00121C69" w:rsidP="00AD549A">
      <w:pPr>
        <w:shd w:val="clear" w:color="auto" w:fill="FFFFFF"/>
        <w:tabs>
          <w:tab w:val="left" w:leader="dot" w:pos="8923"/>
        </w:tabs>
        <w:spacing w:line="274" w:lineRule="exact"/>
        <w:ind w:left="360" w:firstLine="562"/>
        <w:jc w:val="both"/>
        <w:rPr>
          <w:rFonts w:ascii="Times New Roman" w:hAnsi="Times New Roman" w:cs="Times New Roman"/>
          <w:b/>
          <w:spacing w:val="-3"/>
          <w:sz w:val="24"/>
          <w:szCs w:val="24"/>
        </w:rPr>
      </w:pPr>
    </w:p>
    <w:p w:rsidR="002018E2" w:rsidRPr="008B3C30" w:rsidRDefault="002018E2" w:rsidP="00AD549A">
      <w:pPr>
        <w:shd w:val="clear" w:color="auto" w:fill="FFFFFF"/>
        <w:tabs>
          <w:tab w:val="left" w:leader="dot" w:pos="8923"/>
        </w:tabs>
        <w:spacing w:line="274" w:lineRule="exact"/>
        <w:ind w:left="360" w:firstLine="562"/>
        <w:jc w:val="both"/>
        <w:rPr>
          <w:rFonts w:ascii="Times New Roman" w:hAnsi="Times New Roman" w:cs="Times New Roman"/>
          <w:b/>
          <w:spacing w:val="-3"/>
          <w:sz w:val="24"/>
          <w:szCs w:val="24"/>
        </w:rPr>
      </w:pPr>
    </w:p>
    <w:p w:rsidR="00CE79B2" w:rsidRPr="008B3C30" w:rsidRDefault="00CE79B2" w:rsidP="00520236">
      <w:pPr>
        <w:pStyle w:val="BodyText"/>
        <w:ind w:firstLine="0"/>
        <w:jc w:val="center"/>
        <w:rPr>
          <w:rFonts w:cs="Times New Roman"/>
          <w:b/>
          <w:sz w:val="24"/>
          <w:szCs w:val="24"/>
        </w:rPr>
      </w:pPr>
      <w:r w:rsidRPr="008B3C30">
        <w:rPr>
          <w:rFonts w:cs="Times New Roman"/>
          <w:b/>
          <w:sz w:val="24"/>
          <w:szCs w:val="24"/>
        </w:rPr>
        <w:t>Тенденции в развитието на финансовите пазари</w:t>
      </w:r>
    </w:p>
    <w:p w:rsidR="00B045C5" w:rsidRPr="008B3C30" w:rsidRDefault="00B045C5" w:rsidP="00AD549A">
      <w:pPr>
        <w:pStyle w:val="BodyText"/>
        <w:ind w:firstLine="562"/>
        <w:rPr>
          <w:rFonts w:cs="Times New Roman"/>
          <w:sz w:val="24"/>
          <w:szCs w:val="24"/>
        </w:rPr>
      </w:pPr>
    </w:p>
    <w:p w:rsidR="00954012" w:rsidRPr="008B3C30" w:rsidRDefault="00924AD0" w:rsidP="00AD549A">
      <w:pPr>
        <w:pStyle w:val="BodyText"/>
        <w:ind w:firstLine="562"/>
        <w:rPr>
          <w:rFonts w:cs="Times New Roman"/>
          <w:sz w:val="24"/>
          <w:szCs w:val="24"/>
        </w:rPr>
      </w:pPr>
      <w:r w:rsidRPr="008B3C30">
        <w:rPr>
          <w:rFonts w:cs="Times New Roman"/>
          <w:sz w:val="24"/>
          <w:szCs w:val="24"/>
        </w:rPr>
        <w:t xml:space="preserve">Глобализацията на световната икономика, </w:t>
      </w:r>
      <w:r w:rsidR="00FE1C75" w:rsidRPr="008B3C30">
        <w:rPr>
          <w:rFonts w:cs="Times New Roman"/>
          <w:sz w:val="24"/>
          <w:szCs w:val="24"/>
        </w:rPr>
        <w:t xml:space="preserve">бързото </w:t>
      </w:r>
      <w:r w:rsidRPr="008B3C30">
        <w:rPr>
          <w:rFonts w:cs="Times New Roman"/>
          <w:sz w:val="24"/>
          <w:szCs w:val="24"/>
        </w:rPr>
        <w:t>развитие на интернет</w:t>
      </w:r>
      <w:r w:rsidR="00FE1C75" w:rsidRPr="008B3C30">
        <w:rPr>
          <w:rFonts w:cs="Times New Roman"/>
          <w:sz w:val="24"/>
          <w:szCs w:val="24"/>
        </w:rPr>
        <w:t xml:space="preserve"> и </w:t>
      </w:r>
      <w:r w:rsidRPr="008B3C30">
        <w:rPr>
          <w:rFonts w:cs="Times New Roman"/>
          <w:sz w:val="24"/>
          <w:szCs w:val="24"/>
        </w:rPr>
        <w:t>на дигиталните технологии предопределят бъдещото развитие на финансовите услуги, на тяхното разпространение в посока д</w:t>
      </w:r>
      <w:r w:rsidR="00954012" w:rsidRPr="008B3C30">
        <w:rPr>
          <w:rFonts w:cs="Times New Roman"/>
          <w:sz w:val="24"/>
          <w:szCs w:val="24"/>
        </w:rPr>
        <w:t>игитализацията на услугите и предлагането на финансови продукти</w:t>
      </w:r>
      <w:r w:rsidRPr="008B3C30">
        <w:rPr>
          <w:rFonts w:cs="Times New Roman"/>
          <w:sz w:val="24"/>
          <w:szCs w:val="24"/>
        </w:rPr>
        <w:t>.</w:t>
      </w:r>
      <w:r w:rsidR="00954012" w:rsidRPr="008B3C30">
        <w:rPr>
          <w:rFonts w:cs="Times New Roman"/>
          <w:sz w:val="24"/>
          <w:szCs w:val="24"/>
        </w:rPr>
        <w:t xml:space="preserve"> </w:t>
      </w:r>
      <w:r w:rsidR="002018E2" w:rsidRPr="008B3C30">
        <w:rPr>
          <w:rFonts w:cs="Times New Roman"/>
          <w:sz w:val="24"/>
          <w:szCs w:val="24"/>
        </w:rPr>
        <w:t xml:space="preserve">Дигитализацията е необходимост за бизнеса и </w:t>
      </w:r>
      <w:r w:rsidR="0076400E" w:rsidRPr="008B3C30">
        <w:rPr>
          <w:rFonts w:cs="Times New Roman"/>
          <w:sz w:val="24"/>
          <w:szCs w:val="24"/>
        </w:rPr>
        <w:t xml:space="preserve">за </w:t>
      </w:r>
      <w:r w:rsidR="002018E2" w:rsidRPr="008B3C30">
        <w:rPr>
          <w:rFonts w:cs="Times New Roman"/>
          <w:sz w:val="24"/>
          <w:szCs w:val="24"/>
        </w:rPr>
        <w:t>икономиката.</w:t>
      </w:r>
    </w:p>
    <w:p w:rsidR="00954012" w:rsidRPr="008B3C30" w:rsidRDefault="00924AD0" w:rsidP="00306B1B">
      <w:pPr>
        <w:pStyle w:val="BodyText"/>
        <w:tabs>
          <w:tab w:val="center" w:pos="4854"/>
        </w:tabs>
        <w:ind w:firstLine="562"/>
        <w:rPr>
          <w:rFonts w:cs="Times New Roman"/>
          <w:b/>
          <w:sz w:val="24"/>
          <w:szCs w:val="24"/>
        </w:rPr>
      </w:pPr>
      <w:r w:rsidRPr="008B3C30">
        <w:rPr>
          <w:rFonts w:cs="Times New Roman"/>
          <w:sz w:val="24"/>
          <w:szCs w:val="24"/>
        </w:rPr>
        <w:t xml:space="preserve">Европейският съюз, съобразявайки се с глобалното развитие, </w:t>
      </w:r>
      <w:r w:rsidR="00306B1B" w:rsidRPr="008B3C30">
        <w:rPr>
          <w:rFonts w:cs="Times New Roman"/>
          <w:sz w:val="24"/>
          <w:szCs w:val="24"/>
        </w:rPr>
        <w:t>с поглед към пазарите в</w:t>
      </w:r>
      <w:r w:rsidRPr="008B3C30">
        <w:rPr>
          <w:rFonts w:cs="Times New Roman"/>
          <w:sz w:val="24"/>
          <w:szCs w:val="24"/>
        </w:rPr>
        <w:t xml:space="preserve"> САЩ</w:t>
      </w:r>
      <w:r w:rsidR="00306B1B" w:rsidRPr="008B3C30">
        <w:rPr>
          <w:rFonts w:cs="Times New Roman"/>
          <w:sz w:val="24"/>
          <w:szCs w:val="24"/>
        </w:rPr>
        <w:t xml:space="preserve"> и Азия</w:t>
      </w:r>
      <w:r w:rsidRPr="008B3C30">
        <w:rPr>
          <w:rFonts w:cs="Times New Roman"/>
          <w:sz w:val="24"/>
          <w:szCs w:val="24"/>
        </w:rPr>
        <w:t xml:space="preserve"> разработва</w:t>
      </w:r>
      <w:r w:rsidR="00954012" w:rsidRPr="008B3C30">
        <w:rPr>
          <w:rFonts w:cs="Times New Roman"/>
          <w:sz w:val="24"/>
          <w:szCs w:val="24"/>
        </w:rPr>
        <w:t xml:space="preserve"> стратегия на ЕС </w:t>
      </w:r>
      <w:r w:rsidR="00760DD0" w:rsidRPr="008B3C30">
        <w:rPr>
          <w:rFonts w:cs="Times New Roman"/>
          <w:sz w:val="24"/>
          <w:szCs w:val="24"/>
        </w:rPr>
        <w:t>-</w:t>
      </w:r>
      <w:r w:rsidRPr="008B3C30">
        <w:rPr>
          <w:rFonts w:cs="Times New Roman"/>
          <w:sz w:val="24"/>
          <w:szCs w:val="24"/>
        </w:rPr>
        <w:t xml:space="preserve"> Стратегия за </w:t>
      </w:r>
      <w:r w:rsidR="00306B1B" w:rsidRPr="008B3C30">
        <w:rPr>
          <w:rFonts w:cs="Times New Roman"/>
          <w:sz w:val="24"/>
          <w:szCs w:val="24"/>
        </w:rPr>
        <w:t xml:space="preserve">цифров </w:t>
      </w:r>
      <w:r w:rsidRPr="008B3C30">
        <w:rPr>
          <w:rFonts w:cs="Times New Roman"/>
          <w:sz w:val="24"/>
          <w:szCs w:val="24"/>
        </w:rPr>
        <w:t>единен пазар (</w:t>
      </w:r>
      <w:r w:rsidR="00954012" w:rsidRPr="008B3C30">
        <w:rPr>
          <w:rFonts w:cs="Times New Roman"/>
          <w:sz w:val="24"/>
          <w:szCs w:val="24"/>
        </w:rPr>
        <w:t xml:space="preserve">Digital </w:t>
      </w:r>
      <w:proofErr w:type="spellStart"/>
      <w:r w:rsidR="00954012" w:rsidRPr="008B3C30">
        <w:rPr>
          <w:rFonts w:cs="Times New Roman"/>
          <w:sz w:val="24"/>
          <w:szCs w:val="24"/>
        </w:rPr>
        <w:t>Single</w:t>
      </w:r>
      <w:proofErr w:type="spellEnd"/>
      <w:r w:rsidR="00954012" w:rsidRPr="008B3C30">
        <w:rPr>
          <w:rFonts w:cs="Times New Roman"/>
          <w:sz w:val="24"/>
          <w:szCs w:val="24"/>
        </w:rPr>
        <w:t xml:space="preserve"> Market </w:t>
      </w:r>
      <w:proofErr w:type="spellStart"/>
      <w:r w:rsidR="00E511A0" w:rsidRPr="008B3C30">
        <w:rPr>
          <w:rFonts w:cs="Times New Roman"/>
          <w:sz w:val="24"/>
          <w:szCs w:val="24"/>
        </w:rPr>
        <w:t>S</w:t>
      </w:r>
      <w:r w:rsidR="00954012" w:rsidRPr="008B3C30">
        <w:rPr>
          <w:rFonts w:cs="Times New Roman"/>
          <w:sz w:val="24"/>
          <w:szCs w:val="24"/>
        </w:rPr>
        <w:t>trategy</w:t>
      </w:r>
      <w:proofErr w:type="spellEnd"/>
      <w:r w:rsidRPr="008B3C30">
        <w:rPr>
          <w:rFonts w:cs="Times New Roman"/>
          <w:sz w:val="24"/>
          <w:szCs w:val="24"/>
        </w:rPr>
        <w:t>).</w:t>
      </w:r>
      <w:r w:rsidR="00306B1B" w:rsidRPr="008B3C30">
        <w:rPr>
          <w:rFonts w:cs="Times New Roman"/>
          <w:sz w:val="24"/>
          <w:szCs w:val="24"/>
        </w:rPr>
        <w:t xml:space="preserve"> </w:t>
      </w:r>
      <w:r w:rsidRPr="008B3C30">
        <w:rPr>
          <w:rFonts w:cs="Times New Roman"/>
          <w:sz w:val="24"/>
          <w:szCs w:val="24"/>
        </w:rPr>
        <w:t xml:space="preserve">В стратегията се отделя специално внимание на </w:t>
      </w:r>
      <w:r w:rsidR="00954012" w:rsidRPr="008B3C30">
        <w:rPr>
          <w:rFonts w:cs="Times New Roman"/>
          <w:sz w:val="24"/>
          <w:szCs w:val="24"/>
        </w:rPr>
        <w:t>платформите</w:t>
      </w:r>
      <w:r w:rsidR="002018E2" w:rsidRPr="008B3C30">
        <w:rPr>
          <w:rFonts w:cs="Times New Roman"/>
          <w:sz w:val="24"/>
          <w:szCs w:val="24"/>
        </w:rPr>
        <w:t xml:space="preserve"> в реално време </w:t>
      </w:r>
      <w:r w:rsidRPr="008B3C30">
        <w:rPr>
          <w:rFonts w:cs="Times New Roman"/>
          <w:sz w:val="24"/>
          <w:szCs w:val="24"/>
        </w:rPr>
        <w:t>, които</w:t>
      </w:r>
      <w:r w:rsidR="00954012" w:rsidRPr="008B3C30">
        <w:rPr>
          <w:rFonts w:cs="Times New Roman"/>
          <w:sz w:val="24"/>
          <w:szCs w:val="24"/>
        </w:rPr>
        <w:t xml:space="preserve"> играят все по-широка роля в икономическия живот</w:t>
      </w:r>
      <w:r w:rsidRPr="008B3C30">
        <w:rPr>
          <w:rFonts w:cs="Times New Roman"/>
          <w:sz w:val="24"/>
          <w:szCs w:val="24"/>
        </w:rPr>
        <w:t xml:space="preserve"> на гражданите на ЕС</w:t>
      </w:r>
      <w:r w:rsidR="00954012" w:rsidRPr="008B3C30">
        <w:rPr>
          <w:rFonts w:cs="Times New Roman"/>
          <w:sz w:val="24"/>
          <w:szCs w:val="24"/>
        </w:rPr>
        <w:t xml:space="preserve">. </w:t>
      </w:r>
      <w:proofErr w:type="spellStart"/>
      <w:r w:rsidR="007A1DA1" w:rsidRPr="008B3C30">
        <w:rPr>
          <w:rFonts w:cs="Times New Roman"/>
          <w:sz w:val="24"/>
          <w:szCs w:val="24"/>
        </w:rPr>
        <w:t>Широкообхват</w:t>
      </w:r>
      <w:r w:rsidRPr="008B3C30">
        <w:rPr>
          <w:rFonts w:cs="Times New Roman"/>
          <w:sz w:val="24"/>
          <w:szCs w:val="24"/>
        </w:rPr>
        <w:t>ния</w:t>
      </w:r>
      <w:r w:rsidR="0078454A" w:rsidRPr="008B3C30">
        <w:rPr>
          <w:rFonts w:cs="Times New Roman"/>
          <w:sz w:val="24"/>
          <w:szCs w:val="24"/>
        </w:rPr>
        <w:t>т</w:t>
      </w:r>
      <w:proofErr w:type="spellEnd"/>
      <w:r w:rsidR="007A1DA1" w:rsidRPr="008B3C30">
        <w:rPr>
          <w:rFonts w:cs="Times New Roman"/>
          <w:sz w:val="24"/>
          <w:szCs w:val="24"/>
        </w:rPr>
        <w:t xml:space="preserve"> анализ на ролята на </w:t>
      </w:r>
      <w:proofErr w:type="spellStart"/>
      <w:r w:rsidRPr="008B3C30">
        <w:rPr>
          <w:rFonts w:cs="Times New Roman"/>
          <w:sz w:val="24"/>
          <w:szCs w:val="24"/>
        </w:rPr>
        <w:t>online</w:t>
      </w:r>
      <w:proofErr w:type="spellEnd"/>
      <w:r w:rsidRPr="008B3C30">
        <w:rPr>
          <w:rFonts w:cs="Times New Roman"/>
          <w:sz w:val="24"/>
          <w:szCs w:val="24"/>
        </w:rPr>
        <w:t xml:space="preserve"> </w:t>
      </w:r>
      <w:r w:rsidR="007A1DA1" w:rsidRPr="008B3C30">
        <w:rPr>
          <w:rFonts w:cs="Times New Roman"/>
          <w:sz w:val="24"/>
          <w:szCs w:val="24"/>
        </w:rPr>
        <w:t xml:space="preserve">платформите на пазара, включително противодействието на нерегламентирана информация в интернет пространството е един от ключовите компоненти на европейската стратегия за </w:t>
      </w:r>
      <w:r w:rsidR="00306B1B" w:rsidRPr="008B3C30">
        <w:rPr>
          <w:rFonts w:cs="Times New Roman"/>
          <w:sz w:val="24"/>
          <w:szCs w:val="24"/>
        </w:rPr>
        <w:t xml:space="preserve">цифровизация </w:t>
      </w:r>
      <w:r w:rsidR="007A1DA1" w:rsidRPr="008B3C30">
        <w:rPr>
          <w:rFonts w:cs="Times New Roman"/>
          <w:sz w:val="24"/>
          <w:szCs w:val="24"/>
        </w:rPr>
        <w:t>на единния пазар.</w:t>
      </w:r>
      <w:r w:rsidR="00C436DA" w:rsidRPr="008B3C30">
        <w:rPr>
          <w:rFonts w:cs="Times New Roman"/>
          <w:sz w:val="24"/>
          <w:szCs w:val="24"/>
        </w:rPr>
        <w:t xml:space="preserve"> </w:t>
      </w:r>
    </w:p>
    <w:p w:rsidR="00415650" w:rsidRPr="008B3C30" w:rsidRDefault="00F47602" w:rsidP="002018E2">
      <w:pPr>
        <w:pStyle w:val="BodyText"/>
        <w:tabs>
          <w:tab w:val="center" w:pos="4854"/>
        </w:tabs>
        <w:ind w:firstLine="562"/>
        <w:rPr>
          <w:rFonts w:cs="Times New Roman"/>
          <w:sz w:val="24"/>
          <w:szCs w:val="24"/>
        </w:rPr>
      </w:pPr>
      <w:r w:rsidRPr="008B3C30">
        <w:rPr>
          <w:rFonts w:eastAsia="Calibri" w:cs="Times New Roman"/>
          <w:sz w:val="24"/>
          <w:szCs w:val="24"/>
        </w:rPr>
        <w:t>С развитието на информационните технологии се разширява кръгът на потребителите на небанкови финансови услуги, а оттам се засилва и предлагането на финансови продукти</w:t>
      </w:r>
      <w:r w:rsidR="00306B1B" w:rsidRPr="008B3C30">
        <w:rPr>
          <w:rFonts w:eastAsia="Calibri" w:cs="Times New Roman"/>
          <w:sz w:val="24"/>
          <w:szCs w:val="24"/>
        </w:rPr>
        <w:t xml:space="preserve">. </w:t>
      </w:r>
      <w:r w:rsidR="00924AD0" w:rsidRPr="008B3C30">
        <w:rPr>
          <w:rFonts w:cs="Times New Roman"/>
          <w:sz w:val="24"/>
          <w:szCs w:val="24"/>
        </w:rPr>
        <w:tab/>
        <w:t>В тази връзка</w:t>
      </w:r>
      <w:r w:rsidR="0076400E" w:rsidRPr="008B3C30">
        <w:rPr>
          <w:rFonts w:cs="Times New Roman"/>
          <w:sz w:val="24"/>
          <w:szCs w:val="24"/>
        </w:rPr>
        <w:t>,</w:t>
      </w:r>
      <w:r w:rsidR="00924AD0" w:rsidRPr="008B3C30">
        <w:rPr>
          <w:rFonts w:cs="Times New Roman"/>
          <w:sz w:val="24"/>
          <w:szCs w:val="24"/>
        </w:rPr>
        <w:t xml:space="preserve"> </w:t>
      </w:r>
      <w:r w:rsidR="0076400E" w:rsidRPr="008B3C30">
        <w:rPr>
          <w:rFonts w:cs="Times New Roman"/>
          <w:sz w:val="24"/>
          <w:szCs w:val="24"/>
        </w:rPr>
        <w:t xml:space="preserve">от съществена важност за развитието на финансовите пазари в България, </w:t>
      </w:r>
      <w:r w:rsidRPr="008B3C30">
        <w:rPr>
          <w:rFonts w:cs="Times New Roman"/>
          <w:sz w:val="24"/>
          <w:szCs w:val="24"/>
        </w:rPr>
        <w:t xml:space="preserve">е </w:t>
      </w:r>
      <w:r w:rsidR="0076400E" w:rsidRPr="008B3C30">
        <w:rPr>
          <w:rFonts w:cs="Times New Roman"/>
          <w:sz w:val="24"/>
          <w:szCs w:val="24"/>
        </w:rPr>
        <w:t xml:space="preserve">необходимо </w:t>
      </w:r>
      <w:r w:rsidRPr="008B3C30">
        <w:rPr>
          <w:rFonts w:cs="Times New Roman"/>
          <w:sz w:val="24"/>
          <w:szCs w:val="24"/>
        </w:rPr>
        <w:t>да се обърне специално внимание на развитието на финансовите иновации и съответно на ролята на регулациите с оглед ефективната защита на потребителите.</w:t>
      </w:r>
      <w:r w:rsidR="00AC4F38" w:rsidRPr="008B3C30">
        <w:rPr>
          <w:rFonts w:cs="Times New Roman"/>
          <w:sz w:val="24"/>
          <w:szCs w:val="24"/>
        </w:rPr>
        <w:t xml:space="preserve"> </w:t>
      </w:r>
    </w:p>
    <w:p w:rsidR="00F4747A" w:rsidRPr="008B3C30" w:rsidRDefault="00F4747A" w:rsidP="002E0154">
      <w:pPr>
        <w:widowControl/>
        <w:autoSpaceDE/>
        <w:autoSpaceDN/>
        <w:adjustRightInd/>
        <w:ind w:firstLine="562"/>
        <w:jc w:val="both"/>
        <w:rPr>
          <w:rFonts w:ascii="Times New Roman" w:hAnsi="Times New Roman" w:cs="Times New Roman"/>
          <w:sz w:val="24"/>
          <w:szCs w:val="24"/>
        </w:rPr>
      </w:pPr>
      <w:r w:rsidRPr="008B3C30">
        <w:rPr>
          <w:rFonts w:ascii="Times New Roman" w:hAnsi="Times New Roman" w:cs="Times New Roman"/>
          <w:sz w:val="24"/>
          <w:szCs w:val="24"/>
        </w:rPr>
        <w:t xml:space="preserve">Финансовите технологии </w:t>
      </w:r>
      <w:r w:rsidR="00306B1B" w:rsidRPr="008B3C30">
        <w:rPr>
          <w:rFonts w:ascii="Times New Roman" w:hAnsi="Times New Roman" w:cs="Times New Roman"/>
          <w:sz w:val="24"/>
          <w:szCs w:val="24"/>
        </w:rPr>
        <w:t xml:space="preserve">(FinTech) </w:t>
      </w:r>
      <w:r w:rsidRPr="008B3C30">
        <w:rPr>
          <w:rFonts w:ascii="Times New Roman" w:hAnsi="Times New Roman" w:cs="Times New Roman"/>
          <w:sz w:val="24"/>
          <w:szCs w:val="24"/>
        </w:rPr>
        <w:t>е понятие, с което се описват технологичните иновации в областта на финансовите услуги, в резултат на които могат да възникнат нови бизнес модели, приложения, процеси или продукти</w:t>
      </w:r>
      <w:r w:rsidR="005F5867" w:rsidRPr="008B3C30">
        <w:rPr>
          <w:rFonts w:ascii="Times New Roman" w:hAnsi="Times New Roman" w:cs="Times New Roman"/>
          <w:sz w:val="24"/>
          <w:szCs w:val="24"/>
        </w:rPr>
        <w:t>,</w:t>
      </w:r>
      <w:r w:rsidRPr="008B3C30">
        <w:rPr>
          <w:rFonts w:ascii="Times New Roman" w:hAnsi="Times New Roman" w:cs="Times New Roman"/>
          <w:sz w:val="24"/>
          <w:szCs w:val="24"/>
        </w:rPr>
        <w:t xml:space="preserve"> които могат непряко да окажат </w:t>
      </w:r>
      <w:r w:rsidRPr="008B3C30">
        <w:rPr>
          <w:rFonts w:ascii="Times New Roman" w:hAnsi="Times New Roman" w:cs="Times New Roman"/>
          <w:sz w:val="24"/>
          <w:szCs w:val="24"/>
        </w:rPr>
        <w:lastRenderedPageBreak/>
        <w:t>съществено въздействие върху финансовите пазари и институции и върху начините на предоставяне на финансови услуги.</w:t>
      </w:r>
    </w:p>
    <w:p w:rsidR="00AC4F38" w:rsidRPr="008B3C30" w:rsidRDefault="002E0154" w:rsidP="00AC4F38">
      <w:pPr>
        <w:ind w:firstLine="562"/>
        <w:jc w:val="both"/>
        <w:rPr>
          <w:rFonts w:ascii="Times New Roman" w:eastAsia="Times New Roman" w:hAnsi="Times New Roman" w:cs="Times New Roman"/>
          <w:sz w:val="24"/>
          <w:szCs w:val="24"/>
        </w:rPr>
      </w:pPr>
      <w:r w:rsidRPr="008B3C30">
        <w:rPr>
          <w:rFonts w:ascii="Times New Roman" w:eastAsia="Times New Roman" w:hAnsi="Times New Roman" w:cs="Times New Roman"/>
          <w:sz w:val="24"/>
          <w:szCs w:val="24"/>
        </w:rPr>
        <w:t>КФН има разработена</w:t>
      </w:r>
      <w:r w:rsidR="00AC4F38" w:rsidRPr="008B3C30">
        <w:rPr>
          <w:rFonts w:ascii="Times New Roman" w:eastAsia="Times New Roman" w:hAnsi="Times New Roman" w:cs="Times New Roman"/>
          <w:sz w:val="24"/>
          <w:szCs w:val="24"/>
        </w:rPr>
        <w:t xml:space="preserve"> с</w:t>
      </w:r>
      <w:r w:rsidR="00AC4F38" w:rsidRPr="008B3C30">
        <w:rPr>
          <w:rFonts w:ascii="Times New Roman" w:hAnsi="Times New Roman" w:cs="Times New Roman"/>
          <w:sz w:val="24"/>
          <w:szCs w:val="24"/>
        </w:rPr>
        <w:t xml:space="preserve">тратегия относно развитието на финансовите иновации, </w:t>
      </w:r>
      <w:r w:rsidRPr="008B3C30">
        <w:rPr>
          <w:rFonts w:ascii="Times New Roman" w:hAnsi="Times New Roman" w:cs="Times New Roman"/>
          <w:sz w:val="24"/>
          <w:szCs w:val="24"/>
        </w:rPr>
        <w:t>която</w:t>
      </w:r>
      <w:r w:rsidR="00AC4F38" w:rsidRPr="008B3C30">
        <w:rPr>
          <w:rFonts w:ascii="Times New Roman" w:hAnsi="Times New Roman" w:cs="Times New Roman"/>
          <w:sz w:val="24"/>
          <w:szCs w:val="24"/>
        </w:rPr>
        <w:t xml:space="preserve"> изяснява основните подходи за действие – мониторинг на развитието на FinTech, оценка на възможните рискове и потенциални действия и мерки с оглед преодоляването им за извличане на максимални ползи от растящия интерес към финансовите иновативни продукти и/или технологии</w:t>
      </w:r>
      <w:r w:rsidR="009206B6" w:rsidRPr="008B3C30">
        <w:rPr>
          <w:rFonts w:ascii="Times New Roman" w:hAnsi="Times New Roman" w:cs="Times New Roman"/>
          <w:sz w:val="24"/>
          <w:szCs w:val="24"/>
        </w:rPr>
        <w:t>,</w:t>
      </w:r>
      <w:r w:rsidR="00AC4F38" w:rsidRPr="008B3C30">
        <w:rPr>
          <w:rFonts w:ascii="Times New Roman" w:hAnsi="Times New Roman" w:cs="Times New Roman"/>
          <w:sz w:val="24"/>
          <w:szCs w:val="24"/>
        </w:rPr>
        <w:t xml:space="preserve"> в услуга на потребителя при спазване на регулаторните изисквания. </w:t>
      </w:r>
      <w:r w:rsidRPr="008B3C30">
        <w:rPr>
          <w:rFonts w:ascii="Times New Roman" w:hAnsi="Times New Roman" w:cs="Times New Roman"/>
          <w:sz w:val="24"/>
          <w:szCs w:val="24"/>
        </w:rPr>
        <w:t>Предвидено е</w:t>
      </w:r>
      <w:r w:rsidR="00AC4F38" w:rsidRPr="008B3C30">
        <w:rPr>
          <w:rFonts w:ascii="Times New Roman" w:hAnsi="Times New Roman" w:cs="Times New Roman"/>
          <w:sz w:val="24"/>
          <w:szCs w:val="24"/>
        </w:rPr>
        <w:t xml:space="preserve"> КФН </w:t>
      </w:r>
      <w:r w:rsidR="009206B6" w:rsidRPr="008B3C30">
        <w:rPr>
          <w:rFonts w:ascii="Times New Roman" w:hAnsi="Times New Roman" w:cs="Times New Roman"/>
          <w:sz w:val="24"/>
          <w:szCs w:val="24"/>
        </w:rPr>
        <w:t>да</w:t>
      </w:r>
      <w:r w:rsidR="00AC4F38" w:rsidRPr="008B3C30">
        <w:rPr>
          <w:rFonts w:ascii="Times New Roman" w:hAnsi="Times New Roman" w:cs="Times New Roman"/>
          <w:sz w:val="24"/>
          <w:szCs w:val="24"/>
        </w:rPr>
        <w:t xml:space="preserve"> възприеме метод на оценка на FinTech дружествата чрез количествено и качествено измерим модел на оценка чрез табло, пример за аналитична рамка, базирана на икономическите функции и приноса, който се очаква от лицензиране</w:t>
      </w:r>
      <w:r w:rsidRPr="008B3C30">
        <w:rPr>
          <w:rFonts w:ascii="Times New Roman" w:hAnsi="Times New Roman" w:cs="Times New Roman"/>
          <w:sz w:val="24"/>
          <w:szCs w:val="24"/>
        </w:rPr>
        <w:t xml:space="preserve"> или регистрационен режим</w:t>
      </w:r>
      <w:r w:rsidR="00AC4F38" w:rsidRPr="008B3C30">
        <w:rPr>
          <w:rFonts w:ascii="Times New Roman" w:hAnsi="Times New Roman" w:cs="Times New Roman"/>
          <w:sz w:val="24"/>
          <w:szCs w:val="24"/>
        </w:rPr>
        <w:t xml:space="preserve"> и въвеждане в експлоатация на всяка отделна иновативна технология, включително рискове и ползи, нормативна база и ресурсна осигуреност.</w:t>
      </w:r>
    </w:p>
    <w:p w:rsidR="00F4747A" w:rsidRPr="008B3C30" w:rsidRDefault="00F4747A" w:rsidP="00AD549A">
      <w:pPr>
        <w:shd w:val="clear" w:color="auto" w:fill="FFFFFF"/>
        <w:spacing w:line="278" w:lineRule="exact"/>
        <w:ind w:firstLine="562"/>
        <w:jc w:val="both"/>
        <w:rPr>
          <w:rFonts w:ascii="Times New Roman" w:hAnsi="Times New Roman" w:cs="Times New Roman"/>
          <w:sz w:val="24"/>
          <w:szCs w:val="24"/>
        </w:rPr>
      </w:pPr>
      <w:r w:rsidRPr="008B3C30">
        <w:rPr>
          <w:rFonts w:ascii="Times New Roman" w:hAnsi="Times New Roman" w:cs="Times New Roman"/>
          <w:sz w:val="24"/>
          <w:szCs w:val="24"/>
        </w:rPr>
        <w:t>Едно от основните предимства на FinTech в краткосрочен план е  потенциал</w:t>
      </w:r>
      <w:r w:rsidR="00953D11" w:rsidRPr="008B3C30">
        <w:rPr>
          <w:rFonts w:ascii="Times New Roman" w:hAnsi="Times New Roman" w:cs="Times New Roman"/>
          <w:sz w:val="24"/>
          <w:szCs w:val="24"/>
        </w:rPr>
        <w:t>ът</w:t>
      </w:r>
      <w:r w:rsidRPr="008B3C30">
        <w:rPr>
          <w:rFonts w:ascii="Times New Roman" w:hAnsi="Times New Roman" w:cs="Times New Roman"/>
          <w:sz w:val="24"/>
          <w:szCs w:val="24"/>
        </w:rPr>
        <w:t xml:space="preserve"> за улесняване на </w:t>
      </w:r>
      <w:proofErr w:type="spellStart"/>
      <w:r w:rsidR="002E0154" w:rsidRPr="008B3C30">
        <w:rPr>
          <w:rFonts w:ascii="Times New Roman" w:hAnsi="Times New Roman" w:cs="Times New Roman"/>
          <w:sz w:val="24"/>
          <w:szCs w:val="24"/>
        </w:rPr>
        <w:t>online</w:t>
      </w:r>
      <w:proofErr w:type="spellEnd"/>
      <w:r w:rsidRPr="008B3C30">
        <w:rPr>
          <w:rFonts w:ascii="Times New Roman" w:hAnsi="Times New Roman" w:cs="Times New Roman"/>
          <w:sz w:val="24"/>
          <w:szCs w:val="24"/>
        </w:rPr>
        <w:t xml:space="preserve"> връзките с потребителите. Предоставянето на възможност на дружествата да установят напълно дигитални връзки с крайния потребител е от ключово значение за изграждането на единен пазар за финансовите услуги на дребно, което бе потвърдено от лидерите на големи европейски банки през ноември 2016 г. на кръгла маса, организирана от </w:t>
      </w:r>
      <w:r w:rsidR="002E0154" w:rsidRPr="008B3C30">
        <w:rPr>
          <w:rFonts w:ascii="Times New Roman" w:hAnsi="Times New Roman" w:cs="Times New Roman"/>
          <w:sz w:val="24"/>
          <w:szCs w:val="24"/>
        </w:rPr>
        <w:t xml:space="preserve">Европейската </w:t>
      </w:r>
      <w:r w:rsidRPr="008B3C30">
        <w:rPr>
          <w:rFonts w:ascii="Times New Roman" w:hAnsi="Times New Roman" w:cs="Times New Roman"/>
          <w:sz w:val="24"/>
          <w:szCs w:val="24"/>
        </w:rPr>
        <w:t>Комисия. Трансграничното предоставяне на финансови услуги няма да стартира</w:t>
      </w:r>
      <w:r w:rsidR="002E0154" w:rsidRPr="008B3C30">
        <w:rPr>
          <w:rFonts w:ascii="Times New Roman" w:hAnsi="Times New Roman" w:cs="Times New Roman"/>
          <w:sz w:val="24"/>
          <w:szCs w:val="24"/>
        </w:rPr>
        <w:t xml:space="preserve"> ефективно</w:t>
      </w:r>
      <w:r w:rsidRPr="008B3C30">
        <w:rPr>
          <w:rFonts w:ascii="Times New Roman" w:hAnsi="Times New Roman" w:cs="Times New Roman"/>
          <w:sz w:val="24"/>
          <w:szCs w:val="24"/>
        </w:rPr>
        <w:t>, докато потребителите трябва да се явяват в офисите на доставчиците, за да получат документи на хартиен носител и да подпишат ръчно, сключените от тях договори.</w:t>
      </w:r>
    </w:p>
    <w:p w:rsidR="00AC4F38" w:rsidRPr="008B3C30" w:rsidRDefault="00F4747A" w:rsidP="002E0154">
      <w:pPr>
        <w:ind w:firstLine="562"/>
        <w:jc w:val="both"/>
        <w:rPr>
          <w:rFonts w:ascii="Times New Roman" w:eastAsia="Times New Roman" w:hAnsi="Times New Roman" w:cs="Times New Roman"/>
          <w:sz w:val="24"/>
          <w:szCs w:val="24"/>
        </w:rPr>
      </w:pPr>
      <w:r w:rsidRPr="008B3C30">
        <w:rPr>
          <w:rFonts w:ascii="Times New Roman" w:eastAsia="Times New Roman" w:hAnsi="Times New Roman" w:cs="Times New Roman"/>
          <w:sz w:val="24"/>
          <w:szCs w:val="24"/>
        </w:rPr>
        <w:t xml:space="preserve">Технологичните иновации доведоха до нови видове финансови активи, като например криптоактивите. Тези криптоактиви и технологията на блоковата верига, на която са основани, са обещаващи за бъдещото развитие на финансовите пазари и инфраструктури. Използването им е свързано и с рискове, за които свидетелстват голямата нестабилност на криптоактивите, измамите, както и оперативните слабости и уязвимостта на платформите за обмен на криптоактиви. На равнището на ЕС вече са предприети действия за преодоляване на някои специфични рискове. Заплахите и уязвимостта, свързани с виртуалните валути, изпирането на пари и финансирането на тероризма, бяха поставени в категориите „значими“ и „много значими“ в доклада на Комисията относно оценката на рисковете от изпиране на пари и финансиране на тероризъм. През декември 2017 г. европейските законодатели се договориха да бъде разширено приложното поле на Директивата за борба срещу изпирането на пари, за да включва виртуалните платформи за обмен на валута и доставчиците на портфейли. Европейските надзорни органи (ЕНО) публикуваха предупреждения относно спекулативната пазарна среда за виртуални валути и други рискове, свързани с криптоактивите. Във всички предупреждения се изтъква фактът, че инвестициите в криптоактиви са с висок риск и инвеститорите могат да понесат значителни загуби поради тяхната нестабилност, както и поради липсата на прозрачност и нарушената цялост на пазара, оперативните слабости и уязвимите звена при услугите, свързани с криптовалутата и местата на търговия. </w:t>
      </w:r>
    </w:p>
    <w:p w:rsidR="00AC4F38" w:rsidRPr="008B3C30" w:rsidRDefault="00AC4F38" w:rsidP="00AC751A">
      <w:pPr>
        <w:ind w:firstLine="562"/>
        <w:jc w:val="both"/>
        <w:rPr>
          <w:rFonts w:ascii="Times New Roman" w:eastAsia="Times New Roman" w:hAnsi="Times New Roman" w:cs="Times New Roman"/>
          <w:sz w:val="24"/>
          <w:szCs w:val="24"/>
        </w:rPr>
      </w:pPr>
    </w:p>
    <w:p w:rsidR="002C711E" w:rsidRPr="008B3C30" w:rsidRDefault="002C711E" w:rsidP="00AD549A">
      <w:pPr>
        <w:pStyle w:val="BodyText"/>
        <w:tabs>
          <w:tab w:val="center" w:pos="4854"/>
        </w:tabs>
        <w:ind w:firstLine="562"/>
        <w:rPr>
          <w:rFonts w:cs="Times New Roman"/>
          <w:sz w:val="24"/>
          <w:szCs w:val="24"/>
        </w:rPr>
      </w:pPr>
    </w:p>
    <w:p w:rsidR="007214E5" w:rsidRPr="008B3C30" w:rsidRDefault="007214E5" w:rsidP="00520236">
      <w:pPr>
        <w:shd w:val="clear" w:color="auto" w:fill="FFFFFF"/>
        <w:tabs>
          <w:tab w:val="left" w:pos="485"/>
          <w:tab w:val="left" w:leader="dot" w:pos="8981"/>
        </w:tabs>
        <w:spacing w:line="274" w:lineRule="exact"/>
        <w:jc w:val="center"/>
        <w:rPr>
          <w:rFonts w:ascii="Times New Roman" w:hAnsi="Times New Roman" w:cs="Times New Roman"/>
          <w:b/>
          <w:spacing w:val="-2"/>
          <w:sz w:val="24"/>
          <w:szCs w:val="24"/>
        </w:rPr>
      </w:pPr>
      <w:r w:rsidRPr="008B3C30">
        <w:rPr>
          <w:rFonts w:ascii="Times New Roman" w:hAnsi="Times New Roman" w:cs="Times New Roman"/>
          <w:b/>
          <w:spacing w:val="-2"/>
          <w:sz w:val="24"/>
          <w:szCs w:val="24"/>
        </w:rPr>
        <w:t>Европейска система за финансов надзор</w:t>
      </w:r>
    </w:p>
    <w:p w:rsidR="007F1D44" w:rsidRPr="008B3C30" w:rsidRDefault="000322A0" w:rsidP="00AD549A">
      <w:pPr>
        <w:shd w:val="clear" w:color="auto" w:fill="FFFFFF"/>
        <w:spacing w:before="269" w:line="274" w:lineRule="exact"/>
        <w:ind w:firstLine="562"/>
        <w:jc w:val="both"/>
        <w:rPr>
          <w:rFonts w:ascii="Times New Roman" w:hAnsi="Times New Roman" w:cs="Times New Roman"/>
          <w:spacing w:val="6"/>
          <w:sz w:val="24"/>
          <w:szCs w:val="24"/>
        </w:rPr>
      </w:pPr>
      <w:r w:rsidRPr="008B3C30">
        <w:rPr>
          <w:rFonts w:ascii="Times New Roman" w:hAnsi="Times New Roman" w:cs="Times New Roman"/>
          <w:spacing w:val="4"/>
          <w:sz w:val="24"/>
          <w:szCs w:val="24"/>
        </w:rPr>
        <w:t xml:space="preserve">Усилията на Европейския съюз в областта на защита на потребителите са насочени към развитие на европейската регулаторната рамка по начин, </w:t>
      </w:r>
      <w:r w:rsidRPr="008B3C30">
        <w:rPr>
          <w:rFonts w:ascii="Times New Roman" w:hAnsi="Times New Roman" w:cs="Times New Roman"/>
          <w:spacing w:val="3"/>
          <w:sz w:val="24"/>
          <w:szCs w:val="24"/>
        </w:rPr>
        <w:t xml:space="preserve">който да е </w:t>
      </w:r>
      <w:r w:rsidR="00863EFA" w:rsidRPr="008B3C30">
        <w:rPr>
          <w:rFonts w:ascii="Times New Roman" w:hAnsi="Times New Roman" w:cs="Times New Roman"/>
          <w:spacing w:val="3"/>
          <w:sz w:val="24"/>
          <w:szCs w:val="24"/>
        </w:rPr>
        <w:t>в крак с</w:t>
      </w:r>
      <w:r w:rsidRPr="008B3C30">
        <w:rPr>
          <w:rFonts w:ascii="Times New Roman" w:hAnsi="Times New Roman" w:cs="Times New Roman"/>
          <w:spacing w:val="3"/>
          <w:sz w:val="24"/>
          <w:szCs w:val="24"/>
        </w:rPr>
        <w:t xml:space="preserve"> </w:t>
      </w:r>
      <w:r w:rsidR="00863EFA" w:rsidRPr="008B3C30">
        <w:rPr>
          <w:rFonts w:ascii="Times New Roman" w:hAnsi="Times New Roman" w:cs="Times New Roman"/>
          <w:spacing w:val="3"/>
          <w:sz w:val="24"/>
          <w:szCs w:val="24"/>
        </w:rPr>
        <w:t xml:space="preserve">предизвикателства пред </w:t>
      </w:r>
      <w:r w:rsidRPr="008B3C30">
        <w:rPr>
          <w:rFonts w:ascii="Times New Roman" w:hAnsi="Times New Roman" w:cs="Times New Roman"/>
          <w:spacing w:val="3"/>
          <w:sz w:val="24"/>
          <w:szCs w:val="24"/>
        </w:rPr>
        <w:t xml:space="preserve">глобалните пазари, и към изграждане на </w:t>
      </w:r>
      <w:r w:rsidRPr="008B3C30">
        <w:rPr>
          <w:rFonts w:ascii="Times New Roman" w:hAnsi="Times New Roman" w:cs="Times New Roman"/>
          <w:spacing w:val="2"/>
          <w:sz w:val="24"/>
          <w:szCs w:val="24"/>
        </w:rPr>
        <w:t>общ и консистентен подход в надзорните практики на европейско ниво</w:t>
      </w:r>
      <w:r w:rsidR="00863EFA" w:rsidRPr="008B3C30">
        <w:rPr>
          <w:rFonts w:ascii="Times New Roman" w:hAnsi="Times New Roman" w:cs="Times New Roman"/>
          <w:spacing w:val="2"/>
          <w:sz w:val="24"/>
          <w:szCs w:val="24"/>
        </w:rPr>
        <w:t>.</w:t>
      </w:r>
    </w:p>
    <w:p w:rsidR="000322A0" w:rsidRPr="008B3C30" w:rsidRDefault="000322A0" w:rsidP="00AD549A">
      <w:pPr>
        <w:shd w:val="clear" w:color="auto" w:fill="FFFFFF"/>
        <w:spacing w:line="274" w:lineRule="exact"/>
        <w:ind w:left="10" w:right="10" w:firstLine="562"/>
        <w:jc w:val="both"/>
        <w:rPr>
          <w:rFonts w:ascii="Times New Roman" w:hAnsi="Times New Roman" w:cs="Times New Roman"/>
          <w:spacing w:val="1"/>
          <w:sz w:val="24"/>
          <w:szCs w:val="24"/>
        </w:rPr>
      </w:pPr>
      <w:r w:rsidRPr="008B3C30">
        <w:rPr>
          <w:rFonts w:ascii="Times New Roman" w:hAnsi="Times New Roman" w:cs="Times New Roman"/>
          <w:spacing w:val="3"/>
          <w:sz w:val="24"/>
          <w:szCs w:val="24"/>
        </w:rPr>
        <w:lastRenderedPageBreak/>
        <w:t xml:space="preserve">ЕК предприе сериозни структурни промени </w:t>
      </w:r>
      <w:r w:rsidR="001F77AF" w:rsidRPr="008B3C30">
        <w:rPr>
          <w:rFonts w:ascii="Times New Roman" w:hAnsi="Times New Roman" w:cs="Times New Roman"/>
          <w:spacing w:val="3"/>
          <w:sz w:val="24"/>
          <w:szCs w:val="24"/>
        </w:rPr>
        <w:t xml:space="preserve">в европейската надзорна структура </w:t>
      </w:r>
      <w:r w:rsidRPr="008B3C30">
        <w:rPr>
          <w:rFonts w:ascii="Times New Roman" w:hAnsi="Times New Roman" w:cs="Times New Roman"/>
          <w:spacing w:val="3"/>
          <w:sz w:val="24"/>
          <w:szCs w:val="24"/>
        </w:rPr>
        <w:t xml:space="preserve">с въвеждането през 2011 г. на нова </w:t>
      </w:r>
      <w:r w:rsidRPr="008B3C30">
        <w:rPr>
          <w:rFonts w:ascii="Times New Roman" w:hAnsi="Times New Roman" w:cs="Times New Roman"/>
          <w:spacing w:val="6"/>
          <w:sz w:val="24"/>
          <w:szCs w:val="24"/>
        </w:rPr>
        <w:t xml:space="preserve">надзорна </w:t>
      </w:r>
      <w:r w:rsidR="00FA63E5" w:rsidRPr="008B3C30">
        <w:rPr>
          <w:rFonts w:ascii="Times New Roman" w:hAnsi="Times New Roman" w:cs="Times New Roman"/>
          <w:spacing w:val="6"/>
          <w:sz w:val="24"/>
          <w:szCs w:val="24"/>
        </w:rPr>
        <w:t>структура</w:t>
      </w:r>
      <w:r w:rsidRPr="008B3C30">
        <w:rPr>
          <w:rFonts w:ascii="Times New Roman" w:hAnsi="Times New Roman" w:cs="Times New Roman"/>
          <w:spacing w:val="6"/>
          <w:sz w:val="24"/>
          <w:szCs w:val="24"/>
        </w:rPr>
        <w:t xml:space="preserve">, включваща и </w:t>
      </w:r>
      <w:r w:rsidRPr="008B3C30">
        <w:rPr>
          <w:rFonts w:ascii="Times New Roman" w:hAnsi="Times New Roman" w:cs="Times New Roman"/>
          <w:spacing w:val="3"/>
          <w:sz w:val="24"/>
          <w:szCs w:val="24"/>
        </w:rPr>
        <w:t>Европейска система за финансов надзор (ESFS)</w:t>
      </w:r>
      <w:r w:rsidR="007B6026" w:rsidRPr="008B3C30">
        <w:rPr>
          <w:rFonts w:ascii="Times New Roman" w:hAnsi="Times New Roman" w:cs="Times New Roman"/>
          <w:spacing w:val="3"/>
          <w:sz w:val="24"/>
          <w:szCs w:val="24"/>
        </w:rPr>
        <w:t xml:space="preserve">, която се </w:t>
      </w:r>
      <w:r w:rsidRPr="008B3C30">
        <w:rPr>
          <w:rFonts w:ascii="Times New Roman" w:hAnsi="Times New Roman" w:cs="Times New Roman"/>
          <w:sz w:val="24"/>
          <w:szCs w:val="24"/>
        </w:rPr>
        <w:t xml:space="preserve">състои от </w:t>
      </w:r>
      <w:r w:rsidR="007B6026" w:rsidRPr="008B3C30">
        <w:rPr>
          <w:rFonts w:ascii="Times New Roman" w:hAnsi="Times New Roman" w:cs="Times New Roman"/>
          <w:spacing w:val="6"/>
          <w:sz w:val="24"/>
          <w:szCs w:val="24"/>
        </w:rPr>
        <w:t>Европейски борд за системен риск (ESRB)</w:t>
      </w:r>
      <w:r w:rsidR="007B6026" w:rsidRPr="008B3C30">
        <w:rPr>
          <w:rFonts w:ascii="Times New Roman" w:hAnsi="Times New Roman" w:cs="Times New Roman"/>
          <w:spacing w:val="1"/>
          <w:sz w:val="24"/>
          <w:szCs w:val="24"/>
        </w:rPr>
        <w:t xml:space="preserve"> и </w:t>
      </w:r>
      <w:r w:rsidRPr="008B3C30">
        <w:rPr>
          <w:rFonts w:ascii="Times New Roman" w:hAnsi="Times New Roman" w:cs="Times New Roman"/>
          <w:sz w:val="24"/>
          <w:szCs w:val="24"/>
        </w:rPr>
        <w:t>три</w:t>
      </w:r>
      <w:r w:rsidR="007B6026" w:rsidRPr="008B3C30">
        <w:rPr>
          <w:rFonts w:ascii="Times New Roman" w:hAnsi="Times New Roman" w:cs="Times New Roman"/>
          <w:sz w:val="24"/>
          <w:szCs w:val="24"/>
        </w:rPr>
        <w:t>те</w:t>
      </w:r>
      <w:r w:rsidRPr="008B3C30">
        <w:rPr>
          <w:rFonts w:ascii="Times New Roman" w:hAnsi="Times New Roman" w:cs="Times New Roman"/>
          <w:sz w:val="24"/>
          <w:szCs w:val="24"/>
        </w:rPr>
        <w:t xml:space="preserve"> европейски надзорни органа </w:t>
      </w:r>
      <w:r w:rsidR="00B43B24" w:rsidRPr="008B3C30">
        <w:rPr>
          <w:rFonts w:ascii="Times New Roman" w:hAnsi="Times New Roman" w:cs="Times New Roman"/>
        </w:rPr>
        <w:t>–</w:t>
      </w:r>
      <w:r w:rsidRPr="008B3C30">
        <w:rPr>
          <w:rFonts w:ascii="Times New Roman" w:hAnsi="Times New Roman" w:cs="Times New Roman"/>
          <w:sz w:val="24"/>
          <w:szCs w:val="24"/>
        </w:rPr>
        <w:t xml:space="preserve"> Европейски орган за ценни книжа </w:t>
      </w:r>
      <w:r w:rsidRPr="008B3C30">
        <w:rPr>
          <w:rFonts w:ascii="Times New Roman" w:hAnsi="Times New Roman" w:cs="Times New Roman"/>
          <w:spacing w:val="2"/>
          <w:sz w:val="24"/>
          <w:szCs w:val="24"/>
        </w:rPr>
        <w:t xml:space="preserve">и пазари (ESMA), Европейски орган за застраховане и професионално пенсионно </w:t>
      </w:r>
      <w:r w:rsidRPr="008B3C30">
        <w:rPr>
          <w:rFonts w:ascii="Times New Roman" w:hAnsi="Times New Roman" w:cs="Times New Roman"/>
          <w:sz w:val="24"/>
          <w:szCs w:val="24"/>
        </w:rPr>
        <w:t>осигуряване (EIOPA), Европейски банков орган (EBA)</w:t>
      </w:r>
      <w:r w:rsidR="007B6026" w:rsidRPr="008B3C30">
        <w:rPr>
          <w:rFonts w:ascii="Times New Roman" w:hAnsi="Times New Roman" w:cs="Times New Roman"/>
          <w:sz w:val="24"/>
          <w:szCs w:val="24"/>
        </w:rPr>
        <w:t>.</w:t>
      </w:r>
      <w:r w:rsidRPr="008B3C30">
        <w:rPr>
          <w:rFonts w:ascii="Times New Roman" w:hAnsi="Times New Roman" w:cs="Times New Roman"/>
          <w:sz w:val="24"/>
          <w:szCs w:val="24"/>
        </w:rPr>
        <w:t xml:space="preserve"> </w:t>
      </w:r>
    </w:p>
    <w:p w:rsidR="000322A0" w:rsidRPr="008B3C30" w:rsidRDefault="000322A0" w:rsidP="00AD549A">
      <w:pPr>
        <w:shd w:val="clear" w:color="auto" w:fill="FFFFFF"/>
        <w:spacing w:line="274" w:lineRule="exact"/>
        <w:ind w:left="10" w:right="10" w:firstLine="562"/>
        <w:jc w:val="both"/>
        <w:rPr>
          <w:rFonts w:ascii="Times New Roman" w:hAnsi="Times New Roman" w:cs="Times New Roman"/>
          <w:spacing w:val="1"/>
          <w:sz w:val="24"/>
          <w:szCs w:val="24"/>
        </w:rPr>
      </w:pPr>
      <w:r w:rsidRPr="008B3C30">
        <w:rPr>
          <w:rFonts w:ascii="Times New Roman" w:hAnsi="Times New Roman" w:cs="Times New Roman"/>
          <w:spacing w:val="10"/>
          <w:sz w:val="24"/>
          <w:szCs w:val="24"/>
        </w:rPr>
        <w:t xml:space="preserve">Сред стратегическите приоритети на ESMA и EIOPA, посочени в чл. 9 от </w:t>
      </w:r>
      <w:r w:rsidR="00FA63E5" w:rsidRPr="008B3C30">
        <w:rPr>
          <w:rFonts w:ascii="Times New Roman" w:hAnsi="Times New Roman" w:cs="Times New Roman"/>
          <w:spacing w:val="5"/>
          <w:sz w:val="24"/>
          <w:szCs w:val="24"/>
        </w:rPr>
        <w:t xml:space="preserve">приложимите </w:t>
      </w:r>
      <w:r w:rsidRPr="008B3C30">
        <w:rPr>
          <w:rFonts w:ascii="Times New Roman" w:hAnsi="Times New Roman" w:cs="Times New Roman"/>
          <w:spacing w:val="5"/>
          <w:sz w:val="24"/>
          <w:szCs w:val="24"/>
        </w:rPr>
        <w:t xml:space="preserve">регламенти, уреждащи учредяването им, е осигуряване на ефективна </w:t>
      </w:r>
      <w:r w:rsidRPr="008B3C30">
        <w:rPr>
          <w:rFonts w:ascii="Times New Roman" w:hAnsi="Times New Roman" w:cs="Times New Roman"/>
          <w:spacing w:val="-1"/>
          <w:sz w:val="24"/>
          <w:szCs w:val="24"/>
        </w:rPr>
        <w:t>защита на потребителите на финансови услуги. За</w:t>
      </w:r>
      <w:r w:rsidRPr="008B3C30">
        <w:rPr>
          <w:rFonts w:ascii="Times New Roman" w:hAnsi="Times New Roman" w:cs="Times New Roman"/>
          <w:spacing w:val="5"/>
          <w:sz w:val="24"/>
          <w:szCs w:val="24"/>
        </w:rPr>
        <w:t xml:space="preserve"> реализация на дейностите</w:t>
      </w:r>
      <w:r w:rsidRPr="008B3C30">
        <w:rPr>
          <w:rFonts w:ascii="Times New Roman" w:hAnsi="Times New Roman" w:cs="Times New Roman"/>
          <w:spacing w:val="1"/>
          <w:sz w:val="24"/>
          <w:szCs w:val="24"/>
        </w:rPr>
        <w:t xml:space="preserve"> са създадени Постоянни комитети със специална насоченост </w:t>
      </w:r>
      <w:r w:rsidR="00B43B24" w:rsidRPr="008B3C30">
        <w:rPr>
          <w:rFonts w:ascii="Times New Roman" w:hAnsi="Times New Roman" w:cs="Times New Roman"/>
        </w:rPr>
        <w:t>–</w:t>
      </w:r>
      <w:r w:rsidRPr="008B3C30">
        <w:rPr>
          <w:rFonts w:ascii="Times New Roman" w:hAnsi="Times New Roman" w:cs="Times New Roman"/>
          <w:spacing w:val="1"/>
          <w:sz w:val="24"/>
          <w:szCs w:val="24"/>
        </w:rPr>
        <w:t xml:space="preserve"> защита на потребителите.</w:t>
      </w:r>
    </w:p>
    <w:p w:rsidR="00435C7B" w:rsidRPr="008B3C30" w:rsidRDefault="00435C7B" w:rsidP="00435C7B">
      <w:pPr>
        <w:shd w:val="clear" w:color="auto" w:fill="FFFFFF"/>
        <w:spacing w:line="274" w:lineRule="exact"/>
        <w:ind w:left="10" w:right="10" w:firstLine="562"/>
        <w:jc w:val="both"/>
        <w:rPr>
          <w:rFonts w:ascii="Times New Roman" w:hAnsi="Times New Roman" w:cs="Times New Roman"/>
          <w:spacing w:val="1"/>
          <w:sz w:val="24"/>
          <w:szCs w:val="24"/>
        </w:rPr>
      </w:pPr>
      <w:r w:rsidRPr="008B3C30">
        <w:rPr>
          <w:rFonts w:ascii="Times New Roman" w:hAnsi="Times New Roman" w:cs="Times New Roman"/>
          <w:spacing w:val="1"/>
          <w:sz w:val="24"/>
          <w:szCs w:val="24"/>
        </w:rPr>
        <w:t>Съгласно учредителния регламент на ESMA</w:t>
      </w:r>
      <w:r w:rsidR="009F5012" w:rsidRPr="008B3C30">
        <w:rPr>
          <w:rFonts w:ascii="Times New Roman" w:hAnsi="Times New Roman" w:cs="Times New Roman"/>
          <w:spacing w:val="1"/>
          <w:sz w:val="24"/>
          <w:szCs w:val="24"/>
        </w:rPr>
        <w:t>,</w:t>
      </w:r>
      <w:r w:rsidRPr="008B3C30">
        <w:rPr>
          <w:rFonts w:ascii="Times New Roman" w:hAnsi="Times New Roman" w:cs="Times New Roman"/>
          <w:spacing w:val="1"/>
          <w:sz w:val="24"/>
          <w:szCs w:val="24"/>
        </w:rPr>
        <w:t xml:space="preserve"> ролята на европейския надзорен орган по отношение на финансовата грамотност се състои в проучване и координиране на инициативите за финансово образование, осъществявани от съответните национални компетентни надзорни органи.</w:t>
      </w:r>
    </w:p>
    <w:p w:rsidR="00435C7B" w:rsidRPr="008B3C30" w:rsidRDefault="00435C7B" w:rsidP="00435C7B">
      <w:pPr>
        <w:shd w:val="clear" w:color="auto" w:fill="FFFFFF"/>
        <w:spacing w:line="274" w:lineRule="exact"/>
        <w:ind w:left="10" w:right="10" w:firstLine="562"/>
        <w:jc w:val="both"/>
        <w:rPr>
          <w:rFonts w:ascii="Times New Roman" w:hAnsi="Times New Roman" w:cs="Times New Roman"/>
          <w:spacing w:val="1"/>
          <w:sz w:val="24"/>
          <w:szCs w:val="24"/>
        </w:rPr>
      </w:pPr>
      <w:r w:rsidRPr="008B3C30">
        <w:rPr>
          <w:rFonts w:ascii="Times New Roman" w:hAnsi="Times New Roman" w:cs="Times New Roman"/>
          <w:spacing w:val="1"/>
          <w:sz w:val="24"/>
          <w:szCs w:val="24"/>
        </w:rPr>
        <w:t>Тази роля трябва да бъде разгледана в по-широкия контекст на законовите цели на ESMA, сред които защита</w:t>
      </w:r>
      <w:r w:rsidR="00C06340" w:rsidRPr="008B3C30">
        <w:rPr>
          <w:rFonts w:ascii="Times New Roman" w:hAnsi="Times New Roman" w:cs="Times New Roman"/>
          <w:spacing w:val="1"/>
          <w:sz w:val="24"/>
          <w:szCs w:val="24"/>
        </w:rPr>
        <w:t>та</w:t>
      </w:r>
      <w:r w:rsidRPr="008B3C30">
        <w:rPr>
          <w:rFonts w:ascii="Times New Roman" w:hAnsi="Times New Roman" w:cs="Times New Roman"/>
          <w:spacing w:val="1"/>
          <w:sz w:val="24"/>
          <w:szCs w:val="24"/>
        </w:rPr>
        <w:t xml:space="preserve"> на инвеститорите играе ключова роля.</w:t>
      </w:r>
    </w:p>
    <w:p w:rsidR="00435C7B" w:rsidRPr="008B3C30" w:rsidRDefault="00435C7B" w:rsidP="00435C7B">
      <w:pPr>
        <w:shd w:val="clear" w:color="auto" w:fill="FFFFFF"/>
        <w:spacing w:line="274" w:lineRule="exact"/>
        <w:ind w:left="10" w:right="10" w:firstLine="562"/>
        <w:jc w:val="both"/>
        <w:rPr>
          <w:rFonts w:ascii="Times New Roman" w:hAnsi="Times New Roman" w:cs="Times New Roman"/>
          <w:spacing w:val="1"/>
          <w:sz w:val="24"/>
          <w:szCs w:val="24"/>
        </w:rPr>
      </w:pPr>
      <w:r w:rsidRPr="008B3C30">
        <w:rPr>
          <w:rFonts w:ascii="Times New Roman" w:hAnsi="Times New Roman" w:cs="Times New Roman"/>
          <w:spacing w:val="1"/>
          <w:sz w:val="24"/>
          <w:szCs w:val="24"/>
        </w:rPr>
        <w:t>Въз основа на този обхват на действие, ESMA се фокусира основно върху два аспекта:</w:t>
      </w:r>
    </w:p>
    <w:p w:rsidR="00435C7B" w:rsidRPr="008B3C30" w:rsidRDefault="00C06340" w:rsidP="008212B7">
      <w:pPr>
        <w:numPr>
          <w:ilvl w:val="0"/>
          <w:numId w:val="23"/>
        </w:numPr>
        <w:shd w:val="clear" w:color="auto" w:fill="FFFFFF"/>
        <w:spacing w:line="274" w:lineRule="exact"/>
        <w:ind w:right="10"/>
        <w:jc w:val="both"/>
        <w:rPr>
          <w:rFonts w:ascii="Times New Roman" w:hAnsi="Times New Roman" w:cs="Times New Roman"/>
          <w:spacing w:val="1"/>
          <w:sz w:val="24"/>
          <w:szCs w:val="24"/>
        </w:rPr>
      </w:pPr>
      <w:r w:rsidRPr="008B3C30">
        <w:rPr>
          <w:rFonts w:ascii="Times New Roman" w:hAnsi="Times New Roman" w:cs="Times New Roman"/>
          <w:spacing w:val="1"/>
          <w:sz w:val="24"/>
          <w:szCs w:val="24"/>
        </w:rPr>
        <w:t>а</w:t>
      </w:r>
      <w:r w:rsidR="00435C7B" w:rsidRPr="008B3C30">
        <w:rPr>
          <w:rFonts w:ascii="Times New Roman" w:hAnsi="Times New Roman" w:cs="Times New Roman"/>
          <w:spacing w:val="1"/>
          <w:sz w:val="24"/>
          <w:szCs w:val="24"/>
        </w:rPr>
        <w:t>ктивно насърчаване на националните компетентни органи в провеждане на политики и инициативи за подобряване на финансова</w:t>
      </w:r>
      <w:r w:rsidRPr="008B3C30">
        <w:rPr>
          <w:rFonts w:ascii="Times New Roman" w:hAnsi="Times New Roman" w:cs="Times New Roman"/>
          <w:spacing w:val="1"/>
          <w:sz w:val="24"/>
          <w:szCs w:val="24"/>
        </w:rPr>
        <w:t>та</w:t>
      </w:r>
      <w:r w:rsidR="00435C7B" w:rsidRPr="008B3C30">
        <w:rPr>
          <w:rFonts w:ascii="Times New Roman" w:hAnsi="Times New Roman" w:cs="Times New Roman"/>
          <w:spacing w:val="1"/>
          <w:sz w:val="24"/>
          <w:szCs w:val="24"/>
        </w:rPr>
        <w:t xml:space="preserve"> грамотност на гражданите, включително осигуряване на обратна връзка и споделяне на опита и резултатите от тях;</w:t>
      </w:r>
    </w:p>
    <w:p w:rsidR="00435C7B" w:rsidRPr="008B3C30" w:rsidRDefault="00C06340" w:rsidP="008212B7">
      <w:pPr>
        <w:numPr>
          <w:ilvl w:val="0"/>
          <w:numId w:val="23"/>
        </w:numPr>
        <w:shd w:val="clear" w:color="auto" w:fill="FFFFFF"/>
        <w:spacing w:line="274" w:lineRule="exact"/>
        <w:ind w:right="10"/>
        <w:jc w:val="both"/>
        <w:rPr>
          <w:rFonts w:ascii="Times New Roman" w:hAnsi="Times New Roman" w:cs="Times New Roman"/>
          <w:spacing w:val="1"/>
          <w:sz w:val="24"/>
          <w:szCs w:val="24"/>
        </w:rPr>
      </w:pPr>
      <w:r w:rsidRPr="008B3C30">
        <w:rPr>
          <w:rFonts w:ascii="Times New Roman" w:hAnsi="Times New Roman" w:cs="Times New Roman"/>
          <w:spacing w:val="1"/>
          <w:sz w:val="24"/>
          <w:szCs w:val="24"/>
        </w:rPr>
        <w:t>п</w:t>
      </w:r>
      <w:r w:rsidR="00435C7B" w:rsidRPr="008B3C30">
        <w:rPr>
          <w:rFonts w:ascii="Times New Roman" w:hAnsi="Times New Roman" w:cs="Times New Roman"/>
          <w:spacing w:val="1"/>
          <w:sz w:val="24"/>
          <w:szCs w:val="24"/>
        </w:rPr>
        <w:t>риоритизиране на действията, насочени към постигане защита на инвеститорите</w:t>
      </w:r>
      <w:r w:rsidR="00435C7B" w:rsidRPr="008B3C30">
        <w:rPr>
          <w:rFonts w:ascii="Times New Roman" w:hAnsi="Times New Roman" w:cs="Times New Roman"/>
          <w:spacing w:val="1"/>
          <w:sz w:val="24"/>
          <w:szCs w:val="24"/>
          <w:lang w:val="en-US"/>
        </w:rPr>
        <w:t>.</w:t>
      </w:r>
    </w:p>
    <w:p w:rsidR="00435C7B" w:rsidRPr="008B3C30" w:rsidRDefault="00435C7B" w:rsidP="00435C7B">
      <w:pPr>
        <w:shd w:val="clear" w:color="auto" w:fill="FFFFFF"/>
        <w:spacing w:line="274" w:lineRule="exact"/>
        <w:ind w:left="10" w:right="10" w:firstLine="562"/>
        <w:jc w:val="both"/>
        <w:rPr>
          <w:rFonts w:ascii="Times New Roman" w:hAnsi="Times New Roman" w:cs="Times New Roman"/>
          <w:spacing w:val="1"/>
          <w:sz w:val="24"/>
          <w:szCs w:val="24"/>
        </w:rPr>
      </w:pPr>
      <w:r w:rsidRPr="008B3C30">
        <w:rPr>
          <w:rFonts w:ascii="Times New Roman" w:hAnsi="Times New Roman" w:cs="Times New Roman"/>
          <w:spacing w:val="1"/>
          <w:sz w:val="24"/>
          <w:szCs w:val="24"/>
        </w:rPr>
        <w:t>Съгласно член 9, параграф 1, буква б) от учредителния регламент на EIOPA</w:t>
      </w:r>
      <w:r w:rsidR="00C06340" w:rsidRPr="008B3C30">
        <w:rPr>
          <w:rFonts w:ascii="Times New Roman" w:hAnsi="Times New Roman" w:cs="Times New Roman"/>
          <w:spacing w:val="1"/>
          <w:sz w:val="24"/>
          <w:szCs w:val="24"/>
        </w:rPr>
        <w:t>,</w:t>
      </w:r>
      <w:r w:rsidRPr="008B3C30">
        <w:rPr>
          <w:rFonts w:ascii="Times New Roman" w:hAnsi="Times New Roman" w:cs="Times New Roman"/>
          <w:spacing w:val="1"/>
          <w:sz w:val="24"/>
          <w:szCs w:val="24"/>
        </w:rPr>
        <w:t xml:space="preserve"> органът има водеща роля за насърчаване на прозрачността, опростеността и справедливостта на пазара на потребителски финансови продукти или услуги на вътрешния пазар, включително чрез преразглеждане и координиране на инициативите за финансова грамотност и образование от компетентните органи. </w:t>
      </w:r>
    </w:p>
    <w:p w:rsidR="00435C7B" w:rsidRPr="008B3C30" w:rsidRDefault="00435C7B" w:rsidP="00435C7B">
      <w:pPr>
        <w:shd w:val="clear" w:color="auto" w:fill="FFFFFF"/>
        <w:spacing w:line="274" w:lineRule="exact"/>
        <w:ind w:left="10" w:right="10" w:firstLine="562"/>
        <w:jc w:val="both"/>
        <w:rPr>
          <w:rFonts w:ascii="Times New Roman" w:hAnsi="Times New Roman" w:cs="Times New Roman"/>
          <w:spacing w:val="1"/>
          <w:sz w:val="24"/>
          <w:szCs w:val="24"/>
        </w:rPr>
      </w:pPr>
      <w:r w:rsidRPr="008B3C30">
        <w:rPr>
          <w:rFonts w:ascii="Times New Roman" w:hAnsi="Times New Roman" w:cs="Times New Roman"/>
          <w:spacing w:val="1"/>
          <w:sz w:val="24"/>
          <w:szCs w:val="24"/>
        </w:rPr>
        <w:t>Във връзка с това, EIOPA публикува доклад за финансовата грамотност и образователните инициативи на компетентните органи, който следва да бъде периодично допълван. В него ще бъдат разглеждани националните стратегии, както и вътрешното и международното сътрудничество в областта на финансовата грамотност и образование. Бъдещата работа по тази тема се предвижда да бъде осъществена в сътрудничество с другите европейски надзорни органи, тъй като въпросът за финансовата грамотност и образование е значим във всички финансови сектори.</w:t>
      </w:r>
    </w:p>
    <w:p w:rsidR="000322A0" w:rsidRPr="008B3C30" w:rsidRDefault="000322A0" w:rsidP="00AD549A">
      <w:pPr>
        <w:shd w:val="clear" w:color="auto" w:fill="FFFFFF"/>
        <w:spacing w:line="274" w:lineRule="exact"/>
        <w:ind w:firstLine="562"/>
        <w:jc w:val="both"/>
        <w:rPr>
          <w:rFonts w:ascii="Times New Roman" w:hAnsi="Times New Roman" w:cs="Times New Roman"/>
          <w:spacing w:val="5"/>
          <w:sz w:val="24"/>
          <w:szCs w:val="24"/>
        </w:rPr>
      </w:pPr>
      <w:r w:rsidRPr="008B3C30">
        <w:rPr>
          <w:rFonts w:ascii="Times New Roman" w:hAnsi="Times New Roman" w:cs="Times New Roman"/>
          <w:spacing w:val="5"/>
          <w:sz w:val="24"/>
          <w:szCs w:val="24"/>
        </w:rPr>
        <w:t xml:space="preserve">В двата органа, в които КФН е член </w:t>
      </w:r>
      <w:r w:rsidR="00B43B24" w:rsidRPr="008B3C30">
        <w:rPr>
          <w:rFonts w:ascii="Times New Roman" w:hAnsi="Times New Roman" w:cs="Times New Roman"/>
        </w:rPr>
        <w:t>–</w:t>
      </w:r>
      <w:r w:rsidRPr="008B3C30">
        <w:rPr>
          <w:rFonts w:ascii="Times New Roman" w:hAnsi="Times New Roman" w:cs="Times New Roman"/>
          <w:spacing w:val="5"/>
          <w:sz w:val="24"/>
          <w:szCs w:val="24"/>
        </w:rPr>
        <w:t xml:space="preserve"> </w:t>
      </w:r>
      <w:r w:rsidRPr="008B3C30">
        <w:rPr>
          <w:rFonts w:ascii="Times New Roman" w:hAnsi="Times New Roman" w:cs="Times New Roman"/>
          <w:spacing w:val="10"/>
          <w:sz w:val="24"/>
          <w:szCs w:val="24"/>
        </w:rPr>
        <w:t>ESMA и EIOPA</w:t>
      </w:r>
      <w:r w:rsidRPr="008B3C30">
        <w:rPr>
          <w:rFonts w:ascii="Times New Roman" w:hAnsi="Times New Roman" w:cs="Times New Roman"/>
          <w:spacing w:val="5"/>
          <w:sz w:val="24"/>
          <w:szCs w:val="24"/>
        </w:rPr>
        <w:t xml:space="preserve"> са създадени </w:t>
      </w:r>
      <w:r w:rsidR="00B43B24" w:rsidRPr="008B3C30">
        <w:rPr>
          <w:rFonts w:ascii="Times New Roman" w:hAnsi="Times New Roman" w:cs="Times New Roman"/>
          <w:spacing w:val="5"/>
          <w:sz w:val="24"/>
          <w:szCs w:val="24"/>
        </w:rPr>
        <w:t xml:space="preserve">следните </w:t>
      </w:r>
      <w:r w:rsidRPr="008B3C30">
        <w:rPr>
          <w:rFonts w:ascii="Times New Roman" w:hAnsi="Times New Roman" w:cs="Times New Roman"/>
          <w:spacing w:val="5"/>
          <w:sz w:val="24"/>
          <w:szCs w:val="24"/>
        </w:rPr>
        <w:t>комитети</w:t>
      </w:r>
      <w:r w:rsidR="00B43B24" w:rsidRPr="008B3C30">
        <w:rPr>
          <w:rFonts w:ascii="Times New Roman" w:hAnsi="Times New Roman" w:cs="Times New Roman"/>
          <w:spacing w:val="5"/>
          <w:sz w:val="24"/>
          <w:szCs w:val="24"/>
        </w:rPr>
        <w:t>:</w:t>
      </w:r>
      <w:r w:rsidRPr="008B3C30">
        <w:rPr>
          <w:rFonts w:ascii="Times New Roman" w:hAnsi="Times New Roman" w:cs="Times New Roman"/>
          <w:spacing w:val="5"/>
          <w:sz w:val="24"/>
          <w:szCs w:val="24"/>
        </w:rPr>
        <w:t xml:space="preserve"> </w:t>
      </w:r>
      <w:r w:rsidRPr="008B3C30">
        <w:rPr>
          <w:rFonts w:ascii="Times New Roman" w:hAnsi="Times New Roman" w:cs="Times New Roman"/>
          <w:spacing w:val="-1"/>
          <w:sz w:val="24"/>
          <w:szCs w:val="24"/>
        </w:rPr>
        <w:t xml:space="preserve">Комитет по защита на потребителите и инвестиционни посредници, Комитет по финансовите иновации към </w:t>
      </w:r>
      <w:r w:rsidRPr="008B3C30">
        <w:rPr>
          <w:rFonts w:ascii="Times New Roman" w:hAnsi="Times New Roman" w:cs="Times New Roman"/>
          <w:spacing w:val="5"/>
          <w:sz w:val="24"/>
          <w:szCs w:val="24"/>
        </w:rPr>
        <w:t>ESMA</w:t>
      </w:r>
      <w:r w:rsidRPr="008B3C30">
        <w:rPr>
          <w:rFonts w:ascii="Times New Roman" w:hAnsi="Times New Roman" w:cs="Times New Roman"/>
          <w:spacing w:val="-1"/>
          <w:sz w:val="24"/>
          <w:szCs w:val="24"/>
        </w:rPr>
        <w:t xml:space="preserve"> и Комитет по защита на потребителите и финансови иновации</w:t>
      </w:r>
      <w:r w:rsidR="00B43B24" w:rsidRPr="008B3C30">
        <w:rPr>
          <w:rFonts w:ascii="Times New Roman" w:hAnsi="Times New Roman" w:cs="Times New Roman"/>
          <w:spacing w:val="-1"/>
          <w:sz w:val="24"/>
          <w:szCs w:val="24"/>
        </w:rPr>
        <w:t xml:space="preserve"> и</w:t>
      </w:r>
      <w:r w:rsidRPr="008B3C30">
        <w:rPr>
          <w:rFonts w:ascii="Times New Roman" w:hAnsi="Times New Roman" w:cs="Times New Roman"/>
          <w:spacing w:val="-1"/>
          <w:sz w:val="24"/>
          <w:szCs w:val="24"/>
        </w:rPr>
        <w:t xml:space="preserve"> Комитет </w:t>
      </w:r>
      <w:proofErr w:type="spellStart"/>
      <w:r w:rsidRPr="008B3C30">
        <w:rPr>
          <w:rFonts w:ascii="Times New Roman" w:hAnsi="Times New Roman" w:cs="Times New Roman"/>
          <w:spacing w:val="-1"/>
          <w:sz w:val="24"/>
          <w:szCs w:val="24"/>
        </w:rPr>
        <w:t>Insurtech</w:t>
      </w:r>
      <w:proofErr w:type="spellEnd"/>
      <w:r w:rsidRPr="008B3C30">
        <w:rPr>
          <w:rFonts w:ascii="Times New Roman" w:hAnsi="Times New Roman" w:cs="Times New Roman"/>
          <w:spacing w:val="-1"/>
          <w:sz w:val="24"/>
          <w:szCs w:val="24"/>
        </w:rPr>
        <w:t xml:space="preserve"> </w:t>
      </w:r>
      <w:r w:rsidRPr="008B3C30">
        <w:rPr>
          <w:rFonts w:ascii="Times New Roman" w:hAnsi="Times New Roman" w:cs="Times New Roman"/>
          <w:spacing w:val="5"/>
          <w:sz w:val="24"/>
          <w:szCs w:val="24"/>
        </w:rPr>
        <w:t xml:space="preserve">към </w:t>
      </w:r>
      <w:r w:rsidRPr="008B3C30">
        <w:rPr>
          <w:rFonts w:ascii="Times New Roman" w:hAnsi="Times New Roman" w:cs="Times New Roman"/>
          <w:spacing w:val="10"/>
          <w:sz w:val="24"/>
          <w:szCs w:val="24"/>
        </w:rPr>
        <w:t>EIOPA</w:t>
      </w:r>
      <w:r w:rsidRPr="008B3C30">
        <w:rPr>
          <w:rFonts w:ascii="Times New Roman" w:hAnsi="Times New Roman" w:cs="Times New Roman"/>
          <w:spacing w:val="5"/>
          <w:sz w:val="24"/>
          <w:szCs w:val="24"/>
        </w:rPr>
        <w:t xml:space="preserve">. </w:t>
      </w:r>
    </w:p>
    <w:p w:rsidR="000322A0" w:rsidRPr="008B3C30" w:rsidRDefault="000322A0" w:rsidP="00AD549A">
      <w:pPr>
        <w:shd w:val="clear" w:color="auto" w:fill="FFFFFF"/>
        <w:spacing w:line="274" w:lineRule="exact"/>
        <w:ind w:firstLine="562"/>
        <w:jc w:val="both"/>
        <w:rPr>
          <w:rFonts w:ascii="Times New Roman" w:hAnsi="Times New Roman" w:cs="Times New Roman"/>
          <w:sz w:val="24"/>
          <w:szCs w:val="24"/>
        </w:rPr>
      </w:pPr>
      <w:r w:rsidRPr="008B3C30">
        <w:rPr>
          <w:rFonts w:ascii="Times New Roman" w:hAnsi="Times New Roman" w:cs="Times New Roman"/>
          <w:spacing w:val="5"/>
          <w:sz w:val="24"/>
          <w:szCs w:val="24"/>
        </w:rPr>
        <w:t xml:space="preserve">Към ЕВА има създаден </w:t>
      </w:r>
      <w:r w:rsidR="003D7B34" w:rsidRPr="008B3C30">
        <w:rPr>
          <w:rFonts w:ascii="Times New Roman" w:hAnsi="Times New Roman" w:cs="Times New Roman"/>
          <w:spacing w:val="5"/>
          <w:sz w:val="24"/>
          <w:szCs w:val="24"/>
        </w:rPr>
        <w:t>к</w:t>
      </w:r>
      <w:r w:rsidR="002E0154" w:rsidRPr="008B3C30">
        <w:rPr>
          <w:rFonts w:ascii="Times New Roman" w:hAnsi="Times New Roman" w:cs="Times New Roman"/>
          <w:spacing w:val="5"/>
          <w:sz w:val="24"/>
          <w:szCs w:val="24"/>
        </w:rPr>
        <w:t>омитет</w:t>
      </w:r>
      <w:r w:rsidRPr="008B3C30">
        <w:rPr>
          <w:rFonts w:ascii="Times New Roman" w:hAnsi="Times New Roman" w:cs="Times New Roman"/>
          <w:spacing w:val="5"/>
          <w:sz w:val="24"/>
          <w:szCs w:val="24"/>
        </w:rPr>
        <w:t xml:space="preserve"> с аналогични </w:t>
      </w:r>
      <w:r w:rsidRPr="008B3C30">
        <w:rPr>
          <w:rFonts w:ascii="Times New Roman" w:hAnsi="Times New Roman" w:cs="Times New Roman"/>
          <w:sz w:val="24"/>
          <w:szCs w:val="24"/>
        </w:rPr>
        <w:t>функции</w:t>
      </w:r>
      <w:r w:rsidR="003D7B34" w:rsidRPr="008B3C30">
        <w:rPr>
          <w:rFonts w:ascii="Times New Roman" w:hAnsi="Times New Roman" w:cs="Times New Roman"/>
          <w:sz w:val="24"/>
          <w:szCs w:val="24"/>
        </w:rPr>
        <w:t xml:space="preserve"> </w:t>
      </w:r>
      <w:r w:rsidR="006F48FB" w:rsidRPr="008B3C30">
        <w:rPr>
          <w:rFonts w:ascii="Times New Roman" w:hAnsi="Times New Roman" w:cs="Times New Roman"/>
        </w:rPr>
        <w:t>–</w:t>
      </w:r>
      <w:r w:rsidRPr="008B3C30">
        <w:rPr>
          <w:rFonts w:ascii="Times New Roman" w:hAnsi="Times New Roman" w:cs="Times New Roman"/>
          <w:sz w:val="24"/>
          <w:szCs w:val="24"/>
        </w:rPr>
        <w:t xml:space="preserve"> Комитет по финансовите иновации. И трите надзорни органа имат задължение да наблюдават финансовите иновации.</w:t>
      </w:r>
    </w:p>
    <w:p w:rsidR="000322A0" w:rsidRPr="008B3C30" w:rsidRDefault="007B6026" w:rsidP="00AD549A">
      <w:pPr>
        <w:widowControl/>
        <w:autoSpaceDE/>
        <w:autoSpaceDN/>
        <w:adjustRightInd/>
        <w:ind w:firstLine="562"/>
        <w:jc w:val="both"/>
        <w:rPr>
          <w:rFonts w:ascii="Times New Roman" w:eastAsia="Times New Roman" w:hAnsi="Times New Roman" w:cs="Times New Roman"/>
          <w:sz w:val="24"/>
          <w:szCs w:val="24"/>
        </w:rPr>
      </w:pPr>
      <w:r w:rsidRPr="008B3C30">
        <w:rPr>
          <w:rFonts w:ascii="Times New Roman" w:eastAsia="Times New Roman" w:hAnsi="Times New Roman" w:cs="Times New Roman"/>
          <w:sz w:val="24"/>
          <w:szCs w:val="24"/>
        </w:rPr>
        <w:t>Трите ЕНО</w:t>
      </w:r>
      <w:r w:rsidR="002E0154" w:rsidRPr="008B3C30">
        <w:rPr>
          <w:rFonts w:ascii="Times New Roman" w:eastAsia="Times New Roman" w:hAnsi="Times New Roman" w:cs="Times New Roman"/>
          <w:sz w:val="24"/>
          <w:szCs w:val="24"/>
        </w:rPr>
        <w:t>, съгласно учредителните им регламенти</w:t>
      </w:r>
      <w:r w:rsidR="007F1D44" w:rsidRPr="008B3C30">
        <w:rPr>
          <w:rFonts w:ascii="Times New Roman" w:eastAsia="Times New Roman" w:hAnsi="Times New Roman" w:cs="Times New Roman"/>
          <w:sz w:val="24"/>
          <w:szCs w:val="24"/>
        </w:rPr>
        <w:t xml:space="preserve"> играят в</w:t>
      </w:r>
      <w:r w:rsidR="000322A0" w:rsidRPr="008B3C30">
        <w:rPr>
          <w:rFonts w:ascii="Times New Roman" w:eastAsia="Times New Roman" w:hAnsi="Times New Roman" w:cs="Times New Roman"/>
          <w:sz w:val="24"/>
          <w:szCs w:val="24"/>
        </w:rPr>
        <w:t>одеща роля в насърчаването на прозрачността, яснотата и справедливите условия на пазара на потребителски финансови продукти или услуги в рамките на вътрешния пазар, включително чрез:</w:t>
      </w:r>
    </w:p>
    <w:p w:rsidR="00B045C5" w:rsidRPr="008B3C30" w:rsidRDefault="00B045C5" w:rsidP="00B045C5">
      <w:pPr>
        <w:widowControl/>
        <w:autoSpaceDE/>
        <w:autoSpaceDN/>
        <w:adjustRightInd/>
        <w:ind w:firstLine="562"/>
        <w:jc w:val="both"/>
        <w:rPr>
          <w:rFonts w:ascii="Times New Roman" w:eastAsia="Times New Roman" w:hAnsi="Times New Roman" w:cs="Times New Roman"/>
          <w:sz w:val="24"/>
          <w:szCs w:val="24"/>
        </w:rPr>
      </w:pPr>
      <w:r w:rsidRPr="008B3C30">
        <w:rPr>
          <w:rFonts w:ascii="Times New Roman" w:eastAsia="Times New Roman" w:hAnsi="Times New Roman" w:cs="Times New Roman"/>
          <w:sz w:val="24"/>
          <w:szCs w:val="24"/>
        </w:rPr>
        <w:t>а)  събиране и анализ на данни и изготвяне на доклади относно потребителските тенденции;</w:t>
      </w:r>
    </w:p>
    <w:p w:rsidR="00B045C5" w:rsidRPr="008B3C30" w:rsidRDefault="00B045C5" w:rsidP="00AD549A">
      <w:pPr>
        <w:widowControl/>
        <w:autoSpaceDE/>
        <w:autoSpaceDN/>
        <w:adjustRightInd/>
        <w:ind w:firstLine="562"/>
        <w:jc w:val="both"/>
        <w:rPr>
          <w:rFonts w:ascii="Times New Roman" w:eastAsia="Times New Roman" w:hAnsi="Times New Roman" w:cs="Times New Roman"/>
          <w:sz w:val="24"/>
          <w:szCs w:val="24"/>
        </w:rPr>
      </w:pPr>
      <w:r w:rsidRPr="008B3C30">
        <w:rPr>
          <w:rFonts w:ascii="Times New Roman" w:eastAsia="Times New Roman" w:hAnsi="Times New Roman" w:cs="Times New Roman"/>
          <w:sz w:val="24"/>
          <w:szCs w:val="24"/>
        </w:rPr>
        <w:lastRenderedPageBreak/>
        <w:t>б) извършване на преглед и координиране на образователни инициативи и инициативи за финансова грамотност на компетентните органи;</w:t>
      </w:r>
    </w:p>
    <w:p w:rsidR="00B045C5" w:rsidRPr="008B3C30" w:rsidRDefault="00B045C5" w:rsidP="00520236">
      <w:pPr>
        <w:widowControl/>
        <w:autoSpaceDE/>
        <w:autoSpaceDN/>
        <w:adjustRightInd/>
        <w:ind w:firstLine="562"/>
        <w:jc w:val="both"/>
        <w:rPr>
          <w:rFonts w:ascii="Times New Roman" w:eastAsia="Times New Roman" w:hAnsi="Times New Roman" w:cs="Times New Roman"/>
          <w:sz w:val="24"/>
          <w:szCs w:val="24"/>
        </w:rPr>
      </w:pPr>
      <w:r w:rsidRPr="008B3C30">
        <w:rPr>
          <w:rFonts w:ascii="Times New Roman" w:eastAsia="Times New Roman" w:hAnsi="Times New Roman" w:cs="Times New Roman"/>
          <w:sz w:val="24"/>
          <w:szCs w:val="24"/>
        </w:rPr>
        <w:t>в)  разработване на стандарти за обучение за сектора</w:t>
      </w:r>
      <w:r w:rsidR="003D7B34" w:rsidRPr="008B3C30">
        <w:rPr>
          <w:rFonts w:ascii="Times New Roman" w:eastAsia="Times New Roman" w:hAnsi="Times New Roman" w:cs="Times New Roman"/>
          <w:sz w:val="24"/>
          <w:szCs w:val="24"/>
        </w:rPr>
        <w:t>,</w:t>
      </w:r>
      <w:r w:rsidRPr="008B3C30">
        <w:rPr>
          <w:rFonts w:ascii="Times New Roman" w:eastAsia="Times New Roman" w:hAnsi="Times New Roman" w:cs="Times New Roman"/>
          <w:sz w:val="24"/>
          <w:szCs w:val="24"/>
        </w:rPr>
        <w:t xml:space="preserve"> както и</w:t>
      </w:r>
    </w:p>
    <w:p w:rsidR="00B045C5" w:rsidRPr="008B3C30" w:rsidRDefault="00B045C5" w:rsidP="00716E3C">
      <w:pPr>
        <w:widowControl/>
        <w:autoSpaceDE/>
        <w:autoSpaceDN/>
        <w:adjustRightInd/>
        <w:ind w:firstLine="562"/>
        <w:jc w:val="both"/>
        <w:rPr>
          <w:rFonts w:ascii="Times New Roman" w:eastAsia="Times New Roman" w:hAnsi="Times New Roman" w:cs="Times New Roman"/>
          <w:sz w:val="24"/>
          <w:szCs w:val="24"/>
        </w:rPr>
      </w:pPr>
      <w:r w:rsidRPr="008B3C30">
        <w:rPr>
          <w:rFonts w:ascii="Times New Roman" w:eastAsia="Times New Roman" w:hAnsi="Times New Roman" w:cs="Times New Roman"/>
          <w:sz w:val="24"/>
          <w:szCs w:val="24"/>
        </w:rPr>
        <w:t>г)  принос към разработването на общи правила за разкриване на информация.</w:t>
      </w:r>
    </w:p>
    <w:p w:rsidR="007214E5" w:rsidRDefault="007214E5" w:rsidP="00AD549A">
      <w:pPr>
        <w:shd w:val="clear" w:color="auto" w:fill="FFFFFF"/>
        <w:tabs>
          <w:tab w:val="left" w:leader="dot" w:pos="8923"/>
        </w:tabs>
        <w:spacing w:line="274" w:lineRule="exact"/>
        <w:ind w:firstLine="562"/>
        <w:jc w:val="both"/>
        <w:rPr>
          <w:rFonts w:ascii="Times New Roman" w:hAnsi="Times New Roman" w:cs="Times New Roman"/>
          <w:b/>
          <w:sz w:val="24"/>
          <w:szCs w:val="24"/>
        </w:rPr>
      </w:pPr>
    </w:p>
    <w:p w:rsidR="00EE1CF3" w:rsidRPr="008B3C30" w:rsidRDefault="00EE1CF3" w:rsidP="00AD549A">
      <w:pPr>
        <w:shd w:val="clear" w:color="auto" w:fill="FFFFFF"/>
        <w:tabs>
          <w:tab w:val="left" w:leader="dot" w:pos="8923"/>
        </w:tabs>
        <w:spacing w:line="274" w:lineRule="exact"/>
        <w:ind w:firstLine="562"/>
        <w:jc w:val="both"/>
        <w:rPr>
          <w:rFonts w:ascii="Times New Roman" w:hAnsi="Times New Roman" w:cs="Times New Roman"/>
          <w:b/>
          <w:sz w:val="24"/>
          <w:szCs w:val="24"/>
        </w:rPr>
      </w:pPr>
    </w:p>
    <w:p w:rsidR="00954012" w:rsidRPr="008B3C30" w:rsidRDefault="00954012" w:rsidP="00AC751A">
      <w:pPr>
        <w:pStyle w:val="BodyText"/>
        <w:tabs>
          <w:tab w:val="center" w:pos="4854"/>
        </w:tabs>
        <w:ind w:firstLine="0"/>
        <w:jc w:val="center"/>
        <w:rPr>
          <w:rFonts w:cs="Times New Roman"/>
          <w:b/>
          <w:sz w:val="24"/>
          <w:szCs w:val="24"/>
        </w:rPr>
      </w:pPr>
      <w:r w:rsidRPr="008B3C30">
        <w:rPr>
          <w:rFonts w:cs="Times New Roman"/>
          <w:b/>
          <w:sz w:val="24"/>
          <w:szCs w:val="24"/>
        </w:rPr>
        <w:t>Предприети действия и мерки от КФН във връзка със защитата на потребителите</w:t>
      </w:r>
    </w:p>
    <w:p w:rsidR="00132EAC" w:rsidRPr="008B3C30" w:rsidRDefault="00132EAC" w:rsidP="00AD549A">
      <w:pPr>
        <w:pStyle w:val="BodyText"/>
        <w:tabs>
          <w:tab w:val="center" w:pos="4854"/>
        </w:tabs>
        <w:ind w:firstLine="562"/>
        <w:rPr>
          <w:rFonts w:cs="Times New Roman"/>
          <w:sz w:val="24"/>
          <w:szCs w:val="24"/>
        </w:rPr>
      </w:pPr>
    </w:p>
    <w:p w:rsidR="00C54457" w:rsidRPr="008B3C30" w:rsidRDefault="00954012" w:rsidP="00520236">
      <w:pPr>
        <w:pStyle w:val="BodyText"/>
        <w:tabs>
          <w:tab w:val="center" w:pos="4854"/>
        </w:tabs>
        <w:ind w:firstLine="562"/>
        <w:rPr>
          <w:rFonts w:cs="Times New Roman"/>
          <w:sz w:val="24"/>
          <w:szCs w:val="24"/>
        </w:rPr>
      </w:pPr>
      <w:r w:rsidRPr="008B3C30">
        <w:rPr>
          <w:rFonts w:cs="Times New Roman"/>
          <w:sz w:val="24"/>
          <w:szCs w:val="24"/>
        </w:rPr>
        <w:t xml:space="preserve">За осигуряване на непрекъснат достъп </w:t>
      </w:r>
      <w:r w:rsidR="007B6026" w:rsidRPr="008B3C30">
        <w:rPr>
          <w:rFonts w:cs="Times New Roman"/>
          <w:sz w:val="24"/>
          <w:szCs w:val="24"/>
        </w:rPr>
        <w:t xml:space="preserve">до </w:t>
      </w:r>
      <w:r w:rsidRPr="008B3C30">
        <w:rPr>
          <w:rFonts w:cs="Times New Roman"/>
          <w:sz w:val="24"/>
          <w:szCs w:val="24"/>
        </w:rPr>
        <w:t>информация на потребителите на финансови продукти</w:t>
      </w:r>
      <w:r w:rsidR="007B6026" w:rsidRPr="008B3C30">
        <w:rPr>
          <w:rFonts w:cs="Times New Roman"/>
          <w:sz w:val="24"/>
          <w:szCs w:val="24"/>
        </w:rPr>
        <w:t xml:space="preserve"> и услуги в небанковия финансов сектор, както и</w:t>
      </w:r>
      <w:r w:rsidRPr="008B3C30">
        <w:rPr>
          <w:rFonts w:cs="Times New Roman"/>
          <w:sz w:val="24"/>
          <w:szCs w:val="24"/>
        </w:rPr>
        <w:t xml:space="preserve"> за поднадзорните </w:t>
      </w:r>
      <w:r w:rsidR="007B6026" w:rsidRPr="008B3C30">
        <w:rPr>
          <w:rFonts w:cs="Times New Roman"/>
          <w:sz w:val="24"/>
          <w:szCs w:val="24"/>
        </w:rPr>
        <w:t xml:space="preserve">на КФН </w:t>
      </w:r>
      <w:r w:rsidRPr="008B3C30">
        <w:rPr>
          <w:rFonts w:cs="Times New Roman"/>
          <w:sz w:val="24"/>
          <w:szCs w:val="24"/>
        </w:rPr>
        <w:t>лица</w:t>
      </w:r>
      <w:r w:rsidR="007B6026" w:rsidRPr="008B3C30">
        <w:rPr>
          <w:rFonts w:cs="Times New Roman"/>
          <w:sz w:val="24"/>
          <w:szCs w:val="24"/>
        </w:rPr>
        <w:t xml:space="preserve"> и извършваната от</w:t>
      </w:r>
      <w:r w:rsidRPr="008B3C30">
        <w:rPr>
          <w:rFonts w:cs="Times New Roman"/>
          <w:sz w:val="24"/>
          <w:szCs w:val="24"/>
        </w:rPr>
        <w:t xml:space="preserve"> тях дейност, като част от преките действия на КФН за защита на потребителите, е поддържането на официалния интернет сайт на институцията </w:t>
      </w:r>
      <w:r w:rsidR="007B6026" w:rsidRPr="008B3C30">
        <w:rPr>
          <w:rFonts w:cs="Times New Roman"/>
          <w:sz w:val="24"/>
          <w:szCs w:val="24"/>
        </w:rPr>
        <w:t xml:space="preserve">с </w:t>
      </w:r>
      <w:r w:rsidRPr="008B3C30">
        <w:rPr>
          <w:rFonts w:cs="Times New Roman"/>
          <w:sz w:val="24"/>
          <w:szCs w:val="24"/>
        </w:rPr>
        <w:t xml:space="preserve">актуална информация за всички поднадзорни на КФН лица, нормативни и административни документи, връзка към електронния регистър на КФН, възможност за справки и др., които дават пълна информация за дейността на участниците от небанковия финансов сектор, дейността на КФН и надзора упражняван спрямо участниците на небанковите финансови пазари. Тези действия на регулатора осигуряват информация на потребителите за взимане от тях на информирани решения. </w:t>
      </w:r>
    </w:p>
    <w:p w:rsidR="00EE678A" w:rsidRPr="008B3C30" w:rsidRDefault="00954012" w:rsidP="00A71E7A">
      <w:pPr>
        <w:pStyle w:val="BodyText"/>
        <w:tabs>
          <w:tab w:val="center" w:pos="4854"/>
        </w:tabs>
        <w:ind w:firstLine="562"/>
        <w:rPr>
          <w:rFonts w:cs="Times New Roman"/>
          <w:sz w:val="24"/>
          <w:szCs w:val="24"/>
        </w:rPr>
      </w:pPr>
      <w:r w:rsidRPr="008B3C30">
        <w:rPr>
          <w:rFonts w:cs="Times New Roman"/>
          <w:sz w:val="24"/>
          <w:szCs w:val="24"/>
        </w:rPr>
        <w:t>Сайтът на КФН (</w:t>
      </w:r>
      <w:hyperlink r:id="rId9" w:history="1">
        <w:r w:rsidRPr="008B3C30">
          <w:rPr>
            <w:rStyle w:val="Hyperlink"/>
            <w:rFonts w:cs="Times New Roman"/>
            <w:color w:val="auto"/>
            <w:sz w:val="24"/>
            <w:szCs w:val="24"/>
          </w:rPr>
          <w:t>www.fsc.bg</w:t>
        </w:r>
      </w:hyperlink>
      <w:r w:rsidRPr="008B3C30">
        <w:rPr>
          <w:rStyle w:val="Hyperlink"/>
          <w:rFonts w:cs="Times New Roman"/>
          <w:color w:val="auto"/>
          <w:sz w:val="24"/>
          <w:szCs w:val="24"/>
        </w:rPr>
        <w:t>)</w:t>
      </w:r>
      <w:r w:rsidRPr="008B3C30">
        <w:rPr>
          <w:rStyle w:val="Hyperlink"/>
          <w:rFonts w:cs="Times New Roman"/>
          <w:color w:val="auto"/>
          <w:sz w:val="24"/>
          <w:szCs w:val="24"/>
          <w:u w:val="none"/>
        </w:rPr>
        <w:t xml:space="preserve"> и</w:t>
      </w:r>
      <w:r w:rsidRPr="008B3C30">
        <w:rPr>
          <w:rFonts w:cs="Times New Roman"/>
          <w:sz w:val="24"/>
          <w:szCs w:val="24"/>
        </w:rPr>
        <w:t>ма важна роля за повишаване информираността на потребителите.</w:t>
      </w:r>
      <w:r w:rsidR="00C54457" w:rsidRPr="008B3C30">
        <w:rPr>
          <w:rFonts w:cs="Times New Roman"/>
          <w:sz w:val="24"/>
          <w:szCs w:val="24"/>
        </w:rPr>
        <w:t xml:space="preserve"> </w:t>
      </w:r>
      <w:r w:rsidR="00EE678A" w:rsidRPr="008B3C30">
        <w:rPr>
          <w:rFonts w:cs="Times New Roman"/>
          <w:sz w:val="24"/>
          <w:szCs w:val="24"/>
        </w:rPr>
        <w:t xml:space="preserve">КФН </w:t>
      </w:r>
      <w:r w:rsidR="00C54457" w:rsidRPr="008B3C30">
        <w:rPr>
          <w:rFonts w:cs="Times New Roman"/>
          <w:sz w:val="24"/>
          <w:szCs w:val="24"/>
        </w:rPr>
        <w:t xml:space="preserve">периодично </w:t>
      </w:r>
      <w:r w:rsidR="00EE678A" w:rsidRPr="008B3C30">
        <w:rPr>
          <w:rFonts w:cs="Times New Roman"/>
          <w:sz w:val="24"/>
          <w:szCs w:val="24"/>
        </w:rPr>
        <w:t>актуализира рубриките си за предоставяне на информация за потребители, поднадзорни лица и всички заинтересовани лица в страната и чужбина.</w:t>
      </w:r>
    </w:p>
    <w:p w:rsidR="00EE678A" w:rsidRPr="008B3C30" w:rsidRDefault="00EE678A">
      <w:pPr>
        <w:ind w:firstLine="562"/>
        <w:jc w:val="both"/>
        <w:rPr>
          <w:rFonts w:ascii="Times New Roman" w:hAnsi="Times New Roman" w:cs="Times New Roman"/>
          <w:sz w:val="24"/>
          <w:szCs w:val="24"/>
        </w:rPr>
      </w:pPr>
      <w:r w:rsidRPr="008B3C30">
        <w:rPr>
          <w:rFonts w:ascii="Times New Roman" w:hAnsi="Times New Roman" w:cs="Times New Roman"/>
          <w:sz w:val="24"/>
          <w:szCs w:val="24"/>
        </w:rPr>
        <w:t>Чрез е-порталите участниците в небанковия финансов сектор своевременно подават изискваната от КФН информация, подписана с електронен подпис. Подробни сведения за дружествата се предоставят чрез публичния регистър, който е достъпен както на интернет страницата в рубриките „Електронен регистър и картотека (</w:t>
      </w:r>
      <w:proofErr w:type="spellStart"/>
      <w:r w:rsidRPr="008B3C30">
        <w:rPr>
          <w:rFonts w:ascii="Times New Roman" w:hAnsi="Times New Roman" w:cs="Times New Roman"/>
          <w:sz w:val="24"/>
          <w:szCs w:val="24"/>
        </w:rPr>
        <w:t>ERiK</w:t>
      </w:r>
      <w:proofErr w:type="spellEnd"/>
      <w:r w:rsidRPr="008B3C30">
        <w:rPr>
          <w:rFonts w:ascii="Times New Roman" w:hAnsi="Times New Roman" w:cs="Times New Roman"/>
          <w:sz w:val="24"/>
          <w:szCs w:val="24"/>
        </w:rPr>
        <w:t>)” и „Новини от e-</w:t>
      </w:r>
      <w:proofErr w:type="spellStart"/>
      <w:r w:rsidRPr="008B3C30">
        <w:rPr>
          <w:rFonts w:ascii="Times New Roman" w:hAnsi="Times New Roman" w:cs="Times New Roman"/>
          <w:sz w:val="24"/>
          <w:szCs w:val="24"/>
        </w:rPr>
        <w:t>Register</w:t>
      </w:r>
      <w:proofErr w:type="spellEnd"/>
      <w:r w:rsidRPr="008B3C30">
        <w:rPr>
          <w:rFonts w:ascii="Times New Roman" w:hAnsi="Times New Roman" w:cs="Times New Roman"/>
          <w:sz w:val="24"/>
          <w:szCs w:val="24"/>
        </w:rPr>
        <w:t>”, така и на място в Комисията.</w:t>
      </w:r>
    </w:p>
    <w:p w:rsidR="00FD52B3" w:rsidRPr="008B3C30" w:rsidRDefault="00FD52B3">
      <w:pPr>
        <w:ind w:firstLine="562"/>
        <w:jc w:val="both"/>
        <w:rPr>
          <w:rFonts w:ascii="Times New Roman" w:hAnsi="Times New Roman" w:cs="Times New Roman"/>
          <w:sz w:val="24"/>
          <w:szCs w:val="24"/>
        </w:rPr>
      </w:pPr>
      <w:r w:rsidRPr="008B3C30">
        <w:rPr>
          <w:rFonts w:ascii="Times New Roman" w:hAnsi="Times New Roman" w:cs="Times New Roman"/>
          <w:sz w:val="24"/>
          <w:szCs w:val="24"/>
        </w:rPr>
        <w:t>В раздел „Европейски въпроси</w:t>
      </w:r>
      <w:r w:rsidR="00A71E7A" w:rsidRPr="008B3C30">
        <w:rPr>
          <w:rFonts w:ascii="Times New Roman" w:hAnsi="Times New Roman" w:cs="Times New Roman"/>
          <w:sz w:val="24"/>
          <w:szCs w:val="24"/>
        </w:rPr>
        <w:t>“</w:t>
      </w:r>
      <w:r w:rsidRPr="008B3C30">
        <w:rPr>
          <w:rFonts w:ascii="Times New Roman" w:hAnsi="Times New Roman" w:cs="Times New Roman"/>
          <w:sz w:val="24"/>
          <w:szCs w:val="24"/>
        </w:rPr>
        <w:t xml:space="preserve"> на електронната страница на КФН се публикуват нормативни документи от европейското законодателство, директиви, регламенти и решения на Европейския парламент и на Съвета. </w:t>
      </w:r>
    </w:p>
    <w:p w:rsidR="00EE678A" w:rsidRPr="008B3C30" w:rsidRDefault="00A71E7A" w:rsidP="00F83573">
      <w:pPr>
        <w:shd w:val="clear" w:color="auto" w:fill="FFFFFF"/>
        <w:spacing w:line="274" w:lineRule="exact"/>
        <w:ind w:left="62" w:firstLine="562"/>
        <w:jc w:val="both"/>
        <w:rPr>
          <w:rFonts w:ascii="Times New Roman" w:hAnsi="Times New Roman" w:cs="Times New Roman"/>
          <w:sz w:val="24"/>
          <w:szCs w:val="24"/>
        </w:rPr>
      </w:pPr>
      <w:r w:rsidRPr="008B3C30">
        <w:rPr>
          <w:rFonts w:ascii="Times New Roman" w:hAnsi="Times New Roman" w:cs="Times New Roman"/>
          <w:sz w:val="24"/>
          <w:szCs w:val="24"/>
        </w:rPr>
        <w:t>КФН п</w:t>
      </w:r>
      <w:r w:rsidR="00954012" w:rsidRPr="008B3C30">
        <w:rPr>
          <w:rFonts w:ascii="Times New Roman" w:hAnsi="Times New Roman" w:cs="Times New Roman"/>
          <w:sz w:val="24"/>
          <w:szCs w:val="24"/>
        </w:rPr>
        <w:t>ровежда дългосрочни образователни програми, насочени към различни професионални и възрастови групи на обществото, съобразени с</w:t>
      </w:r>
      <w:r w:rsidR="0066246D" w:rsidRPr="008B3C30">
        <w:rPr>
          <w:rFonts w:ascii="Times New Roman" w:hAnsi="Times New Roman" w:cs="Times New Roman"/>
          <w:sz w:val="24"/>
          <w:szCs w:val="24"/>
        </w:rPr>
        <w:t xml:space="preserve"> техните специфични потребности.</w:t>
      </w:r>
      <w:r w:rsidRPr="008B3C30">
        <w:rPr>
          <w:rFonts w:ascii="Times New Roman" w:hAnsi="Times New Roman" w:cs="Times New Roman"/>
          <w:sz w:val="24"/>
          <w:szCs w:val="24"/>
        </w:rPr>
        <w:t xml:space="preserve"> </w:t>
      </w:r>
      <w:r w:rsidR="00EE678A" w:rsidRPr="008B3C30">
        <w:rPr>
          <w:rFonts w:ascii="Times New Roman" w:hAnsi="Times New Roman" w:cs="Times New Roman"/>
          <w:sz w:val="24"/>
          <w:szCs w:val="24"/>
        </w:rPr>
        <w:t>Традиционното обучение за ученици от икономически и финансови гимназии от цяла България се проведе от 3 до 7 юли 2017 г. На ХV-тото издание на образователната програма за ученици и учители “Небанковият финансов сектор в България”, организирана от КФН, фондация „Атанас Буров” и Министерството на образованието и науката (МОН), присъстваха 23-ма участника, от които 3-ма придружаващи учители и 20 ученици.  Разнообразните и интересни презентации, представени от експертите на КФН и от бизнеса, запознаха младите хора с принципите и механизмите на капиталовия, застрахователния и осигурителния пазар. Теоретичните знания бяха допълнени с практически занимания „на място“ в Централния депозитар и в Българската фондова борса, във Финансовата група „Карол”, Застрахователното дружество „ДЗИ” и Пенсионно осигурителното дружество „NN“. Учениците посетиха и Висшето училище по застраховане и финанси (ВУЗФ). Те видяха как се търгува на фондовата борса „</w:t>
      </w:r>
      <w:proofErr w:type="spellStart"/>
      <w:r w:rsidR="00EE678A" w:rsidRPr="008B3C30">
        <w:rPr>
          <w:rFonts w:ascii="Times New Roman" w:hAnsi="Times New Roman" w:cs="Times New Roman"/>
          <w:sz w:val="24"/>
          <w:szCs w:val="24"/>
        </w:rPr>
        <w:t>online</w:t>
      </w:r>
      <w:proofErr w:type="spellEnd"/>
      <w:r w:rsidR="00EE678A" w:rsidRPr="008B3C30">
        <w:rPr>
          <w:rFonts w:ascii="Times New Roman" w:hAnsi="Times New Roman" w:cs="Times New Roman"/>
          <w:sz w:val="24"/>
          <w:szCs w:val="24"/>
        </w:rPr>
        <w:t>“, запознаха се с дейността на различните дирекции в една застрахователна компания и със сложните анализи и прогнози, които се извършват, за да се инвестират осигурителните вноски по „втория стълб“ на пенсионното осигуряване.</w:t>
      </w:r>
    </w:p>
    <w:p w:rsidR="00D56F58" w:rsidRPr="008B3C30" w:rsidRDefault="00954012">
      <w:pPr>
        <w:shd w:val="clear" w:color="auto" w:fill="FFFFFF"/>
        <w:spacing w:line="274" w:lineRule="exact"/>
        <w:ind w:left="62" w:firstLine="562"/>
        <w:jc w:val="both"/>
        <w:rPr>
          <w:rFonts w:ascii="Times New Roman" w:hAnsi="Times New Roman" w:cs="Times New Roman"/>
          <w:sz w:val="24"/>
          <w:szCs w:val="24"/>
        </w:rPr>
      </w:pPr>
      <w:r w:rsidRPr="008B3C30">
        <w:rPr>
          <w:rFonts w:ascii="Times New Roman" w:hAnsi="Times New Roman" w:cs="Times New Roman"/>
          <w:spacing w:val="13"/>
          <w:sz w:val="24"/>
          <w:szCs w:val="24"/>
        </w:rPr>
        <w:t xml:space="preserve">Във връзка </w:t>
      </w:r>
      <w:r w:rsidR="008B3C30">
        <w:rPr>
          <w:rFonts w:ascii="Times New Roman" w:hAnsi="Times New Roman" w:cs="Times New Roman"/>
          <w:spacing w:val="13"/>
          <w:sz w:val="24"/>
          <w:szCs w:val="24"/>
        </w:rPr>
        <w:t xml:space="preserve">с </w:t>
      </w:r>
      <w:r w:rsidRPr="008B3C30">
        <w:rPr>
          <w:rFonts w:ascii="Times New Roman" w:hAnsi="Times New Roman" w:cs="Times New Roman"/>
          <w:spacing w:val="13"/>
          <w:sz w:val="24"/>
          <w:szCs w:val="24"/>
        </w:rPr>
        <w:t>образователните инициативи е установено добро</w:t>
      </w:r>
      <w:r w:rsidR="00A71E7A" w:rsidRPr="008B3C30">
        <w:rPr>
          <w:rFonts w:ascii="Times New Roman" w:hAnsi="Times New Roman" w:cs="Times New Roman"/>
          <w:spacing w:val="13"/>
          <w:sz w:val="24"/>
          <w:szCs w:val="24"/>
        </w:rPr>
        <w:t xml:space="preserve"> </w:t>
      </w:r>
      <w:r w:rsidRPr="008B3C30">
        <w:rPr>
          <w:rFonts w:ascii="Times New Roman" w:hAnsi="Times New Roman" w:cs="Times New Roman"/>
          <w:spacing w:val="3"/>
          <w:sz w:val="24"/>
          <w:szCs w:val="24"/>
        </w:rPr>
        <w:t xml:space="preserve">сътрудничество с бизнес асоциациите, неправителствени организации, държавни </w:t>
      </w:r>
      <w:r w:rsidRPr="008B3C30">
        <w:rPr>
          <w:rFonts w:ascii="Times New Roman" w:hAnsi="Times New Roman" w:cs="Times New Roman"/>
          <w:sz w:val="24"/>
          <w:szCs w:val="24"/>
        </w:rPr>
        <w:t xml:space="preserve">институции като МОНП, което може да послужи за основа на бъдещи дейности в тази </w:t>
      </w:r>
      <w:r w:rsidRPr="008B3C30">
        <w:rPr>
          <w:rFonts w:ascii="Times New Roman" w:hAnsi="Times New Roman" w:cs="Times New Roman"/>
          <w:sz w:val="24"/>
          <w:szCs w:val="24"/>
        </w:rPr>
        <w:lastRenderedPageBreak/>
        <w:t>насока.</w:t>
      </w:r>
    </w:p>
    <w:p w:rsidR="00954012" w:rsidRPr="008B3C30" w:rsidRDefault="00954012" w:rsidP="00520236">
      <w:pPr>
        <w:shd w:val="clear" w:color="auto" w:fill="FFFFFF"/>
        <w:spacing w:line="274" w:lineRule="exact"/>
        <w:ind w:left="62" w:firstLine="562"/>
        <w:jc w:val="both"/>
        <w:rPr>
          <w:rFonts w:ascii="Times New Roman" w:hAnsi="Times New Roman" w:cs="Times New Roman"/>
          <w:sz w:val="24"/>
          <w:szCs w:val="24"/>
        </w:rPr>
      </w:pPr>
      <w:r w:rsidRPr="008B3C30">
        <w:rPr>
          <w:rFonts w:ascii="Times New Roman" w:hAnsi="Times New Roman" w:cs="Times New Roman"/>
          <w:sz w:val="24"/>
          <w:szCs w:val="24"/>
        </w:rPr>
        <w:t xml:space="preserve">Образователните прояви за определени професионални групи също са сред </w:t>
      </w:r>
      <w:r w:rsidRPr="008B3C30">
        <w:rPr>
          <w:rFonts w:ascii="Times New Roman" w:hAnsi="Times New Roman" w:cs="Times New Roman"/>
          <w:spacing w:val="3"/>
          <w:sz w:val="24"/>
          <w:szCs w:val="24"/>
        </w:rPr>
        <w:t>обичайните за КФН инициативи.   Най-често те са организирани по повод съществени</w:t>
      </w:r>
    </w:p>
    <w:p w:rsidR="00EE678A" w:rsidRPr="008B3C30" w:rsidRDefault="00954012" w:rsidP="00F83573">
      <w:pPr>
        <w:shd w:val="clear" w:color="auto" w:fill="FFFFFF"/>
        <w:spacing w:line="274" w:lineRule="exact"/>
        <w:jc w:val="both"/>
        <w:rPr>
          <w:rFonts w:ascii="Times New Roman" w:hAnsi="Times New Roman" w:cs="Times New Roman"/>
          <w:spacing w:val="1"/>
          <w:sz w:val="24"/>
          <w:szCs w:val="24"/>
        </w:rPr>
      </w:pPr>
      <w:r w:rsidRPr="008B3C30">
        <w:rPr>
          <w:rFonts w:ascii="Times New Roman" w:hAnsi="Times New Roman" w:cs="Times New Roman"/>
          <w:spacing w:val="1"/>
          <w:sz w:val="24"/>
          <w:szCs w:val="24"/>
        </w:rPr>
        <w:t>изменения в регулаторната рамка или надзорна дейност и практика.</w:t>
      </w:r>
    </w:p>
    <w:p w:rsidR="00EE678A" w:rsidRPr="008B3C30" w:rsidRDefault="00954012" w:rsidP="00716E3C">
      <w:pPr>
        <w:spacing w:line="252" w:lineRule="auto"/>
        <w:ind w:firstLine="562"/>
        <w:jc w:val="both"/>
        <w:rPr>
          <w:rFonts w:ascii="Times New Roman" w:hAnsi="Times New Roman" w:cs="Times New Roman"/>
          <w:sz w:val="24"/>
          <w:szCs w:val="24"/>
        </w:rPr>
      </w:pPr>
      <w:r w:rsidRPr="008B3C30">
        <w:rPr>
          <w:rFonts w:ascii="Times New Roman" w:hAnsi="Times New Roman" w:cs="Times New Roman"/>
          <w:spacing w:val="1"/>
          <w:sz w:val="24"/>
          <w:szCs w:val="24"/>
        </w:rPr>
        <w:t xml:space="preserve"> </w:t>
      </w:r>
      <w:r w:rsidR="00EE678A" w:rsidRPr="008B3C30">
        <w:rPr>
          <w:rFonts w:ascii="Times New Roman" w:hAnsi="Times New Roman" w:cs="Times New Roman"/>
          <w:spacing w:val="1"/>
          <w:sz w:val="24"/>
          <w:szCs w:val="24"/>
        </w:rPr>
        <w:t>КФН взима</w:t>
      </w:r>
      <w:r w:rsidR="00EE678A" w:rsidRPr="008B3C30">
        <w:rPr>
          <w:rFonts w:ascii="Times New Roman" w:hAnsi="Times New Roman" w:cs="Times New Roman"/>
          <w:sz w:val="24"/>
          <w:szCs w:val="24"/>
        </w:rPr>
        <w:t xml:space="preserve"> дейно участие в различни форуми - конференции, семинари, работни срещи и образователни инициативи, насочени към защита на потребителите и повишаване на финансовата грамотност на различни обществени групи. Тя организира редица семинари за поднадзорните лица, за да ги подпомогне в тяхната дейност от гледна точка на прилагане на европейското законодателство, както и организира серия от обучения за ученици и студенти. За участниците на капиталовия пазар се проведоха два семинара</w:t>
      </w:r>
      <w:r w:rsidR="00CA1529" w:rsidRPr="008B3C30">
        <w:rPr>
          <w:rFonts w:ascii="Times New Roman" w:hAnsi="Times New Roman" w:cs="Times New Roman"/>
          <w:sz w:val="24"/>
          <w:szCs w:val="24"/>
          <w:lang w:val="en-US"/>
        </w:rPr>
        <w:t xml:space="preserve"> </w:t>
      </w:r>
      <w:r w:rsidR="00CA1529" w:rsidRPr="008B3C30">
        <w:rPr>
          <w:rFonts w:ascii="Times New Roman" w:hAnsi="Times New Roman" w:cs="Times New Roman"/>
        </w:rPr>
        <w:t>–</w:t>
      </w:r>
      <w:r w:rsidR="00EE678A" w:rsidRPr="008B3C30">
        <w:rPr>
          <w:rFonts w:ascii="Times New Roman" w:hAnsi="Times New Roman" w:cs="Times New Roman"/>
          <w:sz w:val="24"/>
          <w:szCs w:val="24"/>
        </w:rPr>
        <w:t xml:space="preserve"> </w:t>
      </w:r>
      <w:r w:rsidR="00CA1529" w:rsidRPr="008B3C30">
        <w:rPr>
          <w:rFonts w:ascii="Times New Roman" w:hAnsi="Times New Roman" w:cs="Times New Roman"/>
          <w:sz w:val="24"/>
          <w:szCs w:val="24"/>
        </w:rPr>
        <w:t>п</w:t>
      </w:r>
      <w:r w:rsidR="00EE678A" w:rsidRPr="008B3C30">
        <w:rPr>
          <w:rFonts w:ascii="Times New Roman" w:hAnsi="Times New Roman" w:cs="Times New Roman"/>
          <w:sz w:val="24"/>
          <w:szCs w:val="24"/>
        </w:rPr>
        <w:t xml:space="preserve">рез юни на тема „Новата правна рамка </w:t>
      </w:r>
      <w:proofErr w:type="spellStart"/>
      <w:r w:rsidR="00EE678A" w:rsidRPr="008B3C30">
        <w:rPr>
          <w:rFonts w:ascii="Times New Roman" w:hAnsi="Times New Roman" w:cs="Times New Roman"/>
          <w:sz w:val="24"/>
          <w:szCs w:val="24"/>
        </w:rPr>
        <w:t>MiFID</w:t>
      </w:r>
      <w:proofErr w:type="spellEnd"/>
      <w:r w:rsidR="00EE678A" w:rsidRPr="008B3C30">
        <w:rPr>
          <w:rFonts w:ascii="Times New Roman" w:hAnsi="Times New Roman" w:cs="Times New Roman"/>
          <w:sz w:val="24"/>
          <w:szCs w:val="24"/>
        </w:rPr>
        <w:t xml:space="preserve"> II“, а през ноември </w:t>
      </w:r>
      <w:r w:rsidR="00A71E7A" w:rsidRPr="008B3C30">
        <w:rPr>
          <w:rFonts w:ascii="Times New Roman" w:hAnsi="Times New Roman" w:cs="Times New Roman"/>
          <w:sz w:val="24"/>
          <w:szCs w:val="24"/>
        </w:rPr>
        <w:t xml:space="preserve">– </w:t>
      </w:r>
      <w:r w:rsidR="00EE678A" w:rsidRPr="008B3C30">
        <w:rPr>
          <w:rFonts w:ascii="Times New Roman" w:hAnsi="Times New Roman" w:cs="Times New Roman"/>
          <w:sz w:val="24"/>
          <w:szCs w:val="24"/>
        </w:rPr>
        <w:t xml:space="preserve">„Правната рамка MIFID II  и актове при прилагането й“. Те предизвикаха голям интерес от страна на дружествата. </w:t>
      </w:r>
    </w:p>
    <w:p w:rsidR="00EE678A" w:rsidRPr="008B3C30" w:rsidRDefault="00EE678A">
      <w:pPr>
        <w:spacing w:line="252" w:lineRule="auto"/>
        <w:ind w:firstLine="562"/>
        <w:jc w:val="both"/>
        <w:rPr>
          <w:rFonts w:ascii="Times New Roman" w:hAnsi="Times New Roman" w:cs="Times New Roman"/>
          <w:sz w:val="24"/>
          <w:szCs w:val="24"/>
        </w:rPr>
      </w:pPr>
      <w:r w:rsidRPr="008B3C30">
        <w:rPr>
          <w:rFonts w:ascii="Times New Roman" w:hAnsi="Times New Roman" w:cs="Times New Roman"/>
          <w:sz w:val="24"/>
          <w:szCs w:val="24"/>
        </w:rPr>
        <w:t>На 12  септември 2017 г. Комисията за финансов надзор проведе семинар на тема „Европейската правна рамка по прилагането на Платежоспособност II“ за повече от 100</w:t>
      </w:r>
      <w:r w:rsidR="00CA1529" w:rsidRPr="008B3C30">
        <w:rPr>
          <w:rFonts w:ascii="Times New Roman" w:hAnsi="Times New Roman" w:cs="Times New Roman"/>
          <w:sz w:val="24"/>
          <w:szCs w:val="24"/>
        </w:rPr>
        <w:t xml:space="preserve"> </w:t>
      </w:r>
      <w:r w:rsidRPr="008B3C30">
        <w:rPr>
          <w:rFonts w:ascii="Times New Roman" w:hAnsi="Times New Roman" w:cs="Times New Roman"/>
          <w:sz w:val="24"/>
          <w:szCs w:val="24"/>
        </w:rPr>
        <w:t xml:space="preserve">представители на застрахователните и презастрахователните дружества и за експертите от управление „Застрахователен надзор“ на </w:t>
      </w:r>
      <w:r w:rsidR="0078428D" w:rsidRPr="008B3C30">
        <w:rPr>
          <w:rFonts w:ascii="Times New Roman" w:hAnsi="Times New Roman" w:cs="Times New Roman"/>
          <w:sz w:val="24"/>
          <w:szCs w:val="24"/>
        </w:rPr>
        <w:t>КФН</w:t>
      </w:r>
      <w:r w:rsidRPr="008B3C30">
        <w:rPr>
          <w:rFonts w:ascii="Times New Roman" w:hAnsi="Times New Roman" w:cs="Times New Roman"/>
          <w:sz w:val="24"/>
          <w:szCs w:val="24"/>
        </w:rPr>
        <w:t xml:space="preserve">. Семинарът беше воден от проф. Карел ван </w:t>
      </w:r>
      <w:proofErr w:type="spellStart"/>
      <w:r w:rsidRPr="008B3C30">
        <w:rPr>
          <w:rFonts w:ascii="Times New Roman" w:hAnsi="Times New Roman" w:cs="Times New Roman"/>
          <w:sz w:val="24"/>
          <w:szCs w:val="24"/>
        </w:rPr>
        <w:t>Хуле</w:t>
      </w:r>
      <w:proofErr w:type="spellEnd"/>
      <w:r w:rsidRPr="008B3C30">
        <w:rPr>
          <w:rFonts w:ascii="Times New Roman" w:hAnsi="Times New Roman" w:cs="Times New Roman"/>
          <w:sz w:val="24"/>
          <w:szCs w:val="24"/>
        </w:rPr>
        <w:t xml:space="preserve">, </w:t>
      </w:r>
      <w:r w:rsidR="00CA1529" w:rsidRPr="008B3C30">
        <w:rPr>
          <w:rFonts w:ascii="Times New Roman" w:hAnsi="Times New Roman" w:cs="Times New Roman"/>
          <w:sz w:val="24"/>
          <w:szCs w:val="24"/>
        </w:rPr>
        <w:t xml:space="preserve">който е </w:t>
      </w:r>
      <w:r w:rsidRPr="008B3C30">
        <w:rPr>
          <w:rFonts w:ascii="Times New Roman" w:hAnsi="Times New Roman" w:cs="Times New Roman"/>
          <w:sz w:val="24"/>
          <w:szCs w:val="24"/>
        </w:rPr>
        <w:t>един от специалистите, участвали в създаването на законодателния пакет Платежоспособност II.</w:t>
      </w:r>
    </w:p>
    <w:p w:rsidR="0066246D" w:rsidRPr="008B3C30" w:rsidRDefault="004152D8">
      <w:pPr>
        <w:spacing w:line="252" w:lineRule="auto"/>
        <w:ind w:firstLine="562"/>
        <w:jc w:val="both"/>
        <w:rPr>
          <w:rFonts w:ascii="Times New Roman" w:hAnsi="Times New Roman" w:cs="Times New Roman"/>
          <w:sz w:val="24"/>
          <w:szCs w:val="24"/>
        </w:rPr>
      </w:pPr>
      <w:r w:rsidRPr="008B3C30">
        <w:rPr>
          <w:rFonts w:ascii="Times New Roman" w:hAnsi="Times New Roman" w:cs="Times New Roman"/>
          <w:sz w:val="24"/>
          <w:szCs w:val="24"/>
        </w:rPr>
        <w:t>КФН проведе</w:t>
      </w:r>
      <w:r w:rsidR="0066246D" w:rsidRPr="008B3C30">
        <w:rPr>
          <w:rFonts w:ascii="Times New Roman" w:hAnsi="Times New Roman" w:cs="Times New Roman"/>
          <w:sz w:val="24"/>
          <w:szCs w:val="24"/>
        </w:rPr>
        <w:t xml:space="preserve"> </w:t>
      </w:r>
      <w:r w:rsidR="00CA1529" w:rsidRPr="008B3C30">
        <w:rPr>
          <w:rFonts w:ascii="Times New Roman" w:hAnsi="Times New Roman" w:cs="Times New Roman"/>
          <w:sz w:val="24"/>
          <w:szCs w:val="24"/>
        </w:rPr>
        <w:t xml:space="preserve">и </w:t>
      </w:r>
      <w:r w:rsidR="0066246D" w:rsidRPr="008B3C30">
        <w:rPr>
          <w:rFonts w:ascii="Times New Roman" w:hAnsi="Times New Roman" w:cs="Times New Roman"/>
          <w:sz w:val="24"/>
          <w:szCs w:val="24"/>
        </w:rPr>
        <w:t>редица еднодневни обучения. На</w:t>
      </w:r>
      <w:r w:rsidR="0066246D" w:rsidRPr="008B3C30">
        <w:rPr>
          <w:rFonts w:ascii="Times New Roman" w:hAnsi="Times New Roman" w:cs="Times New Roman"/>
          <w:b/>
          <w:bCs/>
          <w:sz w:val="24"/>
          <w:szCs w:val="24"/>
        </w:rPr>
        <w:t xml:space="preserve"> </w:t>
      </w:r>
      <w:r w:rsidR="0066246D" w:rsidRPr="008B3C30">
        <w:rPr>
          <w:rFonts w:ascii="Times New Roman" w:hAnsi="Times New Roman" w:cs="Times New Roman"/>
          <w:sz w:val="24"/>
          <w:szCs w:val="24"/>
        </w:rPr>
        <w:t>30 март 2017 г. ученици</w:t>
      </w:r>
      <w:r w:rsidR="0066246D" w:rsidRPr="008B3C30">
        <w:rPr>
          <w:rFonts w:ascii="Times New Roman" w:hAnsi="Times New Roman" w:cs="Times New Roman"/>
          <w:b/>
          <w:bCs/>
          <w:sz w:val="24"/>
          <w:szCs w:val="24"/>
        </w:rPr>
        <w:t xml:space="preserve"> </w:t>
      </w:r>
      <w:r w:rsidR="0066246D" w:rsidRPr="008B3C30">
        <w:rPr>
          <w:rFonts w:ascii="Times New Roman" w:hAnsi="Times New Roman" w:cs="Times New Roman"/>
          <w:sz w:val="24"/>
          <w:szCs w:val="24"/>
        </w:rPr>
        <w:t>от 11-ти клас на Старопрестолната професионална гимназия по икономика във Велико Търново посетиха Комисията за финансов надзор и получиха пряко впечатление за работа</w:t>
      </w:r>
      <w:r w:rsidR="00CA1529" w:rsidRPr="008B3C30">
        <w:rPr>
          <w:rFonts w:ascii="Times New Roman" w:hAnsi="Times New Roman" w:cs="Times New Roman"/>
          <w:sz w:val="24"/>
          <w:szCs w:val="24"/>
        </w:rPr>
        <w:t>та</w:t>
      </w:r>
      <w:r w:rsidR="0066246D" w:rsidRPr="008B3C30">
        <w:rPr>
          <w:rFonts w:ascii="Times New Roman" w:hAnsi="Times New Roman" w:cs="Times New Roman"/>
          <w:sz w:val="24"/>
          <w:szCs w:val="24"/>
        </w:rPr>
        <w:t xml:space="preserve"> на Комисията.</w:t>
      </w:r>
    </w:p>
    <w:p w:rsidR="0066246D" w:rsidRPr="008B3C30" w:rsidRDefault="0066246D">
      <w:pPr>
        <w:spacing w:line="252" w:lineRule="auto"/>
        <w:ind w:firstLine="562"/>
        <w:jc w:val="both"/>
        <w:rPr>
          <w:rFonts w:ascii="Times New Roman" w:hAnsi="Times New Roman" w:cs="Times New Roman"/>
          <w:sz w:val="24"/>
          <w:szCs w:val="24"/>
        </w:rPr>
      </w:pPr>
      <w:r w:rsidRPr="008B3C30">
        <w:rPr>
          <w:rFonts w:ascii="Times New Roman" w:hAnsi="Times New Roman" w:cs="Times New Roman"/>
          <w:sz w:val="24"/>
          <w:szCs w:val="24"/>
        </w:rPr>
        <w:t>Комисията за финансов надзор и през 2017 г. се включи в инициативата „Мениджър за един ден” на Джуниър Ачийвмънт България на 12 октомври.</w:t>
      </w:r>
      <w:r w:rsidR="004152D8" w:rsidRPr="008B3C30">
        <w:rPr>
          <w:rFonts w:ascii="Times New Roman" w:hAnsi="Times New Roman" w:cs="Times New Roman"/>
          <w:sz w:val="24"/>
          <w:szCs w:val="24"/>
        </w:rPr>
        <w:t xml:space="preserve"> У</w:t>
      </w:r>
      <w:r w:rsidRPr="008B3C30">
        <w:rPr>
          <w:rFonts w:ascii="Times New Roman" w:hAnsi="Times New Roman" w:cs="Times New Roman"/>
          <w:sz w:val="24"/>
          <w:szCs w:val="24"/>
        </w:rPr>
        <w:t xml:space="preserve">ченичка от 12-ти клас в Национална финансово-стопанска гимназия, София, </w:t>
      </w:r>
      <w:r w:rsidR="00CA1529" w:rsidRPr="008B3C30">
        <w:rPr>
          <w:rFonts w:ascii="Times New Roman" w:hAnsi="Times New Roman" w:cs="Times New Roman"/>
          <w:sz w:val="24"/>
          <w:szCs w:val="24"/>
        </w:rPr>
        <w:t xml:space="preserve">стана </w:t>
      </w:r>
      <w:r w:rsidRPr="008B3C30">
        <w:rPr>
          <w:rFonts w:ascii="Times New Roman" w:hAnsi="Times New Roman" w:cs="Times New Roman"/>
          <w:sz w:val="24"/>
          <w:szCs w:val="24"/>
        </w:rPr>
        <w:t xml:space="preserve">„Председател на КФН за един ден“, напътствана от </w:t>
      </w:r>
      <w:r w:rsidR="00EE1CF3">
        <w:rPr>
          <w:rFonts w:ascii="Times New Roman" w:hAnsi="Times New Roman" w:cs="Times New Roman"/>
          <w:sz w:val="24"/>
          <w:szCs w:val="24"/>
        </w:rPr>
        <w:t xml:space="preserve">г-жа </w:t>
      </w:r>
      <w:r w:rsidRPr="008B3C30">
        <w:rPr>
          <w:rFonts w:ascii="Times New Roman" w:hAnsi="Times New Roman" w:cs="Times New Roman"/>
          <w:sz w:val="24"/>
          <w:szCs w:val="24"/>
        </w:rPr>
        <w:t>Карина Караиванова.</w:t>
      </w:r>
    </w:p>
    <w:p w:rsidR="00EE678A" w:rsidRPr="008B3C30" w:rsidRDefault="00954012" w:rsidP="00F83573">
      <w:pPr>
        <w:spacing w:line="274" w:lineRule="exact"/>
        <w:ind w:firstLine="562"/>
        <w:jc w:val="both"/>
        <w:rPr>
          <w:rFonts w:ascii="Times New Roman" w:hAnsi="Times New Roman" w:cs="Times New Roman"/>
          <w:sz w:val="24"/>
          <w:szCs w:val="24"/>
        </w:rPr>
      </w:pPr>
      <w:r w:rsidRPr="008B3C30">
        <w:rPr>
          <w:rFonts w:ascii="Times New Roman" w:hAnsi="Times New Roman" w:cs="Times New Roman"/>
          <w:sz w:val="24"/>
          <w:szCs w:val="24"/>
        </w:rPr>
        <w:t xml:space="preserve">Информационният център на КФН също е средство за удобен и ефективен достъп до полезна за потребителя информация. </w:t>
      </w:r>
      <w:r w:rsidR="004152D8" w:rsidRPr="008B3C30">
        <w:rPr>
          <w:rFonts w:ascii="Times New Roman" w:hAnsi="Times New Roman" w:cs="Times New Roman"/>
          <w:sz w:val="24"/>
          <w:szCs w:val="24"/>
        </w:rPr>
        <w:t>С</w:t>
      </w:r>
      <w:r w:rsidR="00EE678A" w:rsidRPr="008B3C30">
        <w:rPr>
          <w:rFonts w:ascii="Times New Roman" w:hAnsi="Times New Roman" w:cs="Times New Roman"/>
          <w:sz w:val="24"/>
          <w:szCs w:val="24"/>
        </w:rPr>
        <w:t>ъздаден през 2017 г.</w:t>
      </w:r>
      <w:r w:rsidR="004152D8" w:rsidRPr="008B3C30">
        <w:rPr>
          <w:rFonts w:ascii="Times New Roman" w:hAnsi="Times New Roman" w:cs="Times New Roman"/>
          <w:sz w:val="24"/>
          <w:szCs w:val="24"/>
        </w:rPr>
        <w:t>,</w:t>
      </w:r>
      <w:r w:rsidR="00EE678A" w:rsidRPr="008B3C30">
        <w:rPr>
          <w:rFonts w:ascii="Times New Roman" w:hAnsi="Times New Roman" w:cs="Times New Roman"/>
          <w:b/>
          <w:sz w:val="24"/>
          <w:szCs w:val="24"/>
        </w:rPr>
        <w:t xml:space="preserve"> </w:t>
      </w:r>
      <w:r w:rsidR="004152D8" w:rsidRPr="008B3C30">
        <w:rPr>
          <w:rFonts w:ascii="Times New Roman" w:hAnsi="Times New Roman" w:cs="Times New Roman"/>
          <w:sz w:val="24"/>
          <w:szCs w:val="24"/>
        </w:rPr>
        <w:t>т</w:t>
      </w:r>
      <w:r w:rsidR="00EE678A" w:rsidRPr="008B3C30">
        <w:rPr>
          <w:rFonts w:ascii="Times New Roman" w:hAnsi="Times New Roman" w:cs="Times New Roman"/>
          <w:sz w:val="24"/>
          <w:szCs w:val="24"/>
        </w:rPr>
        <w:t xml:space="preserve">ой предоставя </w:t>
      </w:r>
      <w:r w:rsidR="004152D8" w:rsidRPr="008B3C30">
        <w:rPr>
          <w:rFonts w:ascii="Times New Roman" w:hAnsi="Times New Roman" w:cs="Times New Roman"/>
          <w:sz w:val="24"/>
          <w:szCs w:val="24"/>
        </w:rPr>
        <w:t>и</w:t>
      </w:r>
      <w:r w:rsidR="00EE678A" w:rsidRPr="008B3C30">
        <w:rPr>
          <w:rFonts w:ascii="Times New Roman" w:hAnsi="Times New Roman" w:cs="Times New Roman"/>
          <w:sz w:val="24"/>
          <w:szCs w:val="24"/>
        </w:rPr>
        <w:t xml:space="preserve">нформация във връзка с конкретни запитвания от граждани и фирми по въпроси от компетентността на КФН, изпратени по пощата, на електронните адреси, по телефона и на място. През август 2017 г. се проведе едноседмично обучение на кандидатите за Информационния център и той започна да работи през септември. Неговата цел е усъвършенстване на комуникацията с различни социални групи от обществото, </w:t>
      </w:r>
      <w:r w:rsidR="007010FC" w:rsidRPr="008B3C30">
        <w:rPr>
          <w:rFonts w:ascii="Times New Roman" w:hAnsi="Times New Roman" w:cs="Times New Roman"/>
          <w:sz w:val="24"/>
          <w:szCs w:val="24"/>
        </w:rPr>
        <w:t xml:space="preserve">предоставяне на </w:t>
      </w:r>
      <w:r w:rsidR="00EE678A" w:rsidRPr="008B3C30">
        <w:rPr>
          <w:rFonts w:ascii="Times New Roman" w:hAnsi="Times New Roman" w:cs="Times New Roman"/>
          <w:sz w:val="24"/>
          <w:szCs w:val="24"/>
        </w:rPr>
        <w:t>възможност за обратна връзка</w:t>
      </w:r>
      <w:r w:rsidR="007010FC" w:rsidRPr="008B3C30">
        <w:rPr>
          <w:rFonts w:ascii="Times New Roman" w:hAnsi="Times New Roman" w:cs="Times New Roman"/>
          <w:sz w:val="24"/>
          <w:szCs w:val="24"/>
        </w:rPr>
        <w:t xml:space="preserve"> и набелязване </w:t>
      </w:r>
      <w:r w:rsidR="00EE678A" w:rsidRPr="008B3C30">
        <w:rPr>
          <w:rFonts w:ascii="Times New Roman" w:hAnsi="Times New Roman" w:cs="Times New Roman"/>
          <w:sz w:val="24"/>
          <w:szCs w:val="24"/>
        </w:rPr>
        <w:t>на проблеми, които вълнуват обществото във връзка с дейността на КФН.</w:t>
      </w:r>
    </w:p>
    <w:p w:rsidR="00EE678A" w:rsidRPr="008B3C30" w:rsidRDefault="00EE678A">
      <w:pPr>
        <w:ind w:firstLine="562"/>
        <w:jc w:val="both"/>
        <w:rPr>
          <w:rFonts w:ascii="Times New Roman" w:hAnsi="Times New Roman" w:cs="Times New Roman"/>
          <w:sz w:val="24"/>
          <w:szCs w:val="24"/>
        </w:rPr>
      </w:pPr>
      <w:r w:rsidRPr="008B3C30">
        <w:rPr>
          <w:rFonts w:ascii="Times New Roman" w:hAnsi="Times New Roman" w:cs="Times New Roman"/>
          <w:sz w:val="24"/>
          <w:szCs w:val="24"/>
        </w:rPr>
        <w:t>През 2017 г. бе пусната отново актуализирана интернет страницата на КФН „Твоите финанси“, като материалите, които се публикуват на нея са с потребителска и образователна насоченост. Акцентът на потребителската страница е осъществяване на пряка комуникация с различните целеви групи, получаване на обратна връзка и предприемане на съответните действия за подобряването й.</w:t>
      </w:r>
    </w:p>
    <w:p w:rsidR="00132EAC" w:rsidRPr="008B3C30" w:rsidRDefault="00132EAC">
      <w:pPr>
        <w:ind w:firstLine="562"/>
        <w:jc w:val="both"/>
        <w:rPr>
          <w:rFonts w:ascii="Times New Roman" w:hAnsi="Times New Roman" w:cs="Times New Roman"/>
          <w:sz w:val="24"/>
          <w:szCs w:val="24"/>
        </w:rPr>
      </w:pPr>
    </w:p>
    <w:p w:rsidR="00DB2384" w:rsidRPr="008B3C30" w:rsidRDefault="00DB2384">
      <w:pPr>
        <w:ind w:firstLine="562"/>
        <w:jc w:val="both"/>
        <w:rPr>
          <w:rFonts w:ascii="Times New Roman" w:hAnsi="Times New Roman" w:cs="Times New Roman"/>
          <w:sz w:val="24"/>
          <w:szCs w:val="24"/>
        </w:rPr>
      </w:pPr>
    </w:p>
    <w:p w:rsidR="004D27CC" w:rsidRPr="008B3C30" w:rsidRDefault="00415650" w:rsidP="00520236">
      <w:pPr>
        <w:shd w:val="clear" w:color="auto" w:fill="FFFFFF"/>
        <w:spacing w:line="274" w:lineRule="exact"/>
        <w:jc w:val="center"/>
        <w:rPr>
          <w:rFonts w:ascii="Times New Roman" w:hAnsi="Times New Roman" w:cs="Times New Roman"/>
          <w:b/>
          <w:bCs/>
          <w:iCs/>
          <w:sz w:val="24"/>
          <w:szCs w:val="24"/>
        </w:rPr>
      </w:pPr>
      <w:r w:rsidRPr="008B3C30">
        <w:rPr>
          <w:rFonts w:ascii="Times New Roman" w:hAnsi="Times New Roman" w:cs="Times New Roman"/>
          <w:b/>
          <w:bCs/>
          <w:iCs/>
          <w:sz w:val="24"/>
          <w:szCs w:val="24"/>
        </w:rPr>
        <w:t>Р</w:t>
      </w:r>
      <w:r w:rsidR="004D27CC" w:rsidRPr="008B3C30">
        <w:rPr>
          <w:rFonts w:ascii="Times New Roman" w:hAnsi="Times New Roman" w:cs="Times New Roman"/>
          <w:b/>
          <w:bCs/>
          <w:iCs/>
          <w:sz w:val="24"/>
          <w:szCs w:val="24"/>
        </w:rPr>
        <w:t>азкриване на информация и прозрачност</w:t>
      </w:r>
    </w:p>
    <w:p w:rsidR="00996C90" w:rsidRPr="008B3C30" w:rsidRDefault="00996C90" w:rsidP="00520236">
      <w:pPr>
        <w:shd w:val="clear" w:color="auto" w:fill="FFFFFF"/>
        <w:spacing w:line="274" w:lineRule="exact"/>
        <w:jc w:val="center"/>
        <w:rPr>
          <w:rFonts w:ascii="Times New Roman" w:hAnsi="Times New Roman" w:cs="Times New Roman"/>
          <w:b/>
          <w:bCs/>
          <w:iCs/>
          <w:sz w:val="24"/>
          <w:szCs w:val="24"/>
        </w:rPr>
      </w:pPr>
    </w:p>
    <w:p w:rsidR="001B7CF7" w:rsidRPr="008B3C30" w:rsidRDefault="001B7CF7" w:rsidP="00B045C5">
      <w:pPr>
        <w:ind w:firstLine="562"/>
        <w:jc w:val="both"/>
        <w:rPr>
          <w:rFonts w:ascii="Times New Roman" w:hAnsi="Times New Roman" w:cs="Times New Roman"/>
          <w:sz w:val="24"/>
          <w:szCs w:val="24"/>
        </w:rPr>
      </w:pPr>
      <w:r w:rsidRPr="008B3C30">
        <w:rPr>
          <w:rFonts w:ascii="Times New Roman" w:hAnsi="Times New Roman" w:cs="Times New Roman"/>
          <w:sz w:val="24"/>
          <w:szCs w:val="24"/>
        </w:rPr>
        <w:t>Подобряване на информираността на потребителите е една от основните дейности, която К</w:t>
      </w:r>
      <w:r w:rsidR="00F83573" w:rsidRPr="008B3C30">
        <w:rPr>
          <w:rFonts w:ascii="Times New Roman" w:hAnsi="Times New Roman" w:cs="Times New Roman"/>
          <w:sz w:val="24"/>
          <w:szCs w:val="24"/>
        </w:rPr>
        <w:t>ФН</w:t>
      </w:r>
      <w:r w:rsidRPr="008B3C30">
        <w:rPr>
          <w:rFonts w:ascii="Times New Roman" w:hAnsi="Times New Roman" w:cs="Times New Roman"/>
          <w:sz w:val="24"/>
          <w:szCs w:val="24"/>
        </w:rPr>
        <w:t xml:space="preserve"> </w:t>
      </w:r>
      <w:r w:rsidR="00DB2384" w:rsidRPr="008B3C30">
        <w:rPr>
          <w:rFonts w:ascii="Times New Roman" w:hAnsi="Times New Roman" w:cs="Times New Roman"/>
          <w:sz w:val="24"/>
          <w:szCs w:val="24"/>
        </w:rPr>
        <w:t xml:space="preserve">извършва с цел </w:t>
      </w:r>
      <w:r w:rsidRPr="008B3C30">
        <w:rPr>
          <w:rFonts w:ascii="Times New Roman" w:hAnsi="Times New Roman" w:cs="Times New Roman"/>
          <w:sz w:val="24"/>
          <w:szCs w:val="24"/>
        </w:rPr>
        <w:t>защита</w:t>
      </w:r>
      <w:r w:rsidR="00DB2384" w:rsidRPr="008B3C30">
        <w:rPr>
          <w:rFonts w:ascii="Times New Roman" w:hAnsi="Times New Roman" w:cs="Times New Roman"/>
          <w:sz w:val="24"/>
          <w:szCs w:val="24"/>
        </w:rPr>
        <w:t xml:space="preserve"> на</w:t>
      </w:r>
      <w:r w:rsidRPr="008B3C30">
        <w:rPr>
          <w:rFonts w:ascii="Times New Roman" w:hAnsi="Times New Roman" w:cs="Times New Roman"/>
          <w:sz w:val="24"/>
          <w:szCs w:val="24"/>
        </w:rPr>
        <w:t xml:space="preserve"> правата на потребителите </w:t>
      </w:r>
      <w:r w:rsidR="00DB2384" w:rsidRPr="008B3C30">
        <w:rPr>
          <w:rFonts w:ascii="Times New Roman" w:hAnsi="Times New Roman" w:cs="Times New Roman"/>
          <w:sz w:val="24"/>
          <w:szCs w:val="24"/>
        </w:rPr>
        <w:t xml:space="preserve">в рамките на </w:t>
      </w:r>
      <w:r w:rsidRPr="008B3C30">
        <w:rPr>
          <w:rFonts w:ascii="Times New Roman" w:hAnsi="Times New Roman" w:cs="Times New Roman"/>
          <w:sz w:val="24"/>
          <w:szCs w:val="24"/>
        </w:rPr>
        <w:t>небанковата финансова сфера.</w:t>
      </w:r>
    </w:p>
    <w:p w:rsidR="004D27CC" w:rsidRPr="008B3C30" w:rsidRDefault="00F83573" w:rsidP="00AD549A">
      <w:pPr>
        <w:shd w:val="clear" w:color="auto" w:fill="FFFFFF"/>
        <w:ind w:firstLine="562"/>
        <w:jc w:val="both"/>
        <w:rPr>
          <w:rFonts w:ascii="Times New Roman" w:hAnsi="Times New Roman" w:cs="Times New Roman"/>
          <w:sz w:val="24"/>
          <w:szCs w:val="24"/>
        </w:rPr>
      </w:pPr>
      <w:r w:rsidRPr="008B3C30">
        <w:rPr>
          <w:rFonts w:ascii="Times New Roman" w:hAnsi="Times New Roman" w:cs="Times New Roman"/>
          <w:sz w:val="24"/>
          <w:szCs w:val="24"/>
        </w:rPr>
        <w:t xml:space="preserve">Комисията за финансов надзор </w:t>
      </w:r>
      <w:r w:rsidR="004D27CC" w:rsidRPr="008B3C30">
        <w:rPr>
          <w:rFonts w:ascii="Times New Roman" w:hAnsi="Times New Roman" w:cs="Times New Roman"/>
          <w:bCs/>
          <w:iCs/>
          <w:sz w:val="24"/>
          <w:szCs w:val="24"/>
        </w:rPr>
        <w:t>осигурява</w:t>
      </w:r>
      <w:r w:rsidR="004D27CC" w:rsidRPr="008B3C30">
        <w:rPr>
          <w:rFonts w:ascii="Times New Roman" w:hAnsi="Times New Roman" w:cs="Times New Roman"/>
          <w:spacing w:val="1"/>
          <w:sz w:val="24"/>
          <w:szCs w:val="24"/>
        </w:rPr>
        <w:t xml:space="preserve"> предоставянето на актуална публична </w:t>
      </w:r>
      <w:r w:rsidR="004D27CC" w:rsidRPr="008B3C30">
        <w:rPr>
          <w:rFonts w:ascii="Times New Roman" w:hAnsi="Times New Roman" w:cs="Times New Roman"/>
          <w:spacing w:val="1"/>
          <w:sz w:val="24"/>
          <w:szCs w:val="24"/>
        </w:rPr>
        <w:lastRenderedPageBreak/>
        <w:t xml:space="preserve">финансова информация на </w:t>
      </w:r>
      <w:r w:rsidR="00DB2384" w:rsidRPr="008B3C30">
        <w:rPr>
          <w:rFonts w:ascii="Times New Roman" w:hAnsi="Times New Roman" w:cs="Times New Roman"/>
          <w:spacing w:val="1"/>
          <w:sz w:val="24"/>
          <w:szCs w:val="24"/>
        </w:rPr>
        <w:t xml:space="preserve">инвеститорите </w:t>
      </w:r>
      <w:r w:rsidR="004D27CC" w:rsidRPr="008B3C30">
        <w:rPr>
          <w:rFonts w:ascii="Times New Roman" w:hAnsi="Times New Roman" w:cs="Times New Roman"/>
          <w:spacing w:val="1"/>
          <w:sz w:val="24"/>
          <w:szCs w:val="24"/>
        </w:rPr>
        <w:t>или потенциални</w:t>
      </w:r>
      <w:r w:rsidR="00DB2384" w:rsidRPr="008B3C30">
        <w:rPr>
          <w:rFonts w:ascii="Times New Roman" w:hAnsi="Times New Roman" w:cs="Times New Roman"/>
          <w:spacing w:val="1"/>
          <w:sz w:val="24"/>
          <w:szCs w:val="24"/>
        </w:rPr>
        <w:t>те</w:t>
      </w:r>
      <w:r w:rsidR="004D27CC" w:rsidRPr="008B3C30">
        <w:rPr>
          <w:rFonts w:ascii="Times New Roman" w:hAnsi="Times New Roman" w:cs="Times New Roman"/>
          <w:spacing w:val="1"/>
          <w:sz w:val="24"/>
          <w:szCs w:val="24"/>
        </w:rPr>
        <w:t xml:space="preserve"> инвеститор</w:t>
      </w:r>
      <w:r w:rsidR="00DB2384" w:rsidRPr="008B3C30">
        <w:rPr>
          <w:rFonts w:ascii="Times New Roman" w:hAnsi="Times New Roman" w:cs="Times New Roman"/>
          <w:spacing w:val="1"/>
          <w:sz w:val="24"/>
          <w:szCs w:val="24"/>
        </w:rPr>
        <w:t>и чрез</w:t>
      </w:r>
      <w:r w:rsidR="004D27CC" w:rsidRPr="008B3C30">
        <w:rPr>
          <w:rFonts w:ascii="Times New Roman" w:hAnsi="Times New Roman" w:cs="Times New Roman"/>
          <w:spacing w:val="1"/>
          <w:sz w:val="24"/>
          <w:szCs w:val="24"/>
        </w:rPr>
        <w:t xml:space="preserve"> публикуването на </w:t>
      </w:r>
      <w:r w:rsidR="004D27CC" w:rsidRPr="008B3C30">
        <w:rPr>
          <w:rFonts w:ascii="Times New Roman" w:hAnsi="Times New Roman" w:cs="Times New Roman"/>
          <w:bCs/>
          <w:iCs/>
          <w:sz w:val="24"/>
          <w:szCs w:val="24"/>
        </w:rPr>
        <w:t>регулираната информация по отношение на публичните дружества.</w:t>
      </w:r>
    </w:p>
    <w:p w:rsidR="004D27CC" w:rsidRPr="008B3C30" w:rsidRDefault="004D27CC" w:rsidP="00520236">
      <w:pPr>
        <w:shd w:val="clear" w:color="auto" w:fill="FFFFFF"/>
        <w:spacing w:line="274" w:lineRule="exact"/>
        <w:ind w:firstLine="562"/>
        <w:jc w:val="both"/>
        <w:rPr>
          <w:rFonts w:ascii="Times New Roman" w:hAnsi="Times New Roman" w:cs="Times New Roman"/>
          <w:spacing w:val="1"/>
          <w:sz w:val="24"/>
          <w:szCs w:val="24"/>
        </w:rPr>
      </w:pPr>
      <w:r w:rsidRPr="008B3C30">
        <w:rPr>
          <w:rFonts w:ascii="Times New Roman" w:hAnsi="Times New Roman" w:cs="Times New Roman"/>
          <w:spacing w:val="2"/>
          <w:sz w:val="24"/>
          <w:szCs w:val="24"/>
        </w:rPr>
        <w:t xml:space="preserve">По отношение на допълнителното </w:t>
      </w:r>
      <w:r w:rsidR="00B37706" w:rsidRPr="008B3C30">
        <w:rPr>
          <w:rFonts w:ascii="Times New Roman" w:hAnsi="Times New Roman" w:cs="Times New Roman"/>
          <w:spacing w:val="2"/>
          <w:sz w:val="24"/>
          <w:szCs w:val="24"/>
        </w:rPr>
        <w:t>п</w:t>
      </w:r>
      <w:r w:rsidRPr="008B3C30">
        <w:rPr>
          <w:rFonts w:ascii="Times New Roman" w:hAnsi="Times New Roman" w:cs="Times New Roman"/>
          <w:spacing w:val="2"/>
          <w:sz w:val="24"/>
          <w:szCs w:val="24"/>
        </w:rPr>
        <w:t xml:space="preserve">енсионно осигуряване потребителят може да </w:t>
      </w:r>
      <w:r w:rsidRPr="008B3C30">
        <w:rPr>
          <w:rFonts w:ascii="Times New Roman" w:hAnsi="Times New Roman" w:cs="Times New Roman"/>
          <w:spacing w:val="-1"/>
          <w:sz w:val="24"/>
          <w:szCs w:val="24"/>
        </w:rPr>
        <w:t xml:space="preserve">намери информация за интересуващия го пенсионен фонд, както и друга информация от </w:t>
      </w:r>
      <w:r w:rsidRPr="008B3C30">
        <w:rPr>
          <w:rFonts w:ascii="Times New Roman" w:hAnsi="Times New Roman" w:cs="Times New Roman"/>
          <w:sz w:val="24"/>
          <w:szCs w:val="24"/>
        </w:rPr>
        <w:t xml:space="preserve">самото пенсионно дружество, включително и чрез съответната интернет страница. </w:t>
      </w:r>
      <w:r w:rsidRPr="008B3C30">
        <w:rPr>
          <w:rFonts w:ascii="Times New Roman" w:hAnsi="Times New Roman" w:cs="Times New Roman"/>
          <w:spacing w:val="-1"/>
          <w:sz w:val="24"/>
          <w:szCs w:val="24"/>
        </w:rPr>
        <w:t xml:space="preserve">Правилниците за устройството и дейността на управляваните от пенсионните дружества </w:t>
      </w:r>
      <w:r w:rsidRPr="008B3C30">
        <w:rPr>
          <w:rFonts w:ascii="Times New Roman" w:hAnsi="Times New Roman" w:cs="Times New Roman"/>
          <w:spacing w:val="1"/>
          <w:sz w:val="24"/>
          <w:szCs w:val="24"/>
        </w:rPr>
        <w:t>фондове са публикувани на интернет страницата на КФН.</w:t>
      </w:r>
    </w:p>
    <w:p w:rsidR="004D27CC" w:rsidRPr="008B3C30" w:rsidRDefault="004D27CC" w:rsidP="00520236">
      <w:pPr>
        <w:shd w:val="clear" w:color="auto" w:fill="FFFFFF"/>
        <w:spacing w:line="274" w:lineRule="exact"/>
        <w:ind w:firstLine="562"/>
        <w:jc w:val="both"/>
        <w:rPr>
          <w:rFonts w:ascii="Times New Roman" w:hAnsi="Times New Roman" w:cs="Times New Roman"/>
          <w:sz w:val="24"/>
          <w:szCs w:val="24"/>
        </w:rPr>
      </w:pPr>
      <w:r w:rsidRPr="008B3C30">
        <w:rPr>
          <w:rFonts w:ascii="Times New Roman" w:hAnsi="Times New Roman" w:cs="Times New Roman"/>
          <w:sz w:val="24"/>
          <w:szCs w:val="24"/>
        </w:rPr>
        <w:t xml:space="preserve">Пенсионните дружества изчисляват ежедневно и публикуват информация за стойността </w:t>
      </w:r>
      <w:r w:rsidRPr="008B3C30">
        <w:rPr>
          <w:rFonts w:ascii="Times New Roman" w:hAnsi="Times New Roman" w:cs="Times New Roman"/>
          <w:spacing w:val="2"/>
          <w:sz w:val="24"/>
          <w:szCs w:val="24"/>
        </w:rPr>
        <w:t xml:space="preserve">на един дял на съответните пенсионни фондове. Данни за стойността на дяловете на </w:t>
      </w:r>
      <w:r w:rsidRPr="008B3C30">
        <w:rPr>
          <w:rFonts w:ascii="Times New Roman" w:hAnsi="Times New Roman" w:cs="Times New Roman"/>
          <w:spacing w:val="8"/>
          <w:sz w:val="24"/>
          <w:szCs w:val="24"/>
        </w:rPr>
        <w:t>всички пенсионни фондове се оповестяват на интернет страницата на КФН.</w:t>
      </w:r>
    </w:p>
    <w:p w:rsidR="00954012" w:rsidRPr="008B3C30" w:rsidRDefault="00954012" w:rsidP="00520236">
      <w:pPr>
        <w:pStyle w:val="BodyText"/>
        <w:tabs>
          <w:tab w:val="center" w:pos="4854"/>
        </w:tabs>
        <w:ind w:firstLine="562"/>
        <w:rPr>
          <w:rFonts w:cs="Times New Roman"/>
          <w:b/>
          <w:sz w:val="24"/>
          <w:szCs w:val="24"/>
        </w:rPr>
      </w:pPr>
    </w:p>
    <w:p w:rsidR="00A36890" w:rsidRPr="008B3C30" w:rsidRDefault="00A36890" w:rsidP="00520236">
      <w:pPr>
        <w:pStyle w:val="BodyText"/>
        <w:tabs>
          <w:tab w:val="center" w:pos="4854"/>
        </w:tabs>
        <w:ind w:firstLine="562"/>
        <w:rPr>
          <w:rFonts w:cs="Times New Roman"/>
          <w:b/>
          <w:sz w:val="24"/>
          <w:szCs w:val="24"/>
        </w:rPr>
      </w:pPr>
    </w:p>
    <w:p w:rsidR="002C711E" w:rsidRPr="008B3C30" w:rsidRDefault="00954012" w:rsidP="00520236">
      <w:pPr>
        <w:pStyle w:val="BodyText"/>
        <w:tabs>
          <w:tab w:val="center" w:pos="4854"/>
        </w:tabs>
        <w:ind w:firstLine="0"/>
        <w:jc w:val="center"/>
        <w:rPr>
          <w:rFonts w:cs="Times New Roman"/>
          <w:b/>
          <w:sz w:val="24"/>
          <w:szCs w:val="24"/>
        </w:rPr>
      </w:pPr>
      <w:r w:rsidRPr="008B3C30">
        <w:rPr>
          <w:rFonts w:cs="Times New Roman"/>
          <w:b/>
          <w:sz w:val="24"/>
          <w:szCs w:val="24"/>
        </w:rPr>
        <w:t>Жалби</w:t>
      </w:r>
    </w:p>
    <w:p w:rsidR="00996C90" w:rsidRPr="008B3C30" w:rsidRDefault="00996C90" w:rsidP="00520236">
      <w:pPr>
        <w:pStyle w:val="BodyText"/>
        <w:tabs>
          <w:tab w:val="center" w:pos="4854"/>
        </w:tabs>
        <w:ind w:firstLine="0"/>
        <w:jc w:val="center"/>
        <w:rPr>
          <w:rFonts w:cs="Times New Roman"/>
          <w:b/>
          <w:sz w:val="24"/>
          <w:szCs w:val="24"/>
        </w:rPr>
      </w:pPr>
    </w:p>
    <w:p w:rsidR="002C711E" w:rsidRPr="008B3C30" w:rsidRDefault="00E532BD" w:rsidP="00B045C5">
      <w:pPr>
        <w:pStyle w:val="BodyText"/>
        <w:tabs>
          <w:tab w:val="center" w:pos="4854"/>
        </w:tabs>
        <w:ind w:firstLine="562"/>
        <w:rPr>
          <w:rFonts w:cs="Times New Roman"/>
          <w:sz w:val="24"/>
          <w:szCs w:val="24"/>
        </w:rPr>
      </w:pPr>
      <w:r w:rsidRPr="008B3C30">
        <w:rPr>
          <w:rFonts w:cs="Times New Roman"/>
          <w:sz w:val="24"/>
          <w:szCs w:val="24"/>
        </w:rPr>
        <w:t>Потребителите, които не са удовлетворени от предоставените финансови услуги и продукти, както и когато имат претенции към лицата, предоставящи финансовите продукти и услуги</w:t>
      </w:r>
      <w:r w:rsidR="00F10314" w:rsidRPr="008B3C30">
        <w:rPr>
          <w:rFonts w:cs="Times New Roman"/>
          <w:sz w:val="24"/>
          <w:szCs w:val="24"/>
        </w:rPr>
        <w:t>,</w:t>
      </w:r>
      <w:r w:rsidRPr="008B3C30">
        <w:rPr>
          <w:rFonts w:cs="Times New Roman"/>
          <w:sz w:val="24"/>
          <w:szCs w:val="24"/>
        </w:rPr>
        <w:t xml:space="preserve"> имат право да подадат жалба както към лицата, предоставящи услугите</w:t>
      </w:r>
      <w:r w:rsidR="001177B1" w:rsidRPr="008B3C30">
        <w:rPr>
          <w:rFonts w:cs="Times New Roman"/>
          <w:sz w:val="24"/>
          <w:szCs w:val="24"/>
        </w:rPr>
        <w:t xml:space="preserve">, </w:t>
      </w:r>
      <w:r w:rsidRPr="008B3C30">
        <w:rPr>
          <w:rFonts w:cs="Times New Roman"/>
          <w:sz w:val="24"/>
          <w:szCs w:val="24"/>
        </w:rPr>
        <w:t>така и към КФН.</w:t>
      </w:r>
    </w:p>
    <w:p w:rsidR="00E532BD" w:rsidRPr="008B3C30" w:rsidRDefault="00E532BD" w:rsidP="00AD549A">
      <w:pPr>
        <w:pStyle w:val="BodyText"/>
        <w:tabs>
          <w:tab w:val="center" w:pos="4854"/>
        </w:tabs>
        <w:ind w:firstLine="562"/>
        <w:rPr>
          <w:rFonts w:cs="Times New Roman"/>
          <w:sz w:val="24"/>
          <w:szCs w:val="24"/>
        </w:rPr>
      </w:pPr>
      <w:r w:rsidRPr="008B3C30">
        <w:rPr>
          <w:rFonts w:cs="Times New Roman"/>
          <w:sz w:val="24"/>
          <w:szCs w:val="24"/>
        </w:rPr>
        <w:t>Поднадзорните на КФН лица следва да са изградили механизми за разглеждане на потребителски жалби, както и съответни срокове за произнасяне</w:t>
      </w:r>
      <w:r w:rsidR="00F10314" w:rsidRPr="008B3C30">
        <w:rPr>
          <w:rFonts w:cs="Times New Roman"/>
          <w:sz w:val="24"/>
          <w:szCs w:val="24"/>
        </w:rPr>
        <w:t xml:space="preserve"> по тях</w:t>
      </w:r>
      <w:r w:rsidRPr="008B3C30">
        <w:rPr>
          <w:rFonts w:cs="Times New Roman"/>
          <w:sz w:val="24"/>
          <w:szCs w:val="24"/>
        </w:rPr>
        <w:t xml:space="preserve">. В Кодекса за застраховането е уреден </w:t>
      </w:r>
      <w:r w:rsidR="008E2ECF" w:rsidRPr="008B3C30">
        <w:rPr>
          <w:rFonts w:cs="Times New Roman"/>
          <w:sz w:val="24"/>
          <w:szCs w:val="24"/>
        </w:rPr>
        <w:t>срок от един месец</w:t>
      </w:r>
      <w:r w:rsidR="001B7CF7" w:rsidRPr="008B3C30">
        <w:rPr>
          <w:rFonts w:cs="Times New Roman"/>
          <w:sz w:val="24"/>
          <w:szCs w:val="24"/>
        </w:rPr>
        <w:t xml:space="preserve"> за произнасяне на застрахователя. </w:t>
      </w:r>
      <w:r w:rsidR="00890C28" w:rsidRPr="008B3C30">
        <w:rPr>
          <w:rFonts w:cs="Times New Roman"/>
          <w:sz w:val="24"/>
          <w:szCs w:val="24"/>
        </w:rPr>
        <w:t>Делегиран регламент (ЕС) 2017/565</w:t>
      </w:r>
      <w:r w:rsidR="001B7CF7" w:rsidRPr="008B3C30">
        <w:rPr>
          <w:rFonts w:cs="Times New Roman"/>
          <w:sz w:val="24"/>
          <w:szCs w:val="24"/>
        </w:rPr>
        <w:t xml:space="preserve"> </w:t>
      </w:r>
      <w:r w:rsidR="00DC0885" w:rsidRPr="008B3C30">
        <w:rPr>
          <w:rFonts w:cs="Times New Roman"/>
          <w:sz w:val="24"/>
          <w:szCs w:val="24"/>
        </w:rPr>
        <w:t>на Комисията от 25 април 2016 година</w:t>
      </w:r>
      <w:r w:rsidR="008E2ECF" w:rsidRPr="008B3C30">
        <w:rPr>
          <w:rFonts w:cs="Times New Roman"/>
          <w:sz w:val="24"/>
          <w:szCs w:val="24"/>
        </w:rPr>
        <w:t xml:space="preserve"> </w:t>
      </w:r>
      <w:r w:rsidR="00DC0885" w:rsidRPr="008B3C30">
        <w:rPr>
          <w:rFonts w:cs="Times New Roman"/>
          <w:sz w:val="24"/>
          <w:szCs w:val="24"/>
        </w:rPr>
        <w:t xml:space="preserve">за допълване на Директива 2014/65/ЕС на Европейския парламент и на Съвета по отношение на организационните изисквания и условията за извършване на дейност от инвестиционните посредници и за даването на определения за целите на посочената директива („Делегиран </w:t>
      </w:r>
      <w:r w:rsidR="001B7CF7" w:rsidRPr="008B3C30">
        <w:rPr>
          <w:rFonts w:cs="Times New Roman"/>
          <w:sz w:val="24"/>
          <w:szCs w:val="24"/>
        </w:rPr>
        <w:t>Регламент 565</w:t>
      </w:r>
      <w:r w:rsidR="00DC0885" w:rsidRPr="008B3C30">
        <w:rPr>
          <w:rFonts w:cs="Times New Roman"/>
          <w:sz w:val="24"/>
          <w:szCs w:val="24"/>
        </w:rPr>
        <w:t>/2017“)</w:t>
      </w:r>
      <w:r w:rsidR="001B7CF7" w:rsidRPr="008B3C30">
        <w:rPr>
          <w:rFonts w:cs="Times New Roman"/>
          <w:sz w:val="24"/>
          <w:szCs w:val="24"/>
        </w:rPr>
        <w:t xml:space="preserve"> </w:t>
      </w:r>
      <w:r w:rsidR="00DC0885" w:rsidRPr="008B3C30">
        <w:rPr>
          <w:rFonts w:cs="Times New Roman"/>
          <w:sz w:val="24"/>
          <w:szCs w:val="24"/>
        </w:rPr>
        <w:t>създава</w:t>
      </w:r>
      <w:r w:rsidR="001B7CF7" w:rsidRPr="008B3C30">
        <w:rPr>
          <w:rFonts w:cs="Times New Roman"/>
          <w:sz w:val="24"/>
          <w:szCs w:val="24"/>
        </w:rPr>
        <w:t xml:space="preserve"> изискване за </w:t>
      </w:r>
      <w:r w:rsidR="00DC0885" w:rsidRPr="008B3C30">
        <w:rPr>
          <w:rFonts w:cs="Times New Roman"/>
          <w:sz w:val="24"/>
          <w:szCs w:val="24"/>
        </w:rPr>
        <w:t>инвестиционните посредници да установяват, прилагат и поддържат ефективни и прозрачни политики и процедури за управление на жалби и процедури за своевременно разглеждане на жалби от клиенти или потенциални клиенти</w:t>
      </w:r>
      <w:r w:rsidR="001B7CF7" w:rsidRPr="008B3C30">
        <w:rPr>
          <w:rFonts w:cs="Times New Roman"/>
          <w:sz w:val="24"/>
          <w:szCs w:val="24"/>
        </w:rPr>
        <w:t>.</w:t>
      </w:r>
      <w:r w:rsidR="00B76492" w:rsidRPr="008B3C30">
        <w:rPr>
          <w:rFonts w:cs="Times New Roman"/>
          <w:sz w:val="24"/>
          <w:szCs w:val="24"/>
        </w:rPr>
        <w:t xml:space="preserve"> Наред с това, инвестиционните посредници следва да </w:t>
      </w:r>
      <w:r w:rsidR="003A2C4C" w:rsidRPr="008B3C30">
        <w:rPr>
          <w:rFonts w:cs="Times New Roman"/>
          <w:sz w:val="24"/>
          <w:szCs w:val="24"/>
        </w:rPr>
        <w:t>създадат</w:t>
      </w:r>
      <w:r w:rsidR="00B76492" w:rsidRPr="008B3C30">
        <w:rPr>
          <w:rFonts w:cs="Times New Roman"/>
          <w:sz w:val="24"/>
          <w:szCs w:val="24"/>
        </w:rPr>
        <w:t xml:space="preserve"> звено, което отговаря за разглеждането на жалби.</w:t>
      </w:r>
      <w:r w:rsidR="001B7CF7" w:rsidRPr="008B3C30">
        <w:rPr>
          <w:rFonts w:cs="Times New Roman"/>
          <w:sz w:val="24"/>
          <w:szCs w:val="24"/>
        </w:rPr>
        <w:t xml:space="preserve"> В отговорите </w:t>
      </w:r>
      <w:r w:rsidR="003A2C4C" w:rsidRPr="008B3C30">
        <w:rPr>
          <w:rFonts w:cs="Times New Roman"/>
          <w:sz w:val="24"/>
          <w:szCs w:val="24"/>
        </w:rPr>
        <w:t xml:space="preserve">жалбоподателите </w:t>
      </w:r>
      <w:r w:rsidR="001B7CF7" w:rsidRPr="008B3C30">
        <w:rPr>
          <w:rFonts w:cs="Times New Roman"/>
          <w:sz w:val="24"/>
          <w:szCs w:val="24"/>
        </w:rPr>
        <w:t>задължително следва да бъдат информирани за възможността за извънсъдебно решаване на споровете.</w:t>
      </w:r>
    </w:p>
    <w:p w:rsidR="00F83573" w:rsidRPr="008B3C30" w:rsidRDefault="003A2C4C" w:rsidP="00AD549A">
      <w:pPr>
        <w:pStyle w:val="BodyText"/>
        <w:tabs>
          <w:tab w:val="center" w:pos="4854"/>
        </w:tabs>
        <w:ind w:firstLine="562"/>
        <w:rPr>
          <w:rFonts w:cs="Times New Roman"/>
          <w:sz w:val="24"/>
          <w:szCs w:val="24"/>
        </w:rPr>
      </w:pPr>
      <w:r w:rsidRPr="008B3C30">
        <w:rPr>
          <w:rFonts w:cs="Times New Roman"/>
          <w:sz w:val="24"/>
          <w:szCs w:val="24"/>
        </w:rPr>
        <w:t>С</w:t>
      </w:r>
      <w:r w:rsidR="00F83573" w:rsidRPr="008B3C30">
        <w:rPr>
          <w:rFonts w:cs="Times New Roman"/>
          <w:sz w:val="24"/>
          <w:szCs w:val="24"/>
        </w:rPr>
        <w:t xml:space="preserve">ъгласно Кодекса за застраховането </w:t>
      </w:r>
      <w:r w:rsidRPr="008B3C30">
        <w:rPr>
          <w:rFonts w:cs="Times New Roman"/>
          <w:sz w:val="24"/>
          <w:szCs w:val="24"/>
        </w:rPr>
        <w:t xml:space="preserve">застрахователите </w:t>
      </w:r>
      <w:r w:rsidR="00F83573" w:rsidRPr="008B3C30">
        <w:rPr>
          <w:rFonts w:cs="Times New Roman"/>
          <w:sz w:val="24"/>
          <w:szCs w:val="24"/>
        </w:rPr>
        <w:t>са задължени да разгледат и отговорят на жалбоподателите в законово уреден срок. Те следва да спазват разработените от Европейския орган по застраховане и пенсионно осигуряване Насоки за уреждане на жалбите.</w:t>
      </w:r>
    </w:p>
    <w:p w:rsidR="001177B1" w:rsidRPr="008B3C30" w:rsidRDefault="001177B1" w:rsidP="00520236">
      <w:pPr>
        <w:ind w:firstLine="562"/>
        <w:jc w:val="both"/>
        <w:rPr>
          <w:rFonts w:ascii="Times New Roman" w:hAnsi="Times New Roman" w:cs="Times New Roman"/>
          <w:sz w:val="24"/>
          <w:szCs w:val="24"/>
        </w:rPr>
      </w:pPr>
      <w:r w:rsidRPr="008B3C30">
        <w:rPr>
          <w:rFonts w:ascii="Times New Roman" w:hAnsi="Times New Roman" w:cs="Times New Roman"/>
          <w:sz w:val="24"/>
          <w:szCs w:val="24"/>
        </w:rPr>
        <w:t>Съгласно ЗКФН е</w:t>
      </w:r>
      <w:r w:rsidR="001202BE" w:rsidRPr="008B3C30">
        <w:rPr>
          <w:rFonts w:ascii="Times New Roman" w:hAnsi="Times New Roman" w:cs="Times New Roman"/>
          <w:sz w:val="24"/>
          <w:szCs w:val="24"/>
        </w:rPr>
        <w:t xml:space="preserve">дна от функциите на члена на КФН по чл. 3, т. 5 </w:t>
      </w:r>
      <w:r w:rsidR="00483C6D" w:rsidRPr="008B3C30">
        <w:rPr>
          <w:rFonts w:ascii="Times New Roman" w:hAnsi="Times New Roman" w:cs="Times New Roman"/>
          <w:sz w:val="24"/>
          <w:szCs w:val="24"/>
        </w:rPr>
        <w:t xml:space="preserve">от </w:t>
      </w:r>
      <w:r w:rsidR="001202BE" w:rsidRPr="008B3C30">
        <w:rPr>
          <w:rFonts w:ascii="Times New Roman" w:hAnsi="Times New Roman" w:cs="Times New Roman"/>
          <w:sz w:val="24"/>
          <w:szCs w:val="24"/>
        </w:rPr>
        <w:t>ЗКФН е разглеждането на жалби, подадени срещу поднадзорни на Комисията лица, както и срещу лица</w:t>
      </w:r>
      <w:r w:rsidR="003A2C4C" w:rsidRPr="008B3C30">
        <w:rPr>
          <w:rFonts w:ascii="Times New Roman" w:hAnsi="Times New Roman" w:cs="Times New Roman"/>
          <w:sz w:val="24"/>
          <w:szCs w:val="24"/>
        </w:rPr>
        <w:t>,</w:t>
      </w:r>
      <w:r w:rsidR="001202BE" w:rsidRPr="008B3C30">
        <w:rPr>
          <w:rFonts w:ascii="Times New Roman" w:hAnsi="Times New Roman" w:cs="Times New Roman"/>
          <w:sz w:val="24"/>
          <w:szCs w:val="24"/>
        </w:rPr>
        <w:t xml:space="preserve"> които предоставят финансови продукти и услуги без лиценз, получен от нея. За изпълнението на тази функция в КФН се е наложил процес на ефективно управление на обработка на тези жалби.</w:t>
      </w:r>
      <w:r w:rsidR="008C66D1" w:rsidRPr="008B3C30">
        <w:rPr>
          <w:rFonts w:ascii="Times New Roman" w:hAnsi="Times New Roman" w:cs="Times New Roman"/>
          <w:sz w:val="24"/>
          <w:szCs w:val="24"/>
        </w:rPr>
        <w:t xml:space="preserve"> </w:t>
      </w:r>
    </w:p>
    <w:p w:rsidR="008C66D1" w:rsidRPr="008B3C30" w:rsidRDefault="001177B1" w:rsidP="00520236">
      <w:pPr>
        <w:ind w:firstLine="562"/>
        <w:jc w:val="both"/>
        <w:rPr>
          <w:rFonts w:ascii="Times New Roman" w:hAnsi="Times New Roman" w:cs="Times New Roman"/>
          <w:sz w:val="24"/>
          <w:szCs w:val="24"/>
        </w:rPr>
      </w:pPr>
      <w:r w:rsidRPr="008B3C30">
        <w:rPr>
          <w:rFonts w:ascii="Times New Roman" w:eastAsia="Calibri" w:hAnsi="Times New Roman" w:cs="Times New Roman"/>
          <w:sz w:val="24"/>
          <w:szCs w:val="24"/>
          <w:lang w:eastAsia="en-US"/>
        </w:rPr>
        <w:t xml:space="preserve">При наличието на </w:t>
      </w:r>
      <w:proofErr w:type="spellStart"/>
      <w:r w:rsidRPr="008B3C30">
        <w:rPr>
          <w:rFonts w:ascii="Times New Roman" w:eastAsia="Calibri" w:hAnsi="Times New Roman" w:cs="Times New Roman"/>
          <w:sz w:val="24"/>
          <w:szCs w:val="24"/>
          <w:lang w:eastAsia="en-US"/>
        </w:rPr>
        <w:t>неудовлетворяващо</w:t>
      </w:r>
      <w:proofErr w:type="spellEnd"/>
      <w:r w:rsidRPr="008B3C30">
        <w:rPr>
          <w:rFonts w:ascii="Times New Roman" w:eastAsia="Calibri" w:hAnsi="Times New Roman" w:cs="Times New Roman"/>
          <w:sz w:val="24"/>
          <w:szCs w:val="24"/>
          <w:lang w:eastAsia="en-US"/>
        </w:rPr>
        <w:t xml:space="preserve"> потребителя решение от страна на небанкова финансова институция, лицето може да се обърне към КФН за извършване на проверка по случая. </w:t>
      </w:r>
      <w:r w:rsidR="008C66D1" w:rsidRPr="008B3C30">
        <w:rPr>
          <w:rFonts w:ascii="Times New Roman" w:hAnsi="Times New Roman" w:cs="Times New Roman"/>
          <w:sz w:val="24"/>
          <w:szCs w:val="24"/>
        </w:rPr>
        <w:t>Комисията за финансов надзор регистрира и разглежда всяка жалба, сигнал или запитване, които постъпват в институцията. При разглеждането на всеки конкретен случай се извършва детайлна проверка, изискват се от лицата относимите документи по случаите</w:t>
      </w:r>
      <w:r w:rsidR="00650513" w:rsidRPr="008B3C30">
        <w:rPr>
          <w:rFonts w:ascii="Times New Roman" w:hAnsi="Times New Roman" w:cs="Times New Roman"/>
          <w:sz w:val="24"/>
          <w:szCs w:val="24"/>
        </w:rPr>
        <w:t>,</w:t>
      </w:r>
      <w:r w:rsidR="008C66D1" w:rsidRPr="008B3C30">
        <w:rPr>
          <w:rFonts w:ascii="Times New Roman" w:hAnsi="Times New Roman" w:cs="Times New Roman"/>
          <w:sz w:val="24"/>
          <w:szCs w:val="24"/>
        </w:rPr>
        <w:t xml:space="preserve"> включително допълнителни документи и обяснения. </w:t>
      </w:r>
      <w:r w:rsidR="00650513" w:rsidRPr="008B3C30">
        <w:rPr>
          <w:rFonts w:ascii="Times New Roman" w:hAnsi="Times New Roman" w:cs="Times New Roman"/>
          <w:sz w:val="24"/>
          <w:szCs w:val="24"/>
        </w:rPr>
        <w:t>В случай</w:t>
      </w:r>
      <w:r w:rsidR="00A05161" w:rsidRPr="008B3C30">
        <w:rPr>
          <w:rFonts w:ascii="Times New Roman" w:hAnsi="Times New Roman" w:cs="Times New Roman"/>
          <w:sz w:val="24"/>
          <w:szCs w:val="24"/>
        </w:rPr>
        <w:t>,</w:t>
      </w:r>
      <w:r w:rsidR="00650513" w:rsidRPr="008B3C30">
        <w:rPr>
          <w:rFonts w:ascii="Times New Roman" w:hAnsi="Times New Roman" w:cs="Times New Roman"/>
          <w:sz w:val="24"/>
          <w:szCs w:val="24"/>
        </w:rPr>
        <w:t xml:space="preserve"> че в</w:t>
      </w:r>
      <w:r w:rsidR="008C66D1" w:rsidRPr="008B3C30">
        <w:rPr>
          <w:rFonts w:ascii="Times New Roman" w:hAnsi="Times New Roman" w:cs="Times New Roman"/>
          <w:sz w:val="24"/>
          <w:szCs w:val="24"/>
        </w:rPr>
        <w:t xml:space="preserve"> хода на проверката</w:t>
      </w:r>
      <w:r w:rsidR="00650513" w:rsidRPr="008B3C30">
        <w:rPr>
          <w:rFonts w:ascii="Times New Roman" w:hAnsi="Times New Roman" w:cs="Times New Roman"/>
          <w:sz w:val="24"/>
          <w:szCs w:val="24"/>
        </w:rPr>
        <w:t xml:space="preserve"> бъде констатирано</w:t>
      </w:r>
      <w:r w:rsidR="008C66D1" w:rsidRPr="008B3C30">
        <w:rPr>
          <w:rFonts w:ascii="Times New Roman" w:hAnsi="Times New Roman" w:cs="Times New Roman"/>
          <w:sz w:val="24"/>
          <w:szCs w:val="24"/>
        </w:rPr>
        <w:t xml:space="preserve"> </w:t>
      </w:r>
      <w:r w:rsidR="00650513" w:rsidRPr="008B3C30">
        <w:rPr>
          <w:rFonts w:ascii="Times New Roman" w:hAnsi="Times New Roman" w:cs="Times New Roman"/>
          <w:sz w:val="24"/>
          <w:szCs w:val="24"/>
        </w:rPr>
        <w:t xml:space="preserve">нарушение на законовите разпоредби, КФН </w:t>
      </w:r>
      <w:r w:rsidR="008C66D1" w:rsidRPr="008B3C30">
        <w:rPr>
          <w:rFonts w:ascii="Times New Roman" w:hAnsi="Times New Roman" w:cs="Times New Roman"/>
          <w:sz w:val="24"/>
          <w:szCs w:val="24"/>
        </w:rPr>
        <w:t xml:space="preserve">предприема необходимите действия и мерки. Във връзка с жалбите на потребителите в повечето </w:t>
      </w:r>
      <w:r w:rsidR="008C66D1" w:rsidRPr="008B3C30">
        <w:rPr>
          <w:rFonts w:ascii="Times New Roman" w:hAnsi="Times New Roman" w:cs="Times New Roman"/>
          <w:sz w:val="24"/>
          <w:szCs w:val="24"/>
        </w:rPr>
        <w:lastRenderedPageBreak/>
        <w:t>случаи КФН има правомощия</w:t>
      </w:r>
      <w:r w:rsidR="00C20871" w:rsidRPr="008B3C30">
        <w:rPr>
          <w:rFonts w:ascii="Times New Roman" w:hAnsi="Times New Roman" w:cs="Times New Roman"/>
          <w:sz w:val="24"/>
          <w:szCs w:val="24"/>
        </w:rPr>
        <w:t>,</w:t>
      </w:r>
      <w:r w:rsidR="008C66D1" w:rsidRPr="008B3C30">
        <w:rPr>
          <w:rFonts w:ascii="Times New Roman" w:hAnsi="Times New Roman" w:cs="Times New Roman"/>
          <w:sz w:val="24"/>
          <w:szCs w:val="24"/>
        </w:rPr>
        <w:t xml:space="preserve"> свързани с осъществяване на надзор за спазване на нормативните изисквания </w:t>
      </w:r>
      <w:r w:rsidR="00C20871" w:rsidRPr="008B3C30">
        <w:rPr>
          <w:rFonts w:ascii="Times New Roman" w:hAnsi="Times New Roman" w:cs="Times New Roman"/>
          <w:sz w:val="24"/>
          <w:szCs w:val="24"/>
        </w:rPr>
        <w:t>от страна на поднадзорните лица и има ограничени правомощия за произнасяне по същество.</w:t>
      </w:r>
    </w:p>
    <w:p w:rsidR="001177B1" w:rsidRPr="008B3C30" w:rsidRDefault="001177B1" w:rsidP="00716E3C">
      <w:pPr>
        <w:shd w:val="clear" w:color="auto" w:fill="FFFFFF"/>
        <w:spacing w:line="274" w:lineRule="exact"/>
        <w:ind w:left="5" w:firstLine="562"/>
        <w:jc w:val="both"/>
        <w:rPr>
          <w:rFonts w:ascii="Times New Roman" w:hAnsi="Times New Roman" w:cs="Times New Roman"/>
          <w:spacing w:val="-1"/>
          <w:sz w:val="24"/>
          <w:szCs w:val="24"/>
        </w:rPr>
      </w:pPr>
      <w:r w:rsidRPr="008B3C30">
        <w:rPr>
          <w:rFonts w:ascii="Times New Roman" w:hAnsi="Times New Roman" w:cs="Times New Roman"/>
          <w:spacing w:val="-1"/>
          <w:sz w:val="24"/>
          <w:szCs w:val="24"/>
        </w:rPr>
        <w:t xml:space="preserve">В КФН има разработена вътрешна база данни за жалбите на потребители на небанкови финансови услуги, въз основа на която информация може да се извършват различни анализи, както за управленски цели, така и за публично ползване. </w:t>
      </w:r>
    </w:p>
    <w:p w:rsidR="001177B1" w:rsidRPr="008B3C30" w:rsidRDefault="001177B1">
      <w:pPr>
        <w:widowControl/>
        <w:autoSpaceDE/>
        <w:autoSpaceDN/>
        <w:adjustRightInd/>
        <w:ind w:firstLine="562"/>
        <w:jc w:val="both"/>
        <w:rPr>
          <w:rFonts w:ascii="Times New Roman" w:eastAsia="Calibri" w:hAnsi="Times New Roman" w:cs="Times New Roman"/>
          <w:bCs/>
          <w:sz w:val="24"/>
          <w:szCs w:val="24"/>
          <w:lang w:eastAsia="en-US"/>
        </w:rPr>
      </w:pPr>
      <w:r w:rsidRPr="008B3C30">
        <w:rPr>
          <w:rFonts w:ascii="Times New Roman" w:eastAsia="Calibri" w:hAnsi="Times New Roman" w:cs="Times New Roman"/>
          <w:bCs/>
          <w:sz w:val="24"/>
          <w:szCs w:val="24"/>
          <w:lang w:eastAsia="en-US"/>
        </w:rPr>
        <w:t>Правомощията на КФН са регламентирани в Закона за Комисията за финансов надзор и останалите нормативни актове в областта на застрахователния, осигурителния и инвестиционния надзор. По своето естество правомощията са свързани с осъществяване на надзор за законност върху дейността на поднадзорните лица и доколко същите не допускат извършването на административни нарушения на нормативните актове, регулиращи съответните материи. В случай</w:t>
      </w:r>
      <w:r w:rsidR="00B22C99" w:rsidRPr="008B3C30">
        <w:rPr>
          <w:rFonts w:ascii="Times New Roman" w:eastAsia="Calibri" w:hAnsi="Times New Roman" w:cs="Times New Roman"/>
          <w:bCs/>
          <w:sz w:val="24"/>
          <w:szCs w:val="24"/>
          <w:lang w:eastAsia="en-US"/>
        </w:rPr>
        <w:t>,</w:t>
      </w:r>
      <w:r w:rsidR="001622D1" w:rsidRPr="008B3C30">
        <w:rPr>
          <w:rFonts w:ascii="Times New Roman" w:eastAsia="Calibri" w:hAnsi="Times New Roman" w:cs="Times New Roman"/>
          <w:bCs/>
          <w:sz w:val="24"/>
          <w:szCs w:val="24"/>
          <w:lang w:eastAsia="en-US"/>
        </w:rPr>
        <w:t xml:space="preserve"> </w:t>
      </w:r>
      <w:r w:rsidRPr="008B3C30">
        <w:rPr>
          <w:rFonts w:ascii="Times New Roman" w:eastAsia="Calibri" w:hAnsi="Times New Roman" w:cs="Times New Roman"/>
          <w:bCs/>
          <w:sz w:val="24"/>
          <w:szCs w:val="24"/>
          <w:lang w:eastAsia="en-US"/>
        </w:rPr>
        <w:t>че е констатирано административно нарушение</w:t>
      </w:r>
      <w:r w:rsidR="00AD0C7D" w:rsidRPr="008B3C30">
        <w:rPr>
          <w:rFonts w:ascii="Times New Roman" w:eastAsia="Calibri" w:hAnsi="Times New Roman" w:cs="Times New Roman"/>
          <w:bCs/>
          <w:sz w:val="24"/>
          <w:szCs w:val="24"/>
          <w:lang w:eastAsia="en-US"/>
        </w:rPr>
        <w:t>,</w:t>
      </w:r>
      <w:r w:rsidRPr="008B3C30">
        <w:rPr>
          <w:rFonts w:ascii="Times New Roman" w:eastAsia="Calibri" w:hAnsi="Times New Roman" w:cs="Times New Roman"/>
          <w:bCs/>
          <w:sz w:val="24"/>
          <w:szCs w:val="24"/>
          <w:lang w:eastAsia="en-US"/>
        </w:rPr>
        <w:t xml:space="preserve"> КФН има право да налага административни наказания като се спазват разпоредбите на Закона за административните нарушения и наказания.</w:t>
      </w:r>
    </w:p>
    <w:p w:rsidR="00124AED" w:rsidRPr="008B3C30" w:rsidRDefault="00650513">
      <w:pPr>
        <w:widowControl/>
        <w:autoSpaceDE/>
        <w:autoSpaceDN/>
        <w:adjustRightInd/>
        <w:ind w:firstLine="562"/>
        <w:jc w:val="both"/>
        <w:rPr>
          <w:rFonts w:ascii="Times New Roman" w:eastAsia="Calibri" w:hAnsi="Times New Roman" w:cs="Times New Roman"/>
          <w:bCs/>
          <w:sz w:val="24"/>
          <w:szCs w:val="24"/>
          <w:lang w:eastAsia="en-US"/>
        </w:rPr>
      </w:pPr>
      <w:r w:rsidRPr="008B3C30">
        <w:rPr>
          <w:rFonts w:ascii="Times New Roman" w:eastAsia="Calibri" w:hAnsi="Times New Roman" w:cs="Times New Roman"/>
          <w:bCs/>
          <w:sz w:val="24"/>
          <w:szCs w:val="24"/>
          <w:lang w:eastAsia="en-US"/>
        </w:rPr>
        <w:t>Наред с горепосоченото, КФН разглежда и жалби на български и чуждестранни физически лица срещу дружества и електронни платформи, предоставящи инвестиционни услуги без лиценз, както и срещу такива, които чрез въвеждане на лицата в заблуда събират парични средства от голям брой потребители. В тези случаи служители на отдел „НИППФИРПЗ“ към</w:t>
      </w:r>
      <w:r w:rsidR="00124AED" w:rsidRPr="008B3C30">
        <w:rPr>
          <w:rFonts w:ascii="Times New Roman" w:eastAsia="Calibri" w:hAnsi="Times New Roman" w:cs="Times New Roman"/>
          <w:bCs/>
          <w:sz w:val="24"/>
          <w:szCs w:val="24"/>
          <w:lang w:eastAsia="en-US"/>
        </w:rPr>
        <w:t xml:space="preserve"> Дирекция</w:t>
      </w:r>
      <w:r w:rsidRPr="008B3C30">
        <w:rPr>
          <w:rFonts w:ascii="Times New Roman" w:eastAsia="Calibri" w:hAnsi="Times New Roman" w:cs="Times New Roman"/>
          <w:bCs/>
          <w:sz w:val="24"/>
          <w:szCs w:val="24"/>
          <w:lang w:eastAsia="en-US"/>
        </w:rPr>
        <w:t xml:space="preserve"> „НИД“ извършват проверка, като изискват информация от лицата, срещу които е насочена жалбата, изпращат предупреждения относно административните санкции при извършване на инвестиционна дейност без лиценз, съставят актове за установяване на административни нарушения, в случаите когато има достатъчно сведения и други доказателства за това</w:t>
      </w:r>
      <w:r w:rsidR="00124AED" w:rsidRPr="008B3C30">
        <w:rPr>
          <w:rFonts w:ascii="Times New Roman" w:eastAsia="Calibri" w:hAnsi="Times New Roman" w:cs="Times New Roman"/>
          <w:bCs/>
          <w:sz w:val="24"/>
          <w:szCs w:val="24"/>
          <w:lang w:eastAsia="en-US"/>
        </w:rPr>
        <w:t>, а при наличие на основателни съмнения за извършено престъпление изпращат информация на съответните компетентни органи.</w:t>
      </w:r>
    </w:p>
    <w:p w:rsidR="00650513" w:rsidRPr="008B3C30" w:rsidRDefault="00124AED">
      <w:pPr>
        <w:widowControl/>
        <w:autoSpaceDE/>
        <w:autoSpaceDN/>
        <w:adjustRightInd/>
        <w:ind w:firstLine="562"/>
        <w:jc w:val="both"/>
        <w:rPr>
          <w:rFonts w:ascii="Times New Roman" w:eastAsia="Calibri" w:hAnsi="Times New Roman" w:cs="Times New Roman"/>
          <w:bCs/>
          <w:sz w:val="24"/>
          <w:szCs w:val="24"/>
          <w:lang w:eastAsia="en-US"/>
        </w:rPr>
      </w:pPr>
      <w:r w:rsidRPr="008B3C30">
        <w:rPr>
          <w:rFonts w:ascii="Times New Roman" w:eastAsia="Calibri" w:hAnsi="Times New Roman" w:cs="Times New Roman"/>
          <w:bCs/>
          <w:sz w:val="24"/>
          <w:szCs w:val="24"/>
          <w:lang w:eastAsia="en-US"/>
        </w:rPr>
        <w:t xml:space="preserve">В секцията „Предупреждения за потребителите“, налична на интернет страницата на КФН, се поддържа и актуализира списък с дружества, които не са лицензирани от КФН и нямат право да извършват дейност като инвестиционен посредник или управляващо дружество на територията на Република България. </w:t>
      </w:r>
      <w:r w:rsidR="00850F82" w:rsidRPr="008B3C30">
        <w:rPr>
          <w:rFonts w:ascii="Times New Roman" w:eastAsia="Calibri" w:hAnsi="Times New Roman" w:cs="Times New Roman"/>
          <w:bCs/>
          <w:sz w:val="24"/>
          <w:szCs w:val="24"/>
          <w:lang w:eastAsia="en-US"/>
        </w:rPr>
        <w:t>Списъкът съдържа информация относно юридическите лица, пл</w:t>
      </w:r>
      <w:r w:rsidR="0030024D" w:rsidRPr="008B3C30">
        <w:rPr>
          <w:rFonts w:ascii="Times New Roman" w:eastAsia="Calibri" w:hAnsi="Times New Roman" w:cs="Times New Roman"/>
          <w:bCs/>
          <w:sz w:val="24"/>
          <w:szCs w:val="24"/>
          <w:lang w:eastAsia="en-US"/>
        </w:rPr>
        <w:t>атформите, чрез които оперират, свързаните им лица и др.</w:t>
      </w:r>
    </w:p>
    <w:p w:rsidR="001177B1" w:rsidRPr="008B3C30" w:rsidRDefault="001177B1">
      <w:pPr>
        <w:widowControl/>
        <w:autoSpaceDE/>
        <w:autoSpaceDN/>
        <w:adjustRightInd/>
        <w:ind w:firstLine="562"/>
        <w:jc w:val="both"/>
        <w:rPr>
          <w:rFonts w:ascii="Times New Roman" w:eastAsia="Calibri" w:hAnsi="Times New Roman" w:cs="Times New Roman"/>
          <w:sz w:val="24"/>
          <w:szCs w:val="24"/>
          <w:lang w:eastAsia="en-US"/>
        </w:rPr>
      </w:pPr>
      <w:r w:rsidRPr="008B3C30">
        <w:rPr>
          <w:rFonts w:ascii="Times New Roman" w:eastAsia="Calibri" w:hAnsi="Times New Roman" w:cs="Times New Roman"/>
          <w:sz w:val="24"/>
          <w:szCs w:val="24"/>
          <w:lang w:eastAsia="en-US"/>
        </w:rPr>
        <w:t xml:space="preserve">Следва да се посочи, че КФН има ограничени правомощия, с оглед на което при </w:t>
      </w:r>
      <w:proofErr w:type="spellStart"/>
      <w:r w:rsidRPr="008B3C30">
        <w:rPr>
          <w:rFonts w:ascii="Times New Roman" w:eastAsia="Calibri" w:hAnsi="Times New Roman" w:cs="Times New Roman"/>
          <w:sz w:val="24"/>
          <w:szCs w:val="24"/>
          <w:lang w:eastAsia="en-US"/>
        </w:rPr>
        <w:t>неудовлетворяващ</w:t>
      </w:r>
      <w:proofErr w:type="spellEnd"/>
      <w:r w:rsidRPr="008B3C30">
        <w:rPr>
          <w:rFonts w:ascii="Times New Roman" w:eastAsia="Calibri" w:hAnsi="Times New Roman" w:cs="Times New Roman"/>
          <w:sz w:val="24"/>
          <w:szCs w:val="24"/>
          <w:lang w:eastAsia="en-US"/>
        </w:rPr>
        <w:t xml:space="preserve"> за потребителя отговор след извършената проверка, лицето има право да потърси правата си чрез помирително производство или по съдебен ред.</w:t>
      </w:r>
    </w:p>
    <w:p w:rsidR="001B7CF7" w:rsidRPr="008B3C30" w:rsidRDefault="001B7CF7">
      <w:pPr>
        <w:pStyle w:val="BodyText"/>
        <w:tabs>
          <w:tab w:val="center" w:pos="4854"/>
        </w:tabs>
        <w:ind w:firstLine="562"/>
        <w:rPr>
          <w:rFonts w:cs="Times New Roman"/>
          <w:sz w:val="24"/>
          <w:szCs w:val="24"/>
        </w:rPr>
      </w:pPr>
    </w:p>
    <w:p w:rsidR="0022385E" w:rsidRPr="008B3C30" w:rsidRDefault="0022385E" w:rsidP="00520236">
      <w:pPr>
        <w:shd w:val="clear" w:color="auto" w:fill="FFFFFF"/>
        <w:tabs>
          <w:tab w:val="left" w:leader="dot" w:pos="8923"/>
        </w:tabs>
        <w:spacing w:line="274" w:lineRule="exact"/>
        <w:jc w:val="center"/>
        <w:rPr>
          <w:rFonts w:ascii="Times New Roman" w:hAnsi="Times New Roman" w:cs="Times New Roman"/>
          <w:b/>
          <w:spacing w:val="-3"/>
          <w:sz w:val="24"/>
          <w:szCs w:val="24"/>
        </w:rPr>
      </w:pPr>
    </w:p>
    <w:p w:rsidR="00954012" w:rsidRPr="008B3C30" w:rsidRDefault="00954012" w:rsidP="00520236">
      <w:pPr>
        <w:shd w:val="clear" w:color="auto" w:fill="FFFFFF"/>
        <w:tabs>
          <w:tab w:val="left" w:leader="dot" w:pos="8923"/>
        </w:tabs>
        <w:spacing w:line="274" w:lineRule="exact"/>
        <w:jc w:val="center"/>
        <w:rPr>
          <w:rFonts w:ascii="Times New Roman" w:hAnsi="Times New Roman" w:cs="Times New Roman"/>
          <w:b/>
          <w:spacing w:val="-3"/>
          <w:sz w:val="24"/>
          <w:szCs w:val="24"/>
        </w:rPr>
      </w:pPr>
      <w:r w:rsidRPr="008B3C30">
        <w:rPr>
          <w:rFonts w:ascii="Times New Roman" w:hAnsi="Times New Roman" w:cs="Times New Roman"/>
          <w:b/>
          <w:spacing w:val="-3"/>
          <w:sz w:val="24"/>
          <w:szCs w:val="24"/>
        </w:rPr>
        <w:t>Извънсъдебно решаване на споровете</w:t>
      </w:r>
    </w:p>
    <w:p w:rsidR="00B045C5" w:rsidRPr="008B3C30" w:rsidRDefault="00B045C5" w:rsidP="00AD549A">
      <w:pPr>
        <w:shd w:val="clear" w:color="auto" w:fill="FFFFFF"/>
        <w:tabs>
          <w:tab w:val="left" w:leader="dot" w:pos="8923"/>
        </w:tabs>
        <w:spacing w:line="274" w:lineRule="exact"/>
        <w:ind w:firstLine="562"/>
        <w:jc w:val="both"/>
        <w:rPr>
          <w:rFonts w:ascii="Times New Roman" w:hAnsi="Times New Roman" w:cs="Times New Roman"/>
          <w:b/>
          <w:spacing w:val="-3"/>
          <w:sz w:val="24"/>
          <w:szCs w:val="24"/>
        </w:rPr>
      </w:pPr>
    </w:p>
    <w:p w:rsidR="001052EF" w:rsidRPr="008B3C30" w:rsidRDefault="00132DB3" w:rsidP="00EA2FF5">
      <w:pPr>
        <w:pStyle w:val="ecl-paragraph"/>
        <w:spacing w:before="0" w:beforeAutospacing="0" w:after="0" w:afterAutospacing="0"/>
        <w:ind w:firstLine="708"/>
        <w:jc w:val="both"/>
      </w:pPr>
      <w:r w:rsidRPr="008B3C30">
        <w:t xml:space="preserve">Европейската комисия поддържа </w:t>
      </w:r>
      <w:r w:rsidR="003E36D1" w:rsidRPr="008B3C30">
        <w:t>Платформа за он</w:t>
      </w:r>
      <w:r w:rsidRPr="008B3C30">
        <w:t>лайн решаване на спорове (ОРС),</w:t>
      </w:r>
      <w:r w:rsidR="003E36D1" w:rsidRPr="008B3C30">
        <w:t xml:space="preserve"> </w:t>
      </w:r>
      <w:r w:rsidRPr="008B3C30">
        <w:t xml:space="preserve">с която се дава </w:t>
      </w:r>
      <w:r w:rsidR="003E36D1" w:rsidRPr="008B3C30">
        <w:t xml:space="preserve">възможност на потребителите и търговците в </w:t>
      </w:r>
      <w:r w:rsidRPr="008B3C30">
        <w:t xml:space="preserve">рамките на </w:t>
      </w:r>
      <w:r w:rsidR="003E36D1" w:rsidRPr="008B3C30">
        <w:t xml:space="preserve">ЕС, </w:t>
      </w:r>
      <w:r w:rsidRPr="008B3C30">
        <w:t xml:space="preserve">включително </w:t>
      </w:r>
      <w:r w:rsidR="00716E3C" w:rsidRPr="008B3C30">
        <w:t>от</w:t>
      </w:r>
      <w:r w:rsidRPr="008B3C30">
        <w:t xml:space="preserve"> </w:t>
      </w:r>
      <w:r w:rsidR="003E36D1" w:rsidRPr="008B3C30">
        <w:t>Норвегия, Исландия и Лихтенщайн</w:t>
      </w:r>
      <w:r w:rsidR="00D87A28" w:rsidRPr="008B3C30">
        <w:t>,</w:t>
      </w:r>
      <w:r w:rsidR="003E36D1" w:rsidRPr="008B3C30">
        <w:t xml:space="preserve"> да намират решение на </w:t>
      </w:r>
      <w:r w:rsidRPr="008B3C30">
        <w:t xml:space="preserve">възникнали правни </w:t>
      </w:r>
      <w:r w:rsidR="003E36D1" w:rsidRPr="008B3C30">
        <w:t>спорове относно о</w:t>
      </w:r>
      <w:r w:rsidRPr="008B3C30">
        <w:t>нлайн покупки на стоки и услуги извънсъдебно</w:t>
      </w:r>
      <w:r w:rsidR="003E36D1" w:rsidRPr="008B3C30">
        <w:t>.</w:t>
      </w:r>
      <w:r w:rsidRPr="008B3C30">
        <w:t xml:space="preserve"> </w:t>
      </w:r>
      <w:r w:rsidR="003E36D1" w:rsidRPr="008B3C30">
        <w:t xml:space="preserve">Платформата </w:t>
      </w:r>
      <w:r w:rsidRPr="008B3C30">
        <w:t>не е свързана с търговец, като същевременно на потребителите е предоставена възможността да</w:t>
      </w:r>
      <w:r w:rsidR="003E36D1" w:rsidRPr="008B3C30">
        <w:t xml:space="preserve"> я използват, за да поискат </w:t>
      </w:r>
      <w:r w:rsidRPr="008B3C30">
        <w:t xml:space="preserve">подадената от тях </w:t>
      </w:r>
      <w:r w:rsidR="003E36D1" w:rsidRPr="008B3C30">
        <w:t xml:space="preserve">жалба да бъде разгледана от одобрен </w:t>
      </w:r>
      <w:r w:rsidRPr="008B3C30">
        <w:t xml:space="preserve">за решаване на споровете </w:t>
      </w:r>
      <w:r w:rsidR="003E36D1" w:rsidRPr="008B3C30">
        <w:t>орган.</w:t>
      </w:r>
      <w:r w:rsidRPr="008B3C30">
        <w:t xml:space="preserve"> </w:t>
      </w:r>
      <w:r w:rsidR="003E36D1" w:rsidRPr="008B3C30">
        <w:t xml:space="preserve">Органите за решаване на спорове са безпристрастни организации или лица, които помагат на потребителите и търговците да постигнат извънсъдебно споразумение. </w:t>
      </w:r>
      <w:r w:rsidR="00716E3C" w:rsidRPr="008B3C30">
        <w:t>Платформата съдържа детайлна информация относно процес</w:t>
      </w:r>
      <w:r w:rsidR="00971098" w:rsidRPr="008B3C30">
        <w:t>а</w:t>
      </w:r>
      <w:r w:rsidR="00716E3C" w:rsidRPr="008B3C30">
        <w:t xml:space="preserve"> по решаване на жалбите</w:t>
      </w:r>
      <w:r w:rsidR="001052EF" w:rsidRPr="008B3C30">
        <w:t>.</w:t>
      </w:r>
    </w:p>
    <w:p w:rsidR="001177B1" w:rsidRPr="008B3C30" w:rsidRDefault="004D27CC" w:rsidP="00EA2FF5">
      <w:pPr>
        <w:pStyle w:val="ecl-paragraph"/>
        <w:spacing w:before="0" w:beforeAutospacing="0" w:after="0" w:afterAutospacing="0"/>
        <w:ind w:firstLine="708"/>
        <w:jc w:val="both"/>
      </w:pPr>
      <w:r w:rsidRPr="008B3C30">
        <w:t>С изменението на Закона за защита на потребителите през 201</w:t>
      </w:r>
      <w:r w:rsidR="00F83573" w:rsidRPr="008B3C30">
        <w:t>5</w:t>
      </w:r>
      <w:r w:rsidR="00EA2FF5" w:rsidRPr="008B3C30">
        <w:t xml:space="preserve"> г.</w:t>
      </w:r>
      <w:r w:rsidR="00A92D00" w:rsidRPr="008B3C30">
        <w:t>,</w:t>
      </w:r>
      <w:r w:rsidRPr="008B3C30">
        <w:t xml:space="preserve"> чрез което се транспонира изискването на </w:t>
      </w:r>
      <w:r w:rsidR="00996C90" w:rsidRPr="008B3C30">
        <w:t xml:space="preserve">Директива 2011/83/ЕС на Европейския парламент и на </w:t>
      </w:r>
      <w:r w:rsidR="00996C90" w:rsidRPr="008B3C30">
        <w:lastRenderedPageBreak/>
        <w:t>Съвета от 25</w:t>
      </w:r>
      <w:r w:rsidR="00996C90" w:rsidRPr="008B3C30">
        <w:rPr>
          <w:vertAlign w:val="superscript"/>
        </w:rPr>
        <w:t>-ти</w:t>
      </w:r>
      <w:r w:rsidR="00996C90" w:rsidRPr="008B3C30">
        <w:t xml:space="preserve"> октомври 2011 година относно правата на потребителите</w:t>
      </w:r>
      <w:r w:rsidR="00971098" w:rsidRPr="008B3C30">
        <w:t>,</w:t>
      </w:r>
      <w:r w:rsidR="00996C90" w:rsidRPr="008B3C30" w:rsidDel="00996C90">
        <w:t xml:space="preserve"> </w:t>
      </w:r>
      <w:r w:rsidRPr="008B3C30">
        <w:t>е въведена възможност за извънсъдебно решаване на спорове на потребители на небанкови финансови услуги с лицата, които предоставят тези услуги с помощта на помирителни комисии към Комисията за защита на потребителите.</w:t>
      </w:r>
    </w:p>
    <w:p w:rsidR="001177B1" w:rsidRPr="008B3C30" w:rsidRDefault="001177B1" w:rsidP="00AD549A">
      <w:pPr>
        <w:widowControl/>
        <w:autoSpaceDE/>
        <w:autoSpaceDN/>
        <w:adjustRightInd/>
        <w:ind w:firstLine="562"/>
        <w:jc w:val="both"/>
        <w:rPr>
          <w:rFonts w:ascii="Times New Roman" w:eastAsia="Calibri" w:hAnsi="Times New Roman" w:cs="Times New Roman"/>
          <w:sz w:val="24"/>
          <w:szCs w:val="24"/>
          <w:lang w:eastAsia="en-US"/>
        </w:rPr>
      </w:pPr>
      <w:r w:rsidRPr="008B3C30">
        <w:rPr>
          <w:rFonts w:ascii="Times New Roman" w:eastAsia="Calibri" w:hAnsi="Times New Roman" w:cs="Times New Roman"/>
          <w:sz w:val="24"/>
          <w:szCs w:val="24"/>
          <w:lang w:eastAsia="en-US"/>
        </w:rPr>
        <w:t>В Закона за защита на потребителите е предвидено създаването на общи и секторни помирителни комисии за разрешаване на потребителски спорове към Комисия</w:t>
      </w:r>
      <w:r w:rsidR="00971098" w:rsidRPr="008B3C30">
        <w:rPr>
          <w:rFonts w:ascii="Times New Roman" w:eastAsia="Calibri" w:hAnsi="Times New Roman" w:cs="Times New Roman"/>
          <w:sz w:val="24"/>
          <w:szCs w:val="24"/>
          <w:lang w:eastAsia="en-US"/>
        </w:rPr>
        <w:t>та</w:t>
      </w:r>
      <w:r w:rsidRPr="008B3C30">
        <w:rPr>
          <w:rFonts w:ascii="Times New Roman" w:eastAsia="Calibri" w:hAnsi="Times New Roman" w:cs="Times New Roman"/>
          <w:sz w:val="24"/>
          <w:szCs w:val="24"/>
          <w:lang w:eastAsia="en-US"/>
        </w:rPr>
        <w:t xml:space="preserve"> за защита на потребителите. Производствата пред общи и секторни помирителни комисии и</w:t>
      </w:r>
      <w:r w:rsidR="001052EF" w:rsidRPr="008B3C30">
        <w:rPr>
          <w:rFonts w:ascii="Times New Roman" w:eastAsia="Calibri" w:hAnsi="Times New Roman" w:cs="Times New Roman"/>
          <w:sz w:val="24"/>
          <w:szCs w:val="24"/>
          <w:lang w:eastAsia="en-US"/>
        </w:rPr>
        <w:t>ли</w:t>
      </w:r>
      <w:r w:rsidRPr="008B3C30">
        <w:rPr>
          <w:rFonts w:ascii="Times New Roman" w:eastAsia="Calibri" w:hAnsi="Times New Roman" w:cs="Times New Roman"/>
          <w:sz w:val="24"/>
          <w:szCs w:val="24"/>
          <w:lang w:eastAsia="en-US"/>
        </w:rPr>
        <w:t xml:space="preserve"> </w:t>
      </w:r>
      <w:proofErr w:type="spellStart"/>
      <w:r w:rsidRPr="008B3C30">
        <w:rPr>
          <w:rFonts w:ascii="Times New Roman" w:eastAsia="Calibri" w:hAnsi="Times New Roman" w:cs="Times New Roman"/>
          <w:sz w:val="24"/>
          <w:szCs w:val="24"/>
          <w:lang w:eastAsia="en-US"/>
        </w:rPr>
        <w:t>медиатор</w:t>
      </w:r>
      <w:proofErr w:type="spellEnd"/>
      <w:r w:rsidRPr="008B3C30">
        <w:rPr>
          <w:rFonts w:ascii="Times New Roman" w:eastAsia="Calibri" w:hAnsi="Times New Roman" w:cs="Times New Roman"/>
          <w:sz w:val="24"/>
          <w:szCs w:val="24"/>
          <w:lang w:eastAsia="en-US"/>
        </w:rPr>
        <w:t xml:space="preserve"> не е задължителна предпоставка за предявяване на иск в съда. </w:t>
      </w:r>
      <w:r w:rsidRPr="008B3C30">
        <w:rPr>
          <w:rFonts w:ascii="Times New Roman" w:hAnsi="Times New Roman" w:cs="Times New Roman"/>
          <w:sz w:val="24"/>
          <w:szCs w:val="24"/>
        </w:rPr>
        <w:t>Помирителното производство е безплатно за потребителите</w:t>
      </w:r>
      <w:r w:rsidR="001052EF" w:rsidRPr="008B3C30">
        <w:rPr>
          <w:rFonts w:ascii="Times New Roman" w:hAnsi="Times New Roman" w:cs="Times New Roman"/>
          <w:sz w:val="24"/>
          <w:szCs w:val="24"/>
        </w:rPr>
        <w:t xml:space="preserve">. </w:t>
      </w:r>
      <w:r w:rsidRPr="008B3C30">
        <w:rPr>
          <w:rFonts w:ascii="Times New Roman" w:eastAsia="Calibri" w:hAnsi="Times New Roman" w:cs="Times New Roman"/>
          <w:sz w:val="24"/>
          <w:szCs w:val="24"/>
          <w:lang w:eastAsia="en-US"/>
        </w:rPr>
        <w:t xml:space="preserve">Давността спира да тече, когато е образувано производство пред общи и секторни помирителни комисии или </w:t>
      </w:r>
      <w:proofErr w:type="spellStart"/>
      <w:r w:rsidRPr="008B3C30">
        <w:rPr>
          <w:rFonts w:ascii="Times New Roman" w:eastAsia="Calibri" w:hAnsi="Times New Roman" w:cs="Times New Roman"/>
          <w:sz w:val="24"/>
          <w:szCs w:val="24"/>
          <w:lang w:eastAsia="en-US"/>
        </w:rPr>
        <w:t>медиатор</w:t>
      </w:r>
      <w:proofErr w:type="spellEnd"/>
      <w:r w:rsidRPr="008B3C30">
        <w:rPr>
          <w:rFonts w:ascii="Times New Roman" w:eastAsia="Calibri" w:hAnsi="Times New Roman" w:cs="Times New Roman"/>
          <w:sz w:val="24"/>
          <w:szCs w:val="24"/>
          <w:lang w:eastAsia="en-US"/>
        </w:rPr>
        <w:t>.</w:t>
      </w:r>
    </w:p>
    <w:p w:rsidR="001177B1" w:rsidRPr="008B3C30" w:rsidRDefault="001177B1" w:rsidP="00AD549A">
      <w:pPr>
        <w:widowControl/>
        <w:autoSpaceDE/>
        <w:autoSpaceDN/>
        <w:adjustRightInd/>
        <w:ind w:firstLine="562"/>
        <w:jc w:val="both"/>
        <w:rPr>
          <w:rFonts w:ascii="Times New Roman" w:eastAsia="Calibri" w:hAnsi="Times New Roman" w:cs="Times New Roman"/>
          <w:sz w:val="24"/>
          <w:szCs w:val="24"/>
          <w:lang w:eastAsia="en-US"/>
        </w:rPr>
      </w:pPr>
      <w:r w:rsidRPr="008B3C30">
        <w:rPr>
          <w:rFonts w:ascii="Times New Roman" w:eastAsia="Calibri" w:hAnsi="Times New Roman" w:cs="Times New Roman"/>
          <w:sz w:val="24"/>
          <w:szCs w:val="24"/>
          <w:lang w:eastAsia="en-US"/>
        </w:rPr>
        <w:t>Съществуването на извънсъдебни процедури за уреждане на потребителски спорове има за цел да защити правата на потребителите като им спести време и финансови ресурси за водене на съдебни процеси, които в повечето случаи продължават с години.</w:t>
      </w:r>
    </w:p>
    <w:p w:rsidR="002C711E" w:rsidRPr="008B3C30" w:rsidRDefault="004D27CC" w:rsidP="00520236">
      <w:pPr>
        <w:pStyle w:val="BodyText"/>
        <w:tabs>
          <w:tab w:val="center" w:pos="4854"/>
        </w:tabs>
        <w:ind w:firstLine="562"/>
        <w:rPr>
          <w:rFonts w:cs="Times New Roman"/>
          <w:sz w:val="24"/>
          <w:szCs w:val="24"/>
        </w:rPr>
      </w:pPr>
      <w:r w:rsidRPr="008B3C30">
        <w:rPr>
          <w:rFonts w:cs="Times New Roman"/>
          <w:sz w:val="24"/>
          <w:szCs w:val="24"/>
        </w:rPr>
        <w:t xml:space="preserve">В областта на небанковия финансов сектор са формирани три помирителни комисии </w:t>
      </w:r>
      <w:r w:rsidR="005B11D8" w:rsidRPr="008B3C30">
        <w:rPr>
          <w:rFonts w:cs="Times New Roman"/>
        </w:rPr>
        <w:t>–</w:t>
      </w:r>
      <w:r w:rsidRPr="008B3C30">
        <w:rPr>
          <w:rFonts w:cs="Times New Roman"/>
          <w:sz w:val="24"/>
          <w:szCs w:val="24"/>
        </w:rPr>
        <w:t xml:space="preserve"> </w:t>
      </w:r>
      <w:r w:rsidR="00F90EED" w:rsidRPr="008B3C30">
        <w:rPr>
          <w:rFonts w:cs="Times New Roman"/>
          <w:bCs/>
          <w:sz w:val="24"/>
          <w:szCs w:val="24"/>
        </w:rPr>
        <w:t>С</w:t>
      </w:r>
      <w:r w:rsidR="00C20871" w:rsidRPr="008B3C30">
        <w:rPr>
          <w:rFonts w:cs="Times New Roman"/>
          <w:bCs/>
          <w:sz w:val="24"/>
          <w:szCs w:val="24"/>
        </w:rPr>
        <w:t>екторна помирителна комисия за разглеждане на спорове в областта на застраховането и застрахователното посредничество, включително и при предоставянето на финансови услуги от разстояние в тези сектори</w:t>
      </w:r>
      <w:r w:rsidR="00F90EED" w:rsidRPr="008B3C30">
        <w:rPr>
          <w:rFonts w:cs="Times New Roman"/>
          <w:bCs/>
          <w:sz w:val="24"/>
          <w:szCs w:val="24"/>
        </w:rPr>
        <w:t>; Секторна помирителна комисия за разглеждане на спорове в областта на допълнителното социално осигуряване, на дейностите по осигурително посредничество, включително и при предоставянето на финансови услуги от разстояние в тези сектори;</w:t>
      </w:r>
      <w:r w:rsidR="00F90EED" w:rsidRPr="008B3C30" w:rsidDel="00F90EED">
        <w:rPr>
          <w:rFonts w:cs="Times New Roman"/>
          <w:bCs/>
          <w:sz w:val="24"/>
          <w:szCs w:val="24"/>
        </w:rPr>
        <w:t xml:space="preserve"> </w:t>
      </w:r>
      <w:r w:rsidR="00F90EED" w:rsidRPr="008B3C30">
        <w:rPr>
          <w:rFonts w:cs="Times New Roman"/>
          <w:bCs/>
          <w:sz w:val="24"/>
          <w:szCs w:val="24"/>
        </w:rPr>
        <w:t>Секторна помирителна комисия за разглеждане на спорове в областта на дейностите и услугите по чл. 5, ал. 2 и 3 от Закона за пазарите на финансови инструменти и на дейностите и услугите по чл. 86, ал. 1 и 2 от Закона за дейността на колективните инвестиционни схеми и на други предприятия за колективно инвестиране, включително и при предоставянето на финансови услуги от разстояние в тези сектори.</w:t>
      </w:r>
      <w:r w:rsidR="00F90EED" w:rsidRPr="008B3C30" w:rsidDel="00F90EED">
        <w:rPr>
          <w:rFonts w:cs="Times New Roman"/>
          <w:bCs/>
          <w:sz w:val="24"/>
          <w:szCs w:val="24"/>
        </w:rPr>
        <w:t xml:space="preserve"> </w:t>
      </w:r>
      <w:r w:rsidRPr="008B3C30">
        <w:rPr>
          <w:rFonts w:cs="Times New Roman"/>
          <w:sz w:val="24"/>
          <w:szCs w:val="24"/>
        </w:rPr>
        <w:t xml:space="preserve">В тези комисии участват експерти от КФН. </w:t>
      </w:r>
    </w:p>
    <w:p w:rsidR="00C20871" w:rsidRPr="008B3C30" w:rsidRDefault="00C20871" w:rsidP="00716E3C">
      <w:pPr>
        <w:pStyle w:val="m"/>
        <w:ind w:firstLine="562"/>
        <w:rPr>
          <w:color w:val="auto"/>
        </w:rPr>
      </w:pPr>
      <w:r w:rsidRPr="008B3C30">
        <w:rPr>
          <w:color w:val="auto"/>
        </w:rPr>
        <w:t>Сезирането на секторната помирителна комисия се извършва с подаване на заявление в писмена форма до Комисията за защита на потребителите като заявлението и придружаващите го документи могат да бъдат подадени и по електронна поща или онлайн чрез интернет страницата на Комисията за защита на потребителите. Помирителното производство съдейства за разрешаване на спорове между потребители и търговци чрез помирително предложение за страните, което, след като бъде одобрено от тях, има сила на споразумение между тях.</w:t>
      </w:r>
    </w:p>
    <w:p w:rsidR="004D27CC" w:rsidRPr="008B3C30" w:rsidRDefault="004D27CC" w:rsidP="00520236">
      <w:pPr>
        <w:pStyle w:val="BodyText"/>
        <w:tabs>
          <w:tab w:val="center" w:pos="4854"/>
        </w:tabs>
        <w:ind w:firstLine="562"/>
        <w:rPr>
          <w:rFonts w:cs="Times New Roman"/>
          <w:sz w:val="24"/>
          <w:szCs w:val="24"/>
        </w:rPr>
      </w:pPr>
    </w:p>
    <w:p w:rsidR="0022385E" w:rsidRPr="008B3C30" w:rsidRDefault="0022385E" w:rsidP="00AC751A">
      <w:pPr>
        <w:shd w:val="clear" w:color="auto" w:fill="FFFFFF"/>
        <w:spacing w:line="274" w:lineRule="exact"/>
        <w:ind w:left="5" w:hanging="5"/>
        <w:jc w:val="center"/>
        <w:rPr>
          <w:rFonts w:ascii="Times New Roman" w:hAnsi="Times New Roman" w:cs="Times New Roman"/>
          <w:b/>
          <w:iCs/>
          <w:spacing w:val="6"/>
          <w:sz w:val="24"/>
          <w:szCs w:val="24"/>
        </w:rPr>
      </w:pPr>
    </w:p>
    <w:p w:rsidR="002C711E" w:rsidRPr="008B3C30" w:rsidRDefault="002C711E" w:rsidP="00AC751A">
      <w:pPr>
        <w:shd w:val="clear" w:color="auto" w:fill="FFFFFF"/>
        <w:spacing w:line="274" w:lineRule="exact"/>
        <w:ind w:left="5" w:hanging="5"/>
        <w:jc w:val="center"/>
        <w:rPr>
          <w:rFonts w:ascii="Times New Roman" w:hAnsi="Times New Roman" w:cs="Times New Roman"/>
          <w:b/>
          <w:iCs/>
          <w:spacing w:val="6"/>
          <w:sz w:val="24"/>
          <w:szCs w:val="24"/>
        </w:rPr>
      </w:pPr>
      <w:r w:rsidRPr="008B3C30">
        <w:rPr>
          <w:rFonts w:ascii="Times New Roman" w:hAnsi="Times New Roman" w:cs="Times New Roman"/>
          <w:b/>
          <w:iCs/>
          <w:spacing w:val="6"/>
          <w:sz w:val="24"/>
          <w:szCs w:val="24"/>
        </w:rPr>
        <w:t>Браншови организации</w:t>
      </w:r>
    </w:p>
    <w:p w:rsidR="00B045C5" w:rsidRPr="008B3C30" w:rsidRDefault="00B045C5" w:rsidP="00AD549A">
      <w:pPr>
        <w:shd w:val="clear" w:color="auto" w:fill="FFFFFF"/>
        <w:spacing w:line="274" w:lineRule="exact"/>
        <w:ind w:left="5" w:firstLine="562"/>
        <w:jc w:val="both"/>
        <w:rPr>
          <w:rFonts w:ascii="Times New Roman" w:hAnsi="Times New Roman" w:cs="Times New Roman"/>
          <w:b/>
          <w:iCs/>
          <w:spacing w:val="6"/>
          <w:sz w:val="24"/>
          <w:szCs w:val="24"/>
        </w:rPr>
      </w:pPr>
    </w:p>
    <w:p w:rsidR="00121C69" w:rsidRPr="008B3C30" w:rsidRDefault="00121C69" w:rsidP="00B045C5">
      <w:pPr>
        <w:shd w:val="clear" w:color="auto" w:fill="FFFFFF"/>
        <w:spacing w:before="5" w:line="274" w:lineRule="exact"/>
        <w:ind w:firstLine="562"/>
        <w:jc w:val="both"/>
        <w:rPr>
          <w:rFonts w:ascii="Times New Roman" w:hAnsi="Times New Roman" w:cs="Times New Roman"/>
          <w:sz w:val="24"/>
          <w:szCs w:val="24"/>
        </w:rPr>
      </w:pPr>
      <w:r w:rsidRPr="008B3C30">
        <w:rPr>
          <w:rFonts w:ascii="Times New Roman" w:hAnsi="Times New Roman" w:cs="Times New Roman"/>
          <w:sz w:val="24"/>
          <w:szCs w:val="24"/>
        </w:rPr>
        <w:t xml:space="preserve">От съществено значение за повишаване ефективността на мерките за защита на потребителите е асоциациите да провеждат политика на доброволно (не нормативно </w:t>
      </w:r>
      <w:r w:rsidRPr="008B3C30">
        <w:rPr>
          <w:rFonts w:ascii="Times New Roman" w:hAnsi="Times New Roman" w:cs="Times New Roman"/>
          <w:spacing w:val="4"/>
          <w:sz w:val="24"/>
          <w:szCs w:val="24"/>
        </w:rPr>
        <w:t xml:space="preserve">определено) налагане на принципи </w:t>
      </w:r>
      <w:r w:rsidR="00FE6DA9" w:rsidRPr="008B3C30">
        <w:rPr>
          <w:rFonts w:ascii="Times New Roman" w:hAnsi="Times New Roman" w:cs="Times New Roman"/>
          <w:spacing w:val="4"/>
          <w:sz w:val="24"/>
          <w:szCs w:val="24"/>
        </w:rPr>
        <w:t>н</w:t>
      </w:r>
      <w:r w:rsidRPr="008B3C30">
        <w:rPr>
          <w:rFonts w:ascii="Times New Roman" w:hAnsi="Times New Roman" w:cs="Times New Roman"/>
          <w:spacing w:val="4"/>
          <w:sz w:val="24"/>
          <w:szCs w:val="24"/>
        </w:rPr>
        <w:t xml:space="preserve">а добри практики за третиране на клиентите и приемане на </w:t>
      </w:r>
      <w:r w:rsidRPr="008B3C30">
        <w:rPr>
          <w:rFonts w:ascii="Times New Roman" w:hAnsi="Times New Roman" w:cs="Times New Roman"/>
          <w:spacing w:val="1"/>
          <w:sz w:val="24"/>
          <w:szCs w:val="24"/>
        </w:rPr>
        <w:t xml:space="preserve">техния интерес като първостепенен. Справедливото третиране на потребителите трябва </w:t>
      </w:r>
      <w:r w:rsidRPr="008B3C30">
        <w:rPr>
          <w:rFonts w:ascii="Times New Roman" w:hAnsi="Times New Roman" w:cs="Times New Roman"/>
          <w:spacing w:val="8"/>
          <w:sz w:val="24"/>
          <w:szCs w:val="24"/>
        </w:rPr>
        <w:t>да е неотменна част от доброто управление и корпоративна култура на всички поднадзорни на КФН лица</w:t>
      </w:r>
      <w:r w:rsidRPr="008B3C30">
        <w:rPr>
          <w:rFonts w:ascii="Times New Roman" w:hAnsi="Times New Roman" w:cs="Times New Roman"/>
          <w:sz w:val="24"/>
          <w:szCs w:val="24"/>
        </w:rPr>
        <w:t>.</w:t>
      </w:r>
    </w:p>
    <w:p w:rsidR="00FE6DA9" w:rsidRPr="008B3C30" w:rsidRDefault="002C711E" w:rsidP="00AC751A">
      <w:pPr>
        <w:ind w:firstLine="562"/>
        <w:jc w:val="both"/>
        <w:rPr>
          <w:rFonts w:ascii="Times New Roman" w:hAnsi="Times New Roman" w:cs="Times New Roman"/>
          <w:sz w:val="24"/>
          <w:szCs w:val="24"/>
        </w:rPr>
      </w:pPr>
      <w:r w:rsidRPr="008B3C30">
        <w:rPr>
          <w:rFonts w:ascii="Times New Roman" w:hAnsi="Times New Roman" w:cs="Times New Roman"/>
          <w:sz w:val="24"/>
          <w:szCs w:val="24"/>
        </w:rPr>
        <w:t xml:space="preserve">Основните браншови организации в сферата на небанковия сектор са Българска Асоциация на лицензираните инвестиционни посредници (БАЛИП), Асоциация на индустриалния капитал в България (АИКБ), Българска асоциация на управляващите </w:t>
      </w:r>
      <w:r w:rsidRPr="008B3C30">
        <w:rPr>
          <w:rFonts w:ascii="Times New Roman" w:hAnsi="Times New Roman" w:cs="Times New Roman"/>
          <w:spacing w:val="4"/>
          <w:sz w:val="24"/>
          <w:szCs w:val="24"/>
        </w:rPr>
        <w:t xml:space="preserve">дружества (БАУД), Асоциация на дружествата със специална инвестиционна цел </w:t>
      </w:r>
      <w:r w:rsidRPr="008B3C30">
        <w:rPr>
          <w:rFonts w:ascii="Times New Roman" w:hAnsi="Times New Roman" w:cs="Times New Roman"/>
          <w:sz w:val="24"/>
          <w:szCs w:val="24"/>
        </w:rPr>
        <w:t xml:space="preserve">(АДСИЦ), Асоциация на директорите за връзки с инвеститорите в България (АДВИБ), </w:t>
      </w:r>
      <w:r w:rsidRPr="008B3C30">
        <w:rPr>
          <w:rFonts w:ascii="Times New Roman" w:hAnsi="Times New Roman" w:cs="Times New Roman"/>
          <w:spacing w:val="1"/>
          <w:sz w:val="24"/>
          <w:szCs w:val="24"/>
        </w:rPr>
        <w:t xml:space="preserve">Българска </w:t>
      </w:r>
      <w:r w:rsidR="00FE6DA9" w:rsidRPr="008B3C30">
        <w:rPr>
          <w:rFonts w:ascii="Times New Roman" w:hAnsi="Times New Roman" w:cs="Times New Roman"/>
          <w:spacing w:val="1"/>
          <w:sz w:val="24"/>
          <w:szCs w:val="24"/>
        </w:rPr>
        <w:t>а</w:t>
      </w:r>
      <w:r w:rsidRPr="008B3C30">
        <w:rPr>
          <w:rFonts w:ascii="Times New Roman" w:hAnsi="Times New Roman" w:cs="Times New Roman"/>
          <w:spacing w:val="1"/>
          <w:sz w:val="24"/>
          <w:szCs w:val="24"/>
        </w:rPr>
        <w:t xml:space="preserve">социация за връзки с инвеститорите (БАВИ), Българска </w:t>
      </w:r>
      <w:r w:rsidR="00914BF9" w:rsidRPr="008B3C30">
        <w:rPr>
          <w:rFonts w:ascii="Times New Roman" w:hAnsi="Times New Roman" w:cs="Times New Roman"/>
          <w:spacing w:val="1"/>
          <w:sz w:val="24"/>
          <w:szCs w:val="24"/>
        </w:rPr>
        <w:t>а</w:t>
      </w:r>
      <w:r w:rsidRPr="008B3C30">
        <w:rPr>
          <w:rFonts w:ascii="Times New Roman" w:hAnsi="Times New Roman" w:cs="Times New Roman"/>
          <w:spacing w:val="1"/>
          <w:sz w:val="24"/>
          <w:szCs w:val="24"/>
        </w:rPr>
        <w:t xml:space="preserve">социация на </w:t>
      </w:r>
      <w:r w:rsidRPr="008B3C30">
        <w:rPr>
          <w:rFonts w:ascii="Times New Roman" w:hAnsi="Times New Roman" w:cs="Times New Roman"/>
          <w:spacing w:val="4"/>
          <w:sz w:val="24"/>
          <w:szCs w:val="24"/>
        </w:rPr>
        <w:lastRenderedPageBreak/>
        <w:t xml:space="preserve">дружествата за допълнително пенсионно осигуряване (БАДДПО), Асоциация на </w:t>
      </w:r>
      <w:r w:rsidRPr="008B3C30">
        <w:rPr>
          <w:rFonts w:ascii="Times New Roman" w:hAnsi="Times New Roman" w:cs="Times New Roman"/>
          <w:spacing w:val="1"/>
          <w:sz w:val="24"/>
          <w:szCs w:val="24"/>
        </w:rPr>
        <w:t>българските застрахователи (АБЗ), Асоциация на застрахователните брокери</w:t>
      </w:r>
      <w:r w:rsidR="00914BF9" w:rsidRPr="008B3C30">
        <w:rPr>
          <w:rFonts w:ascii="Times New Roman" w:hAnsi="Times New Roman" w:cs="Times New Roman"/>
          <w:spacing w:val="1"/>
          <w:sz w:val="24"/>
          <w:szCs w:val="24"/>
        </w:rPr>
        <w:t xml:space="preserve"> </w:t>
      </w:r>
      <w:r w:rsidRPr="008B3C30">
        <w:rPr>
          <w:rFonts w:ascii="Times New Roman" w:hAnsi="Times New Roman" w:cs="Times New Roman"/>
          <w:spacing w:val="1"/>
          <w:sz w:val="24"/>
          <w:szCs w:val="24"/>
        </w:rPr>
        <w:t xml:space="preserve">(АЗБ), </w:t>
      </w:r>
      <w:r w:rsidRPr="008B3C30">
        <w:rPr>
          <w:rFonts w:ascii="Times New Roman" w:hAnsi="Times New Roman" w:cs="Times New Roman"/>
          <w:sz w:val="24"/>
          <w:szCs w:val="24"/>
        </w:rPr>
        <w:t xml:space="preserve">Българска асоциация на застрахователните брокери (БАЗБ). </w:t>
      </w:r>
    </w:p>
    <w:p w:rsidR="00A92D00" w:rsidRPr="008B3C30" w:rsidRDefault="002C711E" w:rsidP="00AC751A">
      <w:pPr>
        <w:ind w:firstLine="562"/>
        <w:jc w:val="both"/>
        <w:rPr>
          <w:rFonts w:ascii="Times New Roman" w:hAnsi="Times New Roman" w:cs="Times New Roman"/>
          <w:sz w:val="24"/>
          <w:szCs w:val="24"/>
        </w:rPr>
      </w:pPr>
      <w:r w:rsidRPr="008B3C30">
        <w:rPr>
          <w:rFonts w:ascii="Times New Roman" w:hAnsi="Times New Roman" w:cs="Times New Roman"/>
          <w:sz w:val="24"/>
          <w:szCs w:val="24"/>
        </w:rPr>
        <w:t xml:space="preserve">Членството в браншовите </w:t>
      </w:r>
      <w:r w:rsidRPr="008B3C30">
        <w:rPr>
          <w:rFonts w:ascii="Times New Roman" w:hAnsi="Times New Roman" w:cs="Times New Roman"/>
          <w:spacing w:val="6"/>
          <w:sz w:val="24"/>
          <w:szCs w:val="24"/>
        </w:rPr>
        <w:t xml:space="preserve">асоциации е на доброволен принцип. Те имат разработени и/или приети правила </w:t>
      </w:r>
      <w:r w:rsidRPr="008B3C30">
        <w:rPr>
          <w:rFonts w:ascii="Times New Roman" w:hAnsi="Times New Roman" w:cs="Times New Roman"/>
          <w:spacing w:val="2"/>
          <w:sz w:val="24"/>
          <w:szCs w:val="24"/>
        </w:rPr>
        <w:t xml:space="preserve">(кодекси) за етично поведение като ефективното им прилагане е отговорност на </w:t>
      </w:r>
      <w:r w:rsidRPr="008B3C30">
        <w:rPr>
          <w:rFonts w:ascii="Times New Roman" w:hAnsi="Times New Roman" w:cs="Times New Roman"/>
          <w:sz w:val="24"/>
          <w:szCs w:val="24"/>
        </w:rPr>
        <w:t>ръководството на съответните асоциации.</w:t>
      </w:r>
    </w:p>
    <w:p w:rsidR="00313D98" w:rsidRPr="008B3C30" w:rsidRDefault="00313D98" w:rsidP="00AC751A">
      <w:pPr>
        <w:ind w:firstLine="562"/>
        <w:jc w:val="both"/>
        <w:rPr>
          <w:rFonts w:ascii="Times New Roman" w:hAnsi="Times New Roman" w:cs="Times New Roman"/>
          <w:sz w:val="24"/>
          <w:szCs w:val="24"/>
        </w:rPr>
      </w:pPr>
    </w:p>
    <w:p w:rsidR="00313D98" w:rsidRPr="008B3C30" w:rsidRDefault="00313D98" w:rsidP="00313D98">
      <w:pPr>
        <w:shd w:val="clear" w:color="auto" w:fill="FFFFFF"/>
        <w:rPr>
          <w:rFonts w:ascii="Times New Roman" w:hAnsi="Times New Roman" w:cs="Times New Roman"/>
          <w:b/>
          <w:bCs/>
          <w:color w:val="000000"/>
          <w:spacing w:val="1"/>
          <w:sz w:val="24"/>
          <w:szCs w:val="24"/>
        </w:rPr>
      </w:pPr>
    </w:p>
    <w:p w:rsidR="00313D98" w:rsidRPr="008B3C30" w:rsidRDefault="00313D98" w:rsidP="00313D98">
      <w:pPr>
        <w:shd w:val="clear" w:color="auto" w:fill="FFFFFF"/>
        <w:rPr>
          <w:rFonts w:ascii="Times New Roman" w:hAnsi="Times New Roman" w:cs="Times New Roman"/>
          <w:b/>
          <w:bCs/>
          <w:color w:val="000000"/>
          <w:spacing w:val="1"/>
          <w:sz w:val="24"/>
          <w:szCs w:val="24"/>
        </w:rPr>
      </w:pPr>
    </w:p>
    <w:p w:rsidR="00313D98" w:rsidRPr="008B3C30" w:rsidRDefault="00313D98" w:rsidP="00544152">
      <w:pPr>
        <w:shd w:val="clear" w:color="auto" w:fill="FFFFFF"/>
        <w:jc w:val="center"/>
        <w:rPr>
          <w:rFonts w:ascii="Times New Roman" w:hAnsi="Times New Roman" w:cs="Times New Roman"/>
          <w:b/>
          <w:bCs/>
          <w:color w:val="000000"/>
          <w:spacing w:val="1"/>
          <w:sz w:val="24"/>
          <w:szCs w:val="24"/>
        </w:rPr>
      </w:pPr>
      <w:r w:rsidRPr="008B3C30">
        <w:rPr>
          <w:rFonts w:ascii="Times New Roman" w:hAnsi="Times New Roman" w:cs="Times New Roman"/>
          <w:b/>
          <w:bCs/>
          <w:color w:val="000000"/>
          <w:spacing w:val="1"/>
          <w:sz w:val="24"/>
          <w:szCs w:val="24"/>
        </w:rPr>
        <w:t xml:space="preserve">II. РЕГУЛАЦИЯТА И НАДЗОРЪТ ЗА СПАЗВАНЕТО </w:t>
      </w:r>
      <w:r w:rsidR="00FE6DA9" w:rsidRPr="008B3C30">
        <w:rPr>
          <w:rFonts w:ascii="Times New Roman" w:hAnsi="Times New Roman" w:cs="Times New Roman"/>
          <w:b/>
          <w:bCs/>
          <w:color w:val="000000"/>
          <w:spacing w:val="1"/>
          <w:sz w:val="24"/>
          <w:szCs w:val="24"/>
        </w:rPr>
        <w:t xml:space="preserve">Ѝ </w:t>
      </w:r>
      <w:r w:rsidRPr="008B3C30">
        <w:rPr>
          <w:rFonts w:ascii="Times New Roman" w:hAnsi="Times New Roman" w:cs="Times New Roman"/>
          <w:b/>
          <w:bCs/>
          <w:color w:val="000000"/>
          <w:spacing w:val="1"/>
          <w:sz w:val="24"/>
          <w:szCs w:val="24"/>
        </w:rPr>
        <w:t>– ОСНОВЕН ФАКТОР ЗА ЕФЕКТИВНА ЗАЩИТА НА ПОТРЕБИТЕЛИТЕ</w:t>
      </w:r>
    </w:p>
    <w:p w:rsidR="00313D98" w:rsidRDefault="00313D98" w:rsidP="00313D98">
      <w:pPr>
        <w:shd w:val="clear" w:color="auto" w:fill="FFFFFF"/>
        <w:rPr>
          <w:rFonts w:ascii="Times New Roman" w:hAnsi="Times New Roman" w:cs="Times New Roman"/>
          <w:b/>
          <w:bCs/>
          <w:color w:val="000000"/>
          <w:spacing w:val="1"/>
          <w:sz w:val="24"/>
          <w:szCs w:val="24"/>
        </w:rPr>
      </w:pPr>
    </w:p>
    <w:p w:rsidR="00544152" w:rsidRPr="008B3C30" w:rsidRDefault="00544152" w:rsidP="00313D98">
      <w:pPr>
        <w:shd w:val="clear" w:color="auto" w:fill="FFFFFF"/>
        <w:rPr>
          <w:rFonts w:ascii="Times New Roman" w:hAnsi="Times New Roman" w:cs="Times New Roman"/>
          <w:b/>
          <w:bCs/>
          <w:color w:val="000000"/>
          <w:spacing w:val="1"/>
          <w:sz w:val="24"/>
          <w:szCs w:val="24"/>
        </w:rPr>
      </w:pPr>
    </w:p>
    <w:p w:rsidR="00313D98" w:rsidRPr="008B3C30" w:rsidRDefault="00313D98" w:rsidP="00313D98">
      <w:pPr>
        <w:pStyle w:val="BodyText"/>
        <w:ind w:firstLine="567"/>
        <w:rPr>
          <w:rFonts w:cs="Times New Roman"/>
          <w:sz w:val="24"/>
          <w:szCs w:val="24"/>
        </w:rPr>
      </w:pPr>
      <w:r w:rsidRPr="008B3C30">
        <w:rPr>
          <w:rFonts w:cs="Times New Roman"/>
          <w:sz w:val="24"/>
          <w:szCs w:val="24"/>
        </w:rPr>
        <w:t>Адекватното развитие на регулациите е основният начин за постигане на по-високо ниво на защита на потребителите, наред с ефективното прилагане на надзорни мерки. Нормативната дейност на КФН е изцяло съобразена с развитието и въвеждането на европейското законодателство и отразява усилията на европейската общност за създаване на регулаторна рамка, която да осигури стабилно пазарно развитие, да създаде системи за предвиждане и съответното адресиране на възможни пазарни рискове, да осигури по-ефективен контрол върху структурираните финансови инструменти и да засили степента на защита на потребителите, включително чрез подобряване качеството, достъпността и полезността на финансовата информация</w:t>
      </w:r>
      <w:r w:rsidR="00FE6DA9" w:rsidRPr="008B3C30">
        <w:rPr>
          <w:rFonts w:cs="Times New Roman"/>
          <w:sz w:val="24"/>
          <w:szCs w:val="24"/>
        </w:rPr>
        <w:t>,</w:t>
      </w:r>
      <w:r w:rsidRPr="008B3C30">
        <w:rPr>
          <w:rFonts w:cs="Times New Roman"/>
          <w:sz w:val="24"/>
          <w:szCs w:val="24"/>
        </w:rPr>
        <w:t xml:space="preserve"> и подобряване на продажбените практики.</w:t>
      </w:r>
    </w:p>
    <w:p w:rsidR="00313D98" w:rsidRPr="008B3C30" w:rsidRDefault="00313D98" w:rsidP="00313D98">
      <w:pPr>
        <w:pStyle w:val="BodyText"/>
        <w:tabs>
          <w:tab w:val="center" w:pos="709"/>
        </w:tabs>
        <w:ind w:firstLine="567"/>
        <w:rPr>
          <w:rFonts w:cs="Times New Roman"/>
          <w:sz w:val="24"/>
          <w:szCs w:val="24"/>
        </w:rPr>
      </w:pPr>
      <w:r w:rsidRPr="008B3C30">
        <w:rPr>
          <w:rFonts w:cs="Times New Roman"/>
          <w:sz w:val="24"/>
          <w:szCs w:val="24"/>
        </w:rPr>
        <w:t>Сред нормативните документи има пряко приложими на територията на ЕС</w:t>
      </w:r>
      <w:r w:rsidR="000F73AF" w:rsidRPr="008B3C30">
        <w:rPr>
          <w:rFonts w:cs="Times New Roman"/>
          <w:sz w:val="24"/>
          <w:szCs w:val="24"/>
        </w:rPr>
        <w:t xml:space="preserve"> </w:t>
      </w:r>
      <w:r w:rsidR="000F73AF" w:rsidRPr="008B3C30">
        <w:rPr>
          <w:rFonts w:cs="Times New Roman"/>
        </w:rPr>
        <w:t xml:space="preserve">– </w:t>
      </w:r>
      <w:r w:rsidRPr="008B3C30">
        <w:rPr>
          <w:rFonts w:cs="Times New Roman"/>
          <w:sz w:val="24"/>
          <w:szCs w:val="24"/>
        </w:rPr>
        <w:t xml:space="preserve">такива, които произтичат от законодателните актове на ЕС и тяхното въвеждане в българското законодателство, както и от местно значение. При разработването на нормативната уредба, КФН отчита характеристиките и степента на развитие на българския финансов пазар и специфичните проблеми на българския потребител. Този подход осигурява в максимална степен </w:t>
      </w:r>
      <w:r w:rsidR="000F73AF" w:rsidRPr="008B3C30">
        <w:rPr>
          <w:rFonts w:cs="Times New Roman"/>
          <w:sz w:val="24"/>
          <w:szCs w:val="24"/>
        </w:rPr>
        <w:t xml:space="preserve">на </w:t>
      </w:r>
      <w:r w:rsidRPr="008B3C30">
        <w:rPr>
          <w:rFonts w:cs="Times New Roman"/>
          <w:sz w:val="24"/>
          <w:szCs w:val="24"/>
        </w:rPr>
        <w:t>съобразяване на нормативните разпоредби с обществените нужди.</w:t>
      </w:r>
    </w:p>
    <w:p w:rsidR="00313D98" w:rsidRPr="008B3C30" w:rsidRDefault="00313D98" w:rsidP="00313D98">
      <w:pPr>
        <w:pStyle w:val="BodyText"/>
        <w:shd w:val="clear" w:color="auto" w:fill="auto"/>
        <w:ind w:firstLine="567"/>
        <w:rPr>
          <w:rFonts w:cs="Times New Roman"/>
          <w:sz w:val="24"/>
          <w:szCs w:val="24"/>
        </w:rPr>
      </w:pPr>
      <w:r w:rsidRPr="008B3C30">
        <w:rPr>
          <w:rFonts w:cs="Times New Roman"/>
          <w:sz w:val="24"/>
          <w:szCs w:val="24"/>
        </w:rPr>
        <w:t>На практика, всички предвидени и приети нормативни изменения осигуряват повишена защита на потребителите. Условно, мерките могат да се определят като такива, които имат индиректно влияние и целят осигуряване на стабилност и прозрачност на финансовите институции и повишаване на финансовата им ефективност и конкурентоспособност. Като директно може се определи влиянието на мерките, насочени към улесняване на потребителя при използване на продукта и повишаване на финансовата изгода, свързана с използването му, към повишаване на сигурността и прозрачността в процеса на закупуване на продукта, както и към осигуряване на достатъчна информация за взимане на адекватно решение.</w:t>
      </w:r>
    </w:p>
    <w:p w:rsidR="00313D98" w:rsidRPr="008B3C30" w:rsidRDefault="00313D98" w:rsidP="00313D98">
      <w:pPr>
        <w:pStyle w:val="BodyText"/>
        <w:tabs>
          <w:tab w:val="center" w:pos="4854"/>
        </w:tabs>
        <w:ind w:firstLine="708"/>
        <w:rPr>
          <w:rFonts w:cs="Times New Roman"/>
          <w:sz w:val="24"/>
          <w:szCs w:val="24"/>
        </w:rPr>
      </w:pPr>
    </w:p>
    <w:p w:rsidR="00313D98" w:rsidRPr="008B3C30" w:rsidRDefault="00313D98" w:rsidP="00544152">
      <w:pPr>
        <w:pStyle w:val="BodyText"/>
        <w:tabs>
          <w:tab w:val="center" w:pos="4854"/>
        </w:tabs>
        <w:ind w:firstLine="284"/>
        <w:rPr>
          <w:rFonts w:cs="Times New Roman"/>
          <w:b/>
          <w:sz w:val="24"/>
          <w:szCs w:val="24"/>
        </w:rPr>
      </w:pPr>
    </w:p>
    <w:p w:rsidR="00313D98" w:rsidRPr="008B3C30" w:rsidRDefault="00313D98" w:rsidP="00544152">
      <w:pPr>
        <w:shd w:val="clear" w:color="auto" w:fill="FFFFFF"/>
        <w:spacing w:line="274" w:lineRule="exact"/>
        <w:ind w:left="10" w:hanging="10"/>
        <w:jc w:val="center"/>
        <w:rPr>
          <w:rFonts w:ascii="Times New Roman" w:hAnsi="Times New Roman" w:cs="Times New Roman"/>
          <w:b/>
          <w:sz w:val="24"/>
          <w:szCs w:val="24"/>
        </w:rPr>
      </w:pPr>
      <w:r w:rsidRPr="008B3C30">
        <w:rPr>
          <w:rFonts w:ascii="Times New Roman" w:hAnsi="Times New Roman" w:cs="Times New Roman"/>
          <w:b/>
          <w:sz w:val="24"/>
          <w:szCs w:val="24"/>
        </w:rPr>
        <w:t>Европейска нормативна рамка</w:t>
      </w:r>
    </w:p>
    <w:p w:rsidR="00313D98" w:rsidRPr="008B3C30" w:rsidRDefault="00313D98" w:rsidP="00313D98">
      <w:pPr>
        <w:shd w:val="clear" w:color="auto" w:fill="FFFFFF"/>
        <w:spacing w:line="274" w:lineRule="exact"/>
        <w:ind w:left="10" w:firstLine="360"/>
        <w:jc w:val="center"/>
        <w:rPr>
          <w:rFonts w:ascii="Times New Roman" w:hAnsi="Times New Roman" w:cs="Times New Roman"/>
          <w:b/>
          <w:sz w:val="24"/>
          <w:szCs w:val="24"/>
        </w:rPr>
      </w:pPr>
    </w:p>
    <w:p w:rsidR="00313D98" w:rsidRPr="008B3C30" w:rsidRDefault="00313D98" w:rsidP="00313D98">
      <w:pPr>
        <w:shd w:val="clear" w:color="auto" w:fill="FFFFFF"/>
        <w:spacing w:line="274" w:lineRule="exact"/>
        <w:ind w:left="10" w:firstLine="360"/>
        <w:jc w:val="both"/>
        <w:rPr>
          <w:rFonts w:ascii="Times New Roman" w:hAnsi="Times New Roman" w:cs="Times New Roman"/>
        </w:rPr>
      </w:pPr>
      <w:r w:rsidRPr="008B3C30">
        <w:rPr>
          <w:rFonts w:ascii="Times New Roman" w:hAnsi="Times New Roman" w:cs="Times New Roman"/>
          <w:color w:val="000000"/>
          <w:sz w:val="24"/>
          <w:szCs w:val="24"/>
        </w:rPr>
        <w:t xml:space="preserve">Световната финансова криза открои системни пазарни проблеми и наложи </w:t>
      </w:r>
      <w:r w:rsidRPr="008B3C30">
        <w:rPr>
          <w:rFonts w:ascii="Times New Roman" w:hAnsi="Times New Roman" w:cs="Times New Roman"/>
          <w:color w:val="000000"/>
          <w:spacing w:val="-1"/>
          <w:sz w:val="24"/>
          <w:szCs w:val="24"/>
        </w:rPr>
        <w:t xml:space="preserve">необходимостта от прилагане на мерки на национално и наднационално ниво, така че </w:t>
      </w:r>
      <w:r w:rsidRPr="008B3C30">
        <w:rPr>
          <w:rFonts w:ascii="Times New Roman" w:hAnsi="Times New Roman" w:cs="Times New Roman"/>
          <w:color w:val="000000"/>
          <w:sz w:val="24"/>
          <w:szCs w:val="24"/>
        </w:rPr>
        <w:t xml:space="preserve">финансовите пазари да станат по-ефективни, по-безопасни и по-прозрачни. Стабилното им функциониране и стимулирането на здравословния им растеж са тясно обвързани с </w:t>
      </w:r>
      <w:r w:rsidRPr="008B3C30">
        <w:rPr>
          <w:rFonts w:ascii="Times New Roman" w:hAnsi="Times New Roman" w:cs="Times New Roman"/>
          <w:color w:val="000000"/>
          <w:spacing w:val="-1"/>
          <w:sz w:val="24"/>
          <w:szCs w:val="24"/>
        </w:rPr>
        <w:t>нивото на потребителското доверие, а то от своя страна се обуславя от нивото на защита на потребителите.</w:t>
      </w:r>
    </w:p>
    <w:p w:rsidR="00313D98" w:rsidRPr="008B3C30" w:rsidRDefault="00313D98" w:rsidP="00313D98">
      <w:pPr>
        <w:pStyle w:val="BodyText"/>
        <w:tabs>
          <w:tab w:val="center" w:pos="4854"/>
        </w:tabs>
        <w:ind w:firstLine="708"/>
        <w:rPr>
          <w:rFonts w:cs="Times New Roman"/>
          <w:sz w:val="24"/>
          <w:szCs w:val="24"/>
        </w:rPr>
      </w:pPr>
      <w:r w:rsidRPr="008B3C30">
        <w:rPr>
          <w:rFonts w:cs="Times New Roman"/>
          <w:sz w:val="24"/>
          <w:szCs w:val="24"/>
        </w:rPr>
        <w:t>Предвид тежките последствия от последната финансова криза</w:t>
      </w:r>
      <w:r w:rsidR="00FE6DA9" w:rsidRPr="008B3C30">
        <w:rPr>
          <w:rFonts w:cs="Times New Roman"/>
          <w:sz w:val="24"/>
          <w:szCs w:val="24"/>
        </w:rPr>
        <w:t>,</w:t>
      </w:r>
      <w:r w:rsidRPr="008B3C30">
        <w:rPr>
          <w:rFonts w:cs="Times New Roman"/>
          <w:sz w:val="24"/>
          <w:szCs w:val="24"/>
        </w:rPr>
        <w:t xml:space="preserve"> от Европейската </w:t>
      </w:r>
      <w:r w:rsidRPr="008B3C30">
        <w:rPr>
          <w:rFonts w:cs="Times New Roman"/>
          <w:sz w:val="24"/>
          <w:szCs w:val="24"/>
        </w:rPr>
        <w:lastRenderedPageBreak/>
        <w:t>комисия бяха предприети мерки в посока сериозна промяна на европейското законодателство, уреждащо дейността на финансовите пазари и на лицата, извършващи дейност на тези пазари с оглед въвеждане на изисквания за защита на потребителите. Във всички европейски нормативни документи в областта на финансовите пазари се обръща специално внимание на защитата на потребителите</w:t>
      </w:r>
      <w:r w:rsidR="00FE6DA9" w:rsidRPr="008B3C30">
        <w:rPr>
          <w:rFonts w:cs="Times New Roman"/>
          <w:sz w:val="24"/>
          <w:szCs w:val="24"/>
        </w:rPr>
        <w:t xml:space="preserve"> по отношение</w:t>
      </w:r>
      <w:r w:rsidRPr="008B3C30">
        <w:rPr>
          <w:rFonts w:cs="Times New Roman"/>
          <w:sz w:val="24"/>
          <w:szCs w:val="24"/>
        </w:rPr>
        <w:t xml:space="preserve"> на продуктите и услугите, предлагани на тези пазари.</w:t>
      </w:r>
    </w:p>
    <w:p w:rsidR="00313D98" w:rsidRPr="008B3C30" w:rsidRDefault="00313D98" w:rsidP="00313D98">
      <w:pPr>
        <w:pStyle w:val="BodyText"/>
        <w:tabs>
          <w:tab w:val="center" w:pos="4854"/>
        </w:tabs>
        <w:ind w:firstLine="708"/>
        <w:rPr>
          <w:rFonts w:cs="Times New Roman"/>
          <w:sz w:val="24"/>
          <w:szCs w:val="24"/>
        </w:rPr>
      </w:pPr>
      <w:r w:rsidRPr="008B3C30">
        <w:rPr>
          <w:rFonts w:cs="Times New Roman"/>
          <w:sz w:val="24"/>
          <w:szCs w:val="24"/>
        </w:rPr>
        <w:t xml:space="preserve">Бяха приети основни пакети нормативни документи като Платежоспособност II, CRD IV, </w:t>
      </w:r>
      <w:proofErr w:type="spellStart"/>
      <w:r w:rsidRPr="008B3C30">
        <w:rPr>
          <w:rFonts w:cs="Times New Roman"/>
          <w:sz w:val="24"/>
          <w:szCs w:val="24"/>
        </w:rPr>
        <w:t>MiFID</w:t>
      </w:r>
      <w:proofErr w:type="spellEnd"/>
      <w:r w:rsidRPr="008B3C30">
        <w:rPr>
          <w:rFonts w:cs="Times New Roman"/>
          <w:sz w:val="24"/>
          <w:szCs w:val="24"/>
        </w:rPr>
        <w:t xml:space="preserve"> II, </w:t>
      </w:r>
      <w:r w:rsidRPr="008B3C30">
        <w:rPr>
          <w:rFonts w:eastAsia="Times New Roman" w:cs="Times New Roman"/>
          <w:sz w:val="24"/>
          <w:szCs w:val="24"/>
        </w:rPr>
        <w:t>Директива (ЕС) 2016/97 на Европейския парламент и на Съвета от 20 януари 2016 г</w:t>
      </w:r>
      <w:r w:rsidR="00FE6DA9" w:rsidRPr="008B3C30">
        <w:rPr>
          <w:rFonts w:eastAsia="Times New Roman" w:cs="Times New Roman"/>
          <w:sz w:val="24"/>
          <w:szCs w:val="24"/>
        </w:rPr>
        <w:t>.</w:t>
      </w:r>
      <w:r w:rsidRPr="008B3C30">
        <w:rPr>
          <w:rFonts w:eastAsia="Times New Roman" w:cs="Times New Roman"/>
          <w:sz w:val="24"/>
          <w:szCs w:val="24"/>
        </w:rPr>
        <w:t xml:space="preserve"> относно разпространението на застрахователни продукти, които</w:t>
      </w:r>
      <w:r w:rsidRPr="008B3C30">
        <w:rPr>
          <w:rFonts w:cs="Times New Roman"/>
          <w:sz w:val="24"/>
          <w:szCs w:val="24"/>
        </w:rPr>
        <w:t xml:space="preserve"> съществено промениха условията на финансовите пазари в посока по-висока защита на потребителите на финансови продукти и услуги.</w:t>
      </w:r>
    </w:p>
    <w:p w:rsidR="00313D98" w:rsidRDefault="00313D98" w:rsidP="00313D98">
      <w:pPr>
        <w:shd w:val="clear" w:color="auto" w:fill="FFFFFF"/>
        <w:rPr>
          <w:rFonts w:ascii="Times New Roman" w:hAnsi="Times New Roman" w:cs="Times New Roman"/>
          <w:b/>
          <w:color w:val="000000"/>
          <w:spacing w:val="-1"/>
          <w:sz w:val="28"/>
          <w:szCs w:val="28"/>
        </w:rPr>
      </w:pPr>
    </w:p>
    <w:p w:rsidR="00544152" w:rsidRPr="008B3C30" w:rsidRDefault="00544152" w:rsidP="00313D98">
      <w:pPr>
        <w:shd w:val="clear" w:color="auto" w:fill="FFFFFF"/>
        <w:rPr>
          <w:rFonts w:ascii="Times New Roman" w:hAnsi="Times New Roman" w:cs="Times New Roman"/>
          <w:b/>
          <w:color w:val="000000"/>
          <w:spacing w:val="-1"/>
          <w:sz w:val="28"/>
          <w:szCs w:val="28"/>
        </w:rPr>
      </w:pPr>
    </w:p>
    <w:p w:rsidR="00313D98" w:rsidRPr="008B3C30" w:rsidRDefault="00313D98" w:rsidP="00544152">
      <w:pPr>
        <w:shd w:val="clear" w:color="auto" w:fill="FFFFFF"/>
        <w:jc w:val="center"/>
        <w:rPr>
          <w:rFonts w:ascii="Times New Roman" w:hAnsi="Times New Roman" w:cs="Times New Roman"/>
          <w:b/>
          <w:color w:val="000000"/>
          <w:spacing w:val="-1"/>
          <w:sz w:val="24"/>
          <w:szCs w:val="24"/>
        </w:rPr>
      </w:pPr>
      <w:r w:rsidRPr="008B3C30">
        <w:rPr>
          <w:rFonts w:ascii="Times New Roman" w:hAnsi="Times New Roman" w:cs="Times New Roman"/>
          <w:b/>
          <w:color w:val="000000"/>
          <w:spacing w:val="-1"/>
          <w:sz w:val="24"/>
          <w:szCs w:val="24"/>
        </w:rPr>
        <w:t>Законодателна рамка, действаща в България</w:t>
      </w:r>
    </w:p>
    <w:p w:rsidR="00313D98" w:rsidRPr="008B3C30" w:rsidRDefault="00313D98" w:rsidP="00313D98">
      <w:pPr>
        <w:shd w:val="clear" w:color="auto" w:fill="FFFFFF"/>
        <w:ind w:firstLine="708"/>
        <w:jc w:val="center"/>
        <w:rPr>
          <w:rFonts w:ascii="Times New Roman" w:hAnsi="Times New Roman" w:cs="Times New Roman"/>
          <w:b/>
          <w:color w:val="000000"/>
          <w:spacing w:val="-1"/>
          <w:sz w:val="24"/>
          <w:szCs w:val="24"/>
        </w:rPr>
      </w:pPr>
    </w:p>
    <w:p w:rsidR="00313D98" w:rsidRPr="008B3C30" w:rsidRDefault="00313D98" w:rsidP="00313D98">
      <w:pPr>
        <w:pStyle w:val="BodyText"/>
        <w:tabs>
          <w:tab w:val="center" w:pos="4854"/>
        </w:tabs>
        <w:ind w:left="10" w:firstLine="698"/>
        <w:rPr>
          <w:rFonts w:cs="Times New Roman"/>
          <w:sz w:val="24"/>
          <w:szCs w:val="24"/>
        </w:rPr>
      </w:pPr>
      <w:r w:rsidRPr="008B3C30">
        <w:rPr>
          <w:rFonts w:cs="Times New Roman"/>
          <w:sz w:val="24"/>
          <w:szCs w:val="24"/>
        </w:rPr>
        <w:t>Частта от финансовите пазари, върху която КФН осъществява надзор</w:t>
      </w:r>
      <w:r w:rsidR="00E4391A" w:rsidRPr="008B3C30">
        <w:rPr>
          <w:rFonts w:cs="Times New Roman"/>
          <w:sz w:val="24"/>
          <w:szCs w:val="24"/>
        </w:rPr>
        <w:t>,</w:t>
      </w:r>
      <w:r w:rsidRPr="008B3C30">
        <w:rPr>
          <w:rFonts w:cs="Times New Roman"/>
          <w:sz w:val="24"/>
          <w:szCs w:val="24"/>
        </w:rPr>
        <w:t xml:space="preserve"> е засегната силно чрез промените в европейските законови изисквания за целия небанков финансов сектор като в българското законодателство бяха въведени изискванията на:</w:t>
      </w:r>
    </w:p>
    <w:p w:rsidR="00E4391A" w:rsidRPr="008B3C30" w:rsidRDefault="00E4391A" w:rsidP="008212B7">
      <w:pPr>
        <w:shd w:val="clear" w:color="auto" w:fill="FFFFFF"/>
        <w:ind w:firstLine="708"/>
        <w:rPr>
          <w:rFonts w:ascii="Times New Roman" w:hAnsi="Times New Roman" w:cs="Times New Roman"/>
          <w:b/>
          <w:color w:val="000000"/>
          <w:spacing w:val="-1"/>
          <w:sz w:val="24"/>
          <w:szCs w:val="24"/>
        </w:rPr>
      </w:pPr>
    </w:p>
    <w:p w:rsidR="00313D98" w:rsidRPr="00544152" w:rsidRDefault="00313D98" w:rsidP="00544152">
      <w:pPr>
        <w:pStyle w:val="ListParagraph"/>
        <w:numPr>
          <w:ilvl w:val="0"/>
          <w:numId w:val="26"/>
        </w:numPr>
        <w:shd w:val="clear" w:color="auto" w:fill="FFFFFF"/>
        <w:ind w:left="993" w:hanging="284"/>
        <w:rPr>
          <w:rFonts w:eastAsiaTheme="minorEastAsia"/>
          <w:b/>
          <w:color w:val="000000"/>
          <w:spacing w:val="-1"/>
          <w:sz w:val="24"/>
          <w:szCs w:val="24"/>
        </w:rPr>
      </w:pPr>
      <w:proofErr w:type="spellStart"/>
      <w:r w:rsidRPr="00544152">
        <w:rPr>
          <w:rFonts w:eastAsiaTheme="minorEastAsia"/>
          <w:b/>
          <w:color w:val="000000"/>
          <w:spacing w:val="-1"/>
          <w:sz w:val="24"/>
          <w:szCs w:val="24"/>
        </w:rPr>
        <w:t>Капиталови</w:t>
      </w:r>
      <w:proofErr w:type="spellEnd"/>
      <w:r w:rsidRPr="00544152">
        <w:rPr>
          <w:rFonts w:eastAsiaTheme="minorEastAsia"/>
          <w:b/>
          <w:color w:val="000000"/>
          <w:spacing w:val="-1"/>
          <w:sz w:val="24"/>
          <w:szCs w:val="24"/>
        </w:rPr>
        <w:t xml:space="preserve"> </w:t>
      </w:r>
      <w:proofErr w:type="spellStart"/>
      <w:r w:rsidRPr="00544152">
        <w:rPr>
          <w:rFonts w:eastAsiaTheme="minorEastAsia"/>
          <w:b/>
          <w:color w:val="000000"/>
          <w:spacing w:val="-1"/>
          <w:sz w:val="24"/>
          <w:szCs w:val="24"/>
        </w:rPr>
        <w:t>пазари</w:t>
      </w:r>
      <w:proofErr w:type="spellEnd"/>
    </w:p>
    <w:p w:rsidR="00313D98" w:rsidRPr="008B3C30" w:rsidRDefault="00313D98" w:rsidP="00313D98">
      <w:pPr>
        <w:pStyle w:val="BodyText"/>
        <w:tabs>
          <w:tab w:val="center" w:pos="4854"/>
        </w:tabs>
        <w:ind w:left="10" w:firstLine="698"/>
        <w:rPr>
          <w:rFonts w:cs="Times New Roman"/>
          <w:b/>
          <w:sz w:val="24"/>
          <w:szCs w:val="24"/>
        </w:rPr>
      </w:pPr>
      <w:r w:rsidRPr="008B3C30">
        <w:rPr>
          <w:rFonts w:cs="Times New Roman"/>
          <w:sz w:val="24"/>
          <w:szCs w:val="24"/>
        </w:rPr>
        <w:t xml:space="preserve">- </w:t>
      </w:r>
      <w:r w:rsidRPr="008B3C30">
        <w:rPr>
          <w:rFonts w:cs="Times New Roman"/>
          <w:b/>
          <w:sz w:val="24"/>
          <w:szCs w:val="24"/>
        </w:rPr>
        <w:t>Директива 2013/36/ЕС</w:t>
      </w:r>
      <w:r w:rsidRPr="008B3C30">
        <w:rPr>
          <w:rFonts w:cs="Times New Roman"/>
          <w:sz w:val="24"/>
          <w:szCs w:val="24"/>
        </w:rPr>
        <w:t xml:space="preserve"> на Европейския парламент и на Съвета за осъществяването на дейност от кредитните институции и относно </w:t>
      </w:r>
      <w:proofErr w:type="spellStart"/>
      <w:r w:rsidRPr="008B3C30">
        <w:rPr>
          <w:rFonts w:cs="Times New Roman"/>
          <w:sz w:val="24"/>
          <w:szCs w:val="24"/>
        </w:rPr>
        <w:t>пруденциалния</w:t>
      </w:r>
      <w:proofErr w:type="spellEnd"/>
      <w:r w:rsidRPr="008B3C30">
        <w:rPr>
          <w:rFonts w:cs="Times New Roman"/>
          <w:sz w:val="24"/>
          <w:szCs w:val="24"/>
        </w:rPr>
        <w:t xml:space="preserve"> надзор върху кредитните институции и инвестиционните посредници (Директива за капиталовата адекватност</w:t>
      </w:r>
      <w:r w:rsidR="00A06690" w:rsidRPr="008B3C30">
        <w:rPr>
          <w:rFonts w:cs="Times New Roman"/>
          <w:sz w:val="24"/>
          <w:szCs w:val="24"/>
        </w:rPr>
        <w:t>)</w:t>
      </w:r>
      <w:r w:rsidRPr="008B3C30">
        <w:rPr>
          <w:rFonts w:cs="Times New Roman"/>
          <w:sz w:val="24"/>
          <w:szCs w:val="24"/>
        </w:rPr>
        <w:t xml:space="preserve"> цели по-добра защита на инвеститорите, чрез осигуряване на финансова стабилност на инвестиционните посредници.</w:t>
      </w:r>
    </w:p>
    <w:p w:rsidR="00313D98" w:rsidRPr="008B3C30" w:rsidRDefault="00E4391A" w:rsidP="008212B7">
      <w:pPr>
        <w:pStyle w:val="BodyText"/>
        <w:numPr>
          <w:ilvl w:val="0"/>
          <w:numId w:val="9"/>
        </w:numPr>
        <w:tabs>
          <w:tab w:val="left" w:pos="851"/>
        </w:tabs>
        <w:ind w:left="0" w:firstLine="708"/>
        <w:rPr>
          <w:rFonts w:cs="Times New Roman"/>
          <w:b/>
          <w:sz w:val="24"/>
          <w:szCs w:val="24"/>
        </w:rPr>
      </w:pPr>
      <w:r w:rsidRPr="008B3C30">
        <w:rPr>
          <w:rFonts w:cs="Times New Roman"/>
          <w:sz w:val="24"/>
          <w:szCs w:val="24"/>
        </w:rPr>
        <w:t>о</w:t>
      </w:r>
      <w:r w:rsidR="00313D98" w:rsidRPr="008B3C30">
        <w:rPr>
          <w:rFonts w:cs="Times New Roman"/>
          <w:sz w:val="24"/>
          <w:szCs w:val="24"/>
        </w:rPr>
        <w:t xml:space="preserve">т съществено значение за подобряване защитата на потребителите на капиталовите пазари е </w:t>
      </w:r>
      <w:r w:rsidR="002B4EAF" w:rsidRPr="008B3C30">
        <w:rPr>
          <w:rFonts w:cs="Times New Roman"/>
          <w:sz w:val="24"/>
          <w:szCs w:val="24"/>
        </w:rPr>
        <w:t xml:space="preserve">и </w:t>
      </w:r>
      <w:r w:rsidR="00313D98" w:rsidRPr="008B3C30">
        <w:rPr>
          <w:rFonts w:cs="Times New Roman"/>
          <w:sz w:val="24"/>
          <w:szCs w:val="24"/>
        </w:rPr>
        <w:t xml:space="preserve">друг европейски законодателен акт, който е с пряко действие на територията на целия Европейски съюз, а именно </w:t>
      </w:r>
      <w:r w:rsidR="00313D98" w:rsidRPr="008B3C30">
        <w:rPr>
          <w:rFonts w:cs="Times New Roman"/>
          <w:b/>
          <w:sz w:val="24"/>
          <w:szCs w:val="24"/>
        </w:rPr>
        <w:t>Регламент (ЕС) № 596/2014</w:t>
      </w:r>
      <w:r w:rsidR="00313D98" w:rsidRPr="008B3C30">
        <w:rPr>
          <w:rFonts w:cs="Times New Roman"/>
          <w:sz w:val="24"/>
          <w:szCs w:val="24"/>
        </w:rPr>
        <w:t xml:space="preserve"> на Европейския парламент и на Съвета от 16 април 2014 г</w:t>
      </w:r>
      <w:r w:rsidR="002B4EAF" w:rsidRPr="008B3C30">
        <w:rPr>
          <w:rFonts w:cs="Times New Roman"/>
          <w:sz w:val="24"/>
          <w:szCs w:val="24"/>
        </w:rPr>
        <w:t>.</w:t>
      </w:r>
      <w:r w:rsidR="00313D98" w:rsidRPr="008B3C30">
        <w:rPr>
          <w:rFonts w:cs="Times New Roman"/>
          <w:sz w:val="24"/>
          <w:szCs w:val="24"/>
        </w:rPr>
        <w:t xml:space="preserve">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 </w:t>
      </w:r>
    </w:p>
    <w:p w:rsidR="00313D98" w:rsidRPr="008B3C30" w:rsidRDefault="00313D98" w:rsidP="00313D98">
      <w:pPr>
        <w:pStyle w:val="BodyText"/>
        <w:tabs>
          <w:tab w:val="left" w:pos="851"/>
        </w:tabs>
        <w:ind w:firstLine="708"/>
        <w:rPr>
          <w:rFonts w:cs="Times New Roman"/>
          <w:sz w:val="24"/>
          <w:szCs w:val="24"/>
        </w:rPr>
      </w:pPr>
      <w:r w:rsidRPr="008B3C30">
        <w:rPr>
          <w:rFonts w:cs="Times New Roman"/>
          <w:sz w:val="24"/>
          <w:szCs w:val="24"/>
        </w:rPr>
        <w:t xml:space="preserve">От 03.01.2018 г. на територията на ЕС се прилагат разпоредбите на </w:t>
      </w:r>
      <w:r w:rsidRPr="008B3C30">
        <w:rPr>
          <w:rFonts w:cs="Times New Roman"/>
          <w:b/>
          <w:sz w:val="24"/>
          <w:szCs w:val="24"/>
        </w:rPr>
        <w:t>Директива 2014/65/ЕС</w:t>
      </w:r>
      <w:r w:rsidRPr="008B3C30">
        <w:rPr>
          <w:rFonts w:cs="Times New Roman"/>
          <w:sz w:val="24"/>
          <w:szCs w:val="24"/>
        </w:rPr>
        <w:t xml:space="preserve"> на Европейския парламент и на Съвета от 15 май 2014 г</w:t>
      </w:r>
      <w:r w:rsidR="002B4EAF" w:rsidRPr="008B3C30">
        <w:rPr>
          <w:rFonts w:cs="Times New Roman"/>
          <w:sz w:val="24"/>
          <w:szCs w:val="24"/>
        </w:rPr>
        <w:t>.</w:t>
      </w:r>
      <w:r w:rsidRPr="008B3C30">
        <w:rPr>
          <w:rFonts w:cs="Times New Roman"/>
          <w:sz w:val="24"/>
          <w:szCs w:val="24"/>
        </w:rPr>
        <w:t xml:space="preserve"> относно пазарите на финансови инструменти (Директива 2014/65/ЕС), чиито разпоредби са транспонирани в новия Закон за пазарите на финансови инструменти, както и на Делегиран регламент (ЕС) 2017/565 на Комисията от 25 април 2016 г</w:t>
      </w:r>
      <w:r w:rsidR="002B4EAF" w:rsidRPr="008B3C30">
        <w:rPr>
          <w:rFonts w:cs="Times New Roman"/>
          <w:sz w:val="24"/>
          <w:szCs w:val="24"/>
        </w:rPr>
        <w:t>.</w:t>
      </w:r>
      <w:r w:rsidRPr="008B3C30">
        <w:rPr>
          <w:rFonts w:cs="Times New Roman"/>
          <w:sz w:val="24"/>
          <w:szCs w:val="24"/>
        </w:rPr>
        <w:t xml:space="preserve"> за допълване на Директива 2014/65/ЕС на Европейския парламент и на Съвета по отношение на организационните изисквания и условията за извършване на дейност от инвестиционните посредници и за даването на определения за целите на посочената директива („Делегиран Регламент 565/2017“). Директива 2014/65/ЕС и Делегиран регламент 565/2017 уреждат редица задължения за лицата спрямо които се прилагат, целящи постигането на висока степен на защита на интересите на потребителите на небанкови финансови услуги, в т.ч. получаване на коректна, ясна и </w:t>
      </w:r>
      <w:proofErr w:type="spellStart"/>
      <w:r w:rsidRPr="008B3C30">
        <w:rPr>
          <w:rFonts w:cs="Times New Roman"/>
          <w:sz w:val="24"/>
          <w:szCs w:val="24"/>
        </w:rPr>
        <w:t>неподвеждаща</w:t>
      </w:r>
      <w:proofErr w:type="spellEnd"/>
      <w:r w:rsidRPr="008B3C30">
        <w:rPr>
          <w:rFonts w:cs="Times New Roman"/>
          <w:sz w:val="24"/>
          <w:szCs w:val="24"/>
        </w:rPr>
        <w:t xml:space="preserve"> информация относно съответната услуга, финансовите инструменти и техните рискове, инвестиционния посредник, потенциалните конфликти на интереси, разходите, които потребителят ще понесе и т.н. Наред с това, инвестиционните посредници следва да извършват оценка за уместност или целесъобразност на всеки клиент, така че да осигурят</w:t>
      </w:r>
      <w:r w:rsidR="00F07135" w:rsidRPr="008B3C30">
        <w:rPr>
          <w:rFonts w:cs="Times New Roman"/>
          <w:sz w:val="24"/>
          <w:szCs w:val="24"/>
        </w:rPr>
        <w:t xml:space="preserve"> </w:t>
      </w:r>
      <w:r w:rsidRPr="008B3C30">
        <w:rPr>
          <w:rFonts w:cs="Times New Roman"/>
          <w:sz w:val="24"/>
          <w:szCs w:val="24"/>
        </w:rPr>
        <w:t xml:space="preserve">съответната услуга </w:t>
      </w:r>
      <w:r w:rsidR="002B4EAF" w:rsidRPr="008B3C30">
        <w:rPr>
          <w:rFonts w:cs="Times New Roman"/>
          <w:sz w:val="24"/>
          <w:szCs w:val="24"/>
        </w:rPr>
        <w:t xml:space="preserve">да </w:t>
      </w:r>
      <w:r w:rsidRPr="008B3C30">
        <w:rPr>
          <w:rFonts w:cs="Times New Roman"/>
          <w:sz w:val="24"/>
          <w:szCs w:val="24"/>
        </w:rPr>
        <w:t xml:space="preserve">е уместна/подходяща за потребителя. Както и при досега действащия режим, новият </w:t>
      </w:r>
      <w:r w:rsidRPr="008B3C30">
        <w:rPr>
          <w:rFonts w:cs="Times New Roman"/>
          <w:sz w:val="24"/>
          <w:szCs w:val="24"/>
        </w:rPr>
        <w:lastRenderedPageBreak/>
        <w:t xml:space="preserve">урежда сериозни изисквания относно съхраняването на клиентски активи, тяхното използване от страна на посредниците и др. Делегиран регламент (ЕС) 565/2017 създава изискване за инвестиционните посредници да установяват, прилагат и поддържат ефективни и прозрачни политики и процедури за управление на жалби и процедури за своевременно разглеждане на жалби от клиенти или потенциални клиенти. Наред с това, инвестиционните посредници следва да </w:t>
      </w:r>
      <w:r w:rsidR="008F34D3" w:rsidRPr="008B3C30">
        <w:rPr>
          <w:rFonts w:cs="Times New Roman"/>
          <w:sz w:val="24"/>
          <w:szCs w:val="24"/>
        </w:rPr>
        <w:t>създадат</w:t>
      </w:r>
      <w:r w:rsidRPr="008B3C30">
        <w:rPr>
          <w:rFonts w:cs="Times New Roman"/>
          <w:sz w:val="24"/>
          <w:szCs w:val="24"/>
        </w:rPr>
        <w:t xml:space="preserve"> звено за управление на жалби, което </w:t>
      </w:r>
      <w:r w:rsidR="002B4EAF" w:rsidRPr="008B3C30">
        <w:rPr>
          <w:rFonts w:cs="Times New Roman"/>
          <w:sz w:val="24"/>
          <w:szCs w:val="24"/>
        </w:rPr>
        <w:t xml:space="preserve">да </w:t>
      </w:r>
      <w:r w:rsidRPr="008B3C30">
        <w:rPr>
          <w:rFonts w:cs="Times New Roman"/>
          <w:sz w:val="24"/>
          <w:szCs w:val="24"/>
        </w:rPr>
        <w:t xml:space="preserve">отговаря за разглеждането на </w:t>
      </w:r>
      <w:r w:rsidR="002B4EAF" w:rsidRPr="008B3C30">
        <w:rPr>
          <w:rFonts w:cs="Times New Roman"/>
          <w:sz w:val="24"/>
          <w:szCs w:val="24"/>
        </w:rPr>
        <w:t xml:space="preserve">постъпилите </w:t>
      </w:r>
      <w:r w:rsidRPr="008B3C30">
        <w:rPr>
          <w:rFonts w:cs="Times New Roman"/>
          <w:sz w:val="24"/>
          <w:szCs w:val="24"/>
        </w:rPr>
        <w:t xml:space="preserve">жалби. </w:t>
      </w:r>
    </w:p>
    <w:p w:rsidR="00313D98" w:rsidRPr="008B3C30" w:rsidRDefault="00313D98" w:rsidP="00313D98">
      <w:pPr>
        <w:pStyle w:val="BodyText"/>
        <w:tabs>
          <w:tab w:val="left" w:pos="851"/>
        </w:tabs>
        <w:ind w:firstLine="708"/>
        <w:rPr>
          <w:rFonts w:cs="Times New Roman"/>
          <w:sz w:val="24"/>
          <w:szCs w:val="24"/>
        </w:rPr>
      </w:pPr>
      <w:r w:rsidRPr="008B3C30">
        <w:rPr>
          <w:rFonts w:cs="Times New Roman"/>
          <w:sz w:val="24"/>
          <w:szCs w:val="24"/>
        </w:rPr>
        <w:t>Директива 2014/65/ЕС се допълва от основния Регламент (ЕС) № 600/2014 на Европейския Парламент и на Съвета от 15 май 2014 г</w:t>
      </w:r>
      <w:r w:rsidR="002B4EAF" w:rsidRPr="008B3C30">
        <w:rPr>
          <w:rFonts w:cs="Times New Roman"/>
          <w:sz w:val="24"/>
          <w:szCs w:val="24"/>
        </w:rPr>
        <w:t>.</w:t>
      </w:r>
      <w:r w:rsidRPr="008B3C30">
        <w:rPr>
          <w:rFonts w:cs="Times New Roman"/>
          <w:sz w:val="24"/>
          <w:szCs w:val="24"/>
        </w:rPr>
        <w:t xml:space="preserve"> относно пазарите на финансови инструменти и за изменение на Регламент (ЕС) № 648/2012</w:t>
      </w:r>
      <w:r w:rsidR="00356F20" w:rsidRPr="008B3C30">
        <w:rPr>
          <w:rFonts w:cs="Times New Roman"/>
          <w:sz w:val="24"/>
          <w:szCs w:val="24"/>
        </w:rPr>
        <w:t>,</w:t>
      </w:r>
      <w:r w:rsidRPr="008B3C30">
        <w:rPr>
          <w:rFonts w:cs="Times New Roman"/>
          <w:sz w:val="24"/>
          <w:szCs w:val="24"/>
        </w:rPr>
        <w:t xml:space="preserve"> (Регламент (ЕС) № 600/2014), които съвместно формират така наречения пакет „</w:t>
      </w:r>
      <w:proofErr w:type="spellStart"/>
      <w:r w:rsidRPr="008B3C30">
        <w:rPr>
          <w:rFonts w:cs="Times New Roman"/>
          <w:sz w:val="24"/>
          <w:szCs w:val="24"/>
        </w:rPr>
        <w:t>МиФИД</w:t>
      </w:r>
      <w:proofErr w:type="spellEnd"/>
      <w:r w:rsidRPr="008B3C30">
        <w:rPr>
          <w:rFonts w:cs="Times New Roman"/>
          <w:sz w:val="24"/>
          <w:szCs w:val="24"/>
        </w:rPr>
        <w:t xml:space="preserve"> II”.</w:t>
      </w:r>
    </w:p>
    <w:p w:rsidR="00313D98" w:rsidRPr="008B3C30" w:rsidRDefault="00313D98" w:rsidP="00313D98">
      <w:pPr>
        <w:pStyle w:val="BodyText"/>
        <w:tabs>
          <w:tab w:val="left" w:pos="851"/>
        </w:tabs>
        <w:ind w:firstLine="708"/>
        <w:rPr>
          <w:rFonts w:cs="Times New Roman"/>
          <w:sz w:val="24"/>
          <w:szCs w:val="24"/>
        </w:rPr>
      </w:pPr>
      <w:r w:rsidRPr="008B3C30">
        <w:rPr>
          <w:rFonts w:cs="Times New Roman"/>
          <w:sz w:val="24"/>
          <w:szCs w:val="24"/>
        </w:rPr>
        <w:t>Наред с редицата нормативни нововъведения, целящи засилена защита на правата и интересите на потребителите на небанкови финансови услуги, Европейският орган за ценни книжа и пазари официално прие новите мерки във връзка с предоставянето на договори за разлики и бинарни опции на инвеститорите на дребно. Мерките ще започнат да се прилагат от 2 юли 2018 г. по отношение на бинарните опции и от 1 август 2018 г. спрямо договорите за разлики, както следва:</w:t>
      </w:r>
    </w:p>
    <w:p w:rsidR="00313D98" w:rsidRPr="008B3C30" w:rsidRDefault="00313D98" w:rsidP="00313D98">
      <w:pPr>
        <w:pStyle w:val="BodyText"/>
        <w:tabs>
          <w:tab w:val="left" w:pos="851"/>
        </w:tabs>
        <w:ind w:firstLine="709"/>
        <w:rPr>
          <w:rFonts w:cs="Times New Roman"/>
          <w:sz w:val="24"/>
          <w:szCs w:val="24"/>
        </w:rPr>
      </w:pPr>
      <w:r w:rsidRPr="008B3C30">
        <w:rPr>
          <w:rFonts w:cs="Times New Roman"/>
          <w:sz w:val="24"/>
          <w:szCs w:val="24"/>
        </w:rPr>
        <w:t>1. Бинарни опции (от 2 юли 2018</w:t>
      </w:r>
      <w:r w:rsidR="002B4EAF" w:rsidRPr="008B3C30">
        <w:rPr>
          <w:rFonts w:cs="Times New Roman"/>
          <w:sz w:val="24"/>
          <w:szCs w:val="24"/>
        </w:rPr>
        <w:t xml:space="preserve"> г.</w:t>
      </w:r>
      <w:r w:rsidRPr="008B3C30">
        <w:rPr>
          <w:rFonts w:cs="Times New Roman"/>
          <w:sz w:val="24"/>
          <w:szCs w:val="24"/>
        </w:rPr>
        <w:t>) – забрана за пускане на пазара, разпространение или продажба на бинарни опции на инвеститори на дребно и</w:t>
      </w:r>
    </w:p>
    <w:p w:rsidR="00313D98" w:rsidRPr="008B3C30" w:rsidRDefault="00313D98" w:rsidP="00313D98">
      <w:pPr>
        <w:pStyle w:val="BodyText"/>
        <w:tabs>
          <w:tab w:val="left" w:pos="851"/>
        </w:tabs>
        <w:ind w:firstLine="709"/>
        <w:rPr>
          <w:rFonts w:cs="Times New Roman"/>
          <w:sz w:val="24"/>
          <w:szCs w:val="24"/>
        </w:rPr>
      </w:pPr>
      <w:r w:rsidRPr="008B3C30">
        <w:rPr>
          <w:rFonts w:cs="Times New Roman"/>
          <w:sz w:val="24"/>
          <w:szCs w:val="24"/>
        </w:rPr>
        <w:t>2. Договори за разлики (от 1 август 2018</w:t>
      </w:r>
      <w:r w:rsidR="002B4EAF" w:rsidRPr="008B3C30">
        <w:rPr>
          <w:rFonts w:cs="Times New Roman"/>
          <w:sz w:val="24"/>
          <w:szCs w:val="24"/>
        </w:rPr>
        <w:t xml:space="preserve"> г.</w:t>
      </w:r>
      <w:r w:rsidRPr="008B3C30">
        <w:rPr>
          <w:rFonts w:cs="Times New Roman"/>
          <w:sz w:val="24"/>
          <w:szCs w:val="24"/>
        </w:rPr>
        <w:t xml:space="preserve">) </w:t>
      </w:r>
      <w:r w:rsidR="002B4EAF" w:rsidRPr="008B3C30">
        <w:rPr>
          <w:rFonts w:cs="Times New Roman"/>
          <w:sz w:val="24"/>
          <w:szCs w:val="24"/>
        </w:rPr>
        <w:t>–</w:t>
      </w:r>
      <w:r w:rsidRPr="008B3C30">
        <w:rPr>
          <w:rFonts w:cs="Times New Roman"/>
          <w:sz w:val="24"/>
          <w:szCs w:val="24"/>
        </w:rPr>
        <w:t xml:space="preserve"> ограничение по отношение пускането им на пазара, разпространението или продажбата на инвеститори на дребно. Това ограничение се състои в: определяне на граници на </w:t>
      </w:r>
      <w:proofErr w:type="spellStart"/>
      <w:r w:rsidRPr="008B3C30">
        <w:rPr>
          <w:rFonts w:cs="Times New Roman"/>
          <w:sz w:val="24"/>
          <w:szCs w:val="24"/>
        </w:rPr>
        <w:t>левъриджа</w:t>
      </w:r>
      <w:proofErr w:type="spellEnd"/>
      <w:r w:rsidRPr="008B3C30">
        <w:rPr>
          <w:rFonts w:cs="Times New Roman"/>
          <w:sz w:val="24"/>
          <w:szCs w:val="24"/>
        </w:rPr>
        <w:t xml:space="preserve"> при отварянето на позиции; правилото за закриване на </w:t>
      </w:r>
      <w:proofErr w:type="spellStart"/>
      <w:r w:rsidRPr="008B3C30">
        <w:rPr>
          <w:rFonts w:cs="Times New Roman"/>
          <w:sz w:val="24"/>
          <w:szCs w:val="24"/>
        </w:rPr>
        <w:t>маржин</w:t>
      </w:r>
      <w:proofErr w:type="spellEnd"/>
      <w:r w:rsidRPr="008B3C30">
        <w:rPr>
          <w:rFonts w:cs="Times New Roman"/>
          <w:sz w:val="24"/>
          <w:szCs w:val="24"/>
        </w:rPr>
        <w:t xml:space="preserve"> позиции по сметката; защита при отрицателен баланс по сметката; предотвратяване използването на стимули от доставчик по договори за разлики и предоставяне по стандартизиран начин на предупреждение относно настъпването на специфични рискове.</w:t>
      </w:r>
    </w:p>
    <w:p w:rsidR="00313D98" w:rsidRPr="008B3C30" w:rsidRDefault="00313D98" w:rsidP="00313D98">
      <w:pPr>
        <w:widowControl/>
        <w:autoSpaceDE/>
        <w:autoSpaceDN/>
        <w:adjustRightInd/>
        <w:ind w:firstLine="708"/>
        <w:jc w:val="both"/>
        <w:rPr>
          <w:rFonts w:ascii="Times New Roman" w:eastAsia="Times New Roman" w:hAnsi="Times New Roman" w:cs="Times New Roman"/>
          <w:sz w:val="24"/>
          <w:szCs w:val="24"/>
        </w:rPr>
      </w:pPr>
      <w:r w:rsidRPr="008B3C30">
        <w:rPr>
          <w:rFonts w:ascii="Times New Roman" w:hAnsi="Times New Roman" w:cs="Times New Roman"/>
          <w:sz w:val="24"/>
          <w:szCs w:val="24"/>
        </w:rPr>
        <w:t xml:space="preserve">Разпоредбите на </w:t>
      </w:r>
      <w:hyperlink r:id="rId10" w:history="1">
        <w:r w:rsidRPr="008B3C30">
          <w:rPr>
            <w:rFonts w:ascii="Times New Roman" w:hAnsi="Times New Roman" w:cs="Times New Roman"/>
            <w:b/>
            <w:color w:val="000000"/>
            <w:sz w:val="24"/>
            <w:szCs w:val="24"/>
          </w:rPr>
          <w:t>Директива 2009/65/ЕО</w:t>
        </w:r>
      </w:hyperlink>
      <w:r w:rsidRPr="008B3C30">
        <w:rPr>
          <w:rFonts w:ascii="Times New Roman" w:hAnsi="Times New Roman" w:cs="Times New Roman"/>
          <w:sz w:val="24"/>
          <w:szCs w:val="24"/>
        </w:rPr>
        <w:t xml:space="preserve"> относно координирането на законовите, подзаконовите и административните разпоредби относно предприятията за </w:t>
      </w:r>
      <w:r w:rsidRPr="008B3C30">
        <w:rPr>
          <w:rFonts w:ascii="Times New Roman" w:hAnsi="Times New Roman" w:cs="Times New Roman"/>
          <w:sz w:val="24"/>
          <w:szCs w:val="24"/>
          <w:bdr w:val="none" w:sz="0" w:space="0" w:color="auto" w:frame="1"/>
          <w:shd w:val="clear" w:color="auto" w:fill="FFFFFF"/>
        </w:rPr>
        <w:t>колективно</w:t>
      </w:r>
      <w:r w:rsidRPr="008B3C30">
        <w:rPr>
          <w:rFonts w:ascii="Times New Roman" w:hAnsi="Times New Roman" w:cs="Times New Roman"/>
          <w:sz w:val="24"/>
          <w:szCs w:val="24"/>
        </w:rPr>
        <w:t xml:space="preserve"> </w:t>
      </w:r>
      <w:r w:rsidRPr="008B3C30">
        <w:rPr>
          <w:rFonts w:ascii="Times New Roman" w:hAnsi="Times New Roman" w:cs="Times New Roman"/>
          <w:sz w:val="24"/>
          <w:szCs w:val="24"/>
          <w:bdr w:val="none" w:sz="0" w:space="0" w:color="auto" w:frame="1"/>
          <w:shd w:val="clear" w:color="auto" w:fill="FFFFFF"/>
        </w:rPr>
        <w:t>инвестиране</w:t>
      </w:r>
      <w:r w:rsidRPr="008B3C30">
        <w:rPr>
          <w:rFonts w:ascii="Times New Roman" w:hAnsi="Times New Roman" w:cs="Times New Roman"/>
          <w:sz w:val="24"/>
          <w:szCs w:val="24"/>
        </w:rPr>
        <w:t xml:space="preserve"> в </w:t>
      </w:r>
      <w:proofErr w:type="spellStart"/>
      <w:r w:rsidRPr="008B3C30">
        <w:rPr>
          <w:rFonts w:ascii="Times New Roman" w:hAnsi="Times New Roman" w:cs="Times New Roman"/>
          <w:sz w:val="24"/>
          <w:szCs w:val="24"/>
        </w:rPr>
        <w:t>прехвърлими</w:t>
      </w:r>
      <w:proofErr w:type="spellEnd"/>
      <w:r w:rsidRPr="008B3C30">
        <w:rPr>
          <w:rFonts w:ascii="Times New Roman" w:hAnsi="Times New Roman" w:cs="Times New Roman"/>
          <w:sz w:val="24"/>
          <w:szCs w:val="24"/>
        </w:rPr>
        <w:t xml:space="preserve"> ценни книжа (ПКИПЦК), както и директивата за нейното изменение </w:t>
      </w:r>
      <w:r w:rsidR="00CF4DED" w:rsidRPr="008B3C30">
        <w:rPr>
          <w:rFonts w:ascii="Times New Roman" w:hAnsi="Times New Roman" w:cs="Times New Roman"/>
          <w:sz w:val="24"/>
          <w:szCs w:val="24"/>
        </w:rPr>
        <w:t>–</w:t>
      </w:r>
      <w:r w:rsidR="00356F20" w:rsidRPr="008B3C30">
        <w:rPr>
          <w:rFonts w:ascii="Times New Roman" w:hAnsi="Times New Roman" w:cs="Times New Roman"/>
          <w:sz w:val="24"/>
          <w:szCs w:val="24"/>
        </w:rPr>
        <w:t xml:space="preserve"> </w:t>
      </w:r>
      <w:hyperlink r:id="rId11" w:history="1">
        <w:r w:rsidRPr="008B3C30">
          <w:rPr>
            <w:rFonts w:ascii="Times New Roman" w:hAnsi="Times New Roman" w:cs="Times New Roman"/>
            <w:color w:val="000000"/>
            <w:sz w:val="24"/>
            <w:szCs w:val="24"/>
          </w:rPr>
          <w:t>Директива 2014/91/ЕС</w:t>
        </w:r>
      </w:hyperlink>
      <w:r w:rsidRPr="008B3C30">
        <w:rPr>
          <w:rFonts w:ascii="Times New Roman" w:hAnsi="Times New Roman" w:cs="Times New Roman"/>
          <w:sz w:val="24"/>
          <w:szCs w:val="24"/>
        </w:rPr>
        <w:t xml:space="preserve"> на Европейския парламент и на Съвета от 23 юли 2014 г. за изменение на </w:t>
      </w:r>
      <w:hyperlink r:id="rId12" w:history="1">
        <w:r w:rsidRPr="008B3C30">
          <w:rPr>
            <w:rFonts w:ascii="Times New Roman" w:hAnsi="Times New Roman" w:cs="Times New Roman"/>
            <w:color w:val="000000"/>
            <w:sz w:val="24"/>
            <w:szCs w:val="24"/>
          </w:rPr>
          <w:t>Директива 2009/65/ЕО</w:t>
        </w:r>
      </w:hyperlink>
      <w:r w:rsidRPr="008B3C30">
        <w:rPr>
          <w:rFonts w:ascii="Times New Roman" w:hAnsi="Times New Roman" w:cs="Times New Roman"/>
          <w:sz w:val="24"/>
          <w:szCs w:val="24"/>
        </w:rPr>
        <w:t xml:space="preserve"> относно координирането на законовите, подзаконовите и административните разпоредби относно предприятията за </w:t>
      </w:r>
      <w:r w:rsidRPr="008B3C30">
        <w:rPr>
          <w:rFonts w:ascii="Times New Roman" w:hAnsi="Times New Roman" w:cs="Times New Roman"/>
          <w:sz w:val="24"/>
          <w:szCs w:val="24"/>
          <w:bdr w:val="none" w:sz="0" w:space="0" w:color="auto" w:frame="1"/>
          <w:shd w:val="clear" w:color="auto" w:fill="FFFFFF"/>
        </w:rPr>
        <w:t>колективно</w:t>
      </w:r>
      <w:r w:rsidRPr="008B3C30">
        <w:rPr>
          <w:rFonts w:ascii="Times New Roman" w:hAnsi="Times New Roman" w:cs="Times New Roman"/>
          <w:sz w:val="24"/>
          <w:szCs w:val="24"/>
        </w:rPr>
        <w:t xml:space="preserve"> </w:t>
      </w:r>
      <w:r w:rsidRPr="008B3C30">
        <w:rPr>
          <w:rFonts w:ascii="Times New Roman" w:hAnsi="Times New Roman" w:cs="Times New Roman"/>
          <w:sz w:val="24"/>
          <w:szCs w:val="24"/>
          <w:bdr w:val="none" w:sz="0" w:space="0" w:color="auto" w:frame="1"/>
          <w:shd w:val="clear" w:color="auto" w:fill="FFFFFF"/>
        </w:rPr>
        <w:t>инвестиране</w:t>
      </w:r>
      <w:r w:rsidRPr="008B3C30">
        <w:rPr>
          <w:rFonts w:ascii="Times New Roman" w:hAnsi="Times New Roman" w:cs="Times New Roman"/>
          <w:sz w:val="24"/>
          <w:szCs w:val="24"/>
        </w:rPr>
        <w:t xml:space="preserve"> в </w:t>
      </w:r>
      <w:proofErr w:type="spellStart"/>
      <w:r w:rsidRPr="008B3C30">
        <w:rPr>
          <w:rFonts w:ascii="Times New Roman" w:hAnsi="Times New Roman" w:cs="Times New Roman"/>
          <w:sz w:val="24"/>
          <w:szCs w:val="24"/>
        </w:rPr>
        <w:t>прехвърлими</w:t>
      </w:r>
      <w:proofErr w:type="spellEnd"/>
      <w:r w:rsidRPr="008B3C30">
        <w:rPr>
          <w:rFonts w:ascii="Times New Roman" w:hAnsi="Times New Roman" w:cs="Times New Roman"/>
          <w:sz w:val="24"/>
          <w:szCs w:val="24"/>
        </w:rPr>
        <w:t xml:space="preserve"> ценни книжа (ПКИПЦК) по отношение на депозитарните функции, политиката за възнагражденията и санкциите, както и </w:t>
      </w:r>
      <w:r w:rsidR="00544152" w:rsidRPr="00544152">
        <w:rPr>
          <w:rFonts w:ascii="Times New Roman" w:hAnsi="Times New Roman" w:cs="Times New Roman"/>
          <w:vanish/>
          <w:sz w:val="24"/>
          <w:szCs w:val="24"/>
        </w:rPr>
        <w:t>Директива 2011/61/Е</w:t>
      </w:r>
      <w:r w:rsidR="00544152">
        <w:rPr>
          <w:rFonts w:ascii="Times New Roman" w:hAnsi="Times New Roman" w:cs="Times New Roman"/>
          <w:vanish/>
          <w:sz w:val="24"/>
          <w:szCs w:val="24"/>
        </w:rPr>
        <w:t>С н</w:t>
      </w:r>
      <w:r w:rsidR="00544152" w:rsidRPr="00544152">
        <w:rPr>
          <w:rFonts w:ascii="Times New Roman" w:hAnsi="Times New Roman" w:cs="Times New Roman"/>
          <w:vanish/>
          <w:sz w:val="24"/>
          <w:szCs w:val="24"/>
        </w:rPr>
        <w:t xml:space="preserve">а Европейския Парламент </w:t>
      </w:r>
      <w:r w:rsidR="00544152">
        <w:rPr>
          <w:rFonts w:ascii="Times New Roman" w:hAnsi="Times New Roman" w:cs="Times New Roman"/>
          <w:vanish/>
          <w:sz w:val="24"/>
          <w:szCs w:val="24"/>
        </w:rPr>
        <w:t>и</w:t>
      </w:r>
      <w:r w:rsidR="00544152" w:rsidRPr="00544152">
        <w:rPr>
          <w:rFonts w:ascii="Times New Roman" w:hAnsi="Times New Roman" w:cs="Times New Roman"/>
          <w:vanish/>
          <w:sz w:val="24"/>
          <w:szCs w:val="24"/>
        </w:rPr>
        <w:t xml:space="preserve"> </w:t>
      </w:r>
      <w:r w:rsidR="00544152">
        <w:rPr>
          <w:rFonts w:ascii="Times New Roman" w:hAnsi="Times New Roman" w:cs="Times New Roman"/>
          <w:vanish/>
          <w:sz w:val="24"/>
          <w:szCs w:val="24"/>
        </w:rPr>
        <w:t>н</w:t>
      </w:r>
      <w:r w:rsidR="00544152" w:rsidRPr="00544152">
        <w:rPr>
          <w:rFonts w:ascii="Times New Roman" w:hAnsi="Times New Roman" w:cs="Times New Roman"/>
          <w:vanish/>
          <w:sz w:val="24"/>
          <w:szCs w:val="24"/>
        </w:rPr>
        <w:t>а Съвета</w:t>
      </w:r>
      <w:r w:rsidR="00544152">
        <w:rPr>
          <w:rFonts w:ascii="Times New Roman" w:hAnsi="Times New Roman" w:cs="Times New Roman"/>
          <w:vanish/>
          <w:sz w:val="24"/>
          <w:szCs w:val="24"/>
        </w:rPr>
        <w:t xml:space="preserve"> </w:t>
      </w:r>
      <w:r w:rsidRPr="00544152">
        <w:rPr>
          <w:rFonts w:ascii="Times New Roman" w:hAnsi="Times New Roman" w:cs="Times New Roman"/>
          <w:vanish/>
          <w:sz w:val="24"/>
          <w:szCs w:val="24"/>
        </w:rPr>
        <w:t>от 8 юни 2011 година</w:t>
      </w:r>
      <w:r w:rsidR="00544152">
        <w:rPr>
          <w:rFonts w:ascii="Times New Roman" w:hAnsi="Times New Roman" w:cs="Times New Roman"/>
          <w:vanish/>
          <w:sz w:val="24"/>
          <w:szCs w:val="24"/>
        </w:rPr>
        <w:t xml:space="preserve"> </w:t>
      </w:r>
      <w:r w:rsidRPr="00544152">
        <w:rPr>
          <w:rFonts w:ascii="Times New Roman" w:hAnsi="Times New Roman" w:cs="Times New Roman"/>
          <w:vanish/>
          <w:sz w:val="24"/>
          <w:szCs w:val="24"/>
        </w:rPr>
        <w:t>относно лицата, управляващи алтернативни инвестиционни фондове и за изменение на директиви 2003/41/ЕО и 2009/65/ЕО и на регламенти (ЕО) № 1060/2009 и (ЕС) № 1095/2010</w:t>
      </w:r>
      <w:r w:rsidRPr="00544152">
        <w:rPr>
          <w:rFonts w:ascii="Times New Roman" w:hAnsi="Times New Roman" w:cs="Times New Roman"/>
          <w:sz w:val="24"/>
          <w:szCs w:val="24"/>
        </w:rPr>
        <w:t xml:space="preserve"> </w:t>
      </w:r>
      <w:hyperlink r:id="rId13" w:history="1">
        <w:r w:rsidRPr="00544152">
          <w:rPr>
            <w:rStyle w:val="Hyperlink"/>
            <w:rFonts w:ascii="Times New Roman" w:hAnsi="Times New Roman" w:cs="Times New Roman"/>
            <w:color w:val="auto"/>
            <w:sz w:val="24"/>
            <w:szCs w:val="24"/>
            <w:u w:val="none"/>
            <w:bdr w:val="none" w:sz="0" w:space="0" w:color="auto" w:frame="1"/>
          </w:rPr>
          <w:t>Директива</w:t>
        </w:r>
        <w:r w:rsidRPr="00544152">
          <w:rPr>
            <w:rStyle w:val="Hyperlink"/>
            <w:rFonts w:ascii="Times New Roman" w:hAnsi="Times New Roman" w:cs="Times New Roman"/>
            <w:color w:val="auto"/>
            <w:sz w:val="24"/>
            <w:szCs w:val="24"/>
            <w:u w:val="none"/>
          </w:rPr>
          <w:t xml:space="preserve"> 2011/61/ЕС</w:t>
        </w:r>
      </w:hyperlink>
      <w:r w:rsidRPr="00544152">
        <w:rPr>
          <w:rFonts w:ascii="Times New Roman" w:hAnsi="Times New Roman" w:cs="Times New Roman"/>
          <w:sz w:val="24"/>
          <w:szCs w:val="24"/>
        </w:rPr>
        <w:t xml:space="preserve"> на Европейския парламент и на Съвета</w:t>
      </w:r>
      <w:r w:rsidRPr="008B3C30">
        <w:rPr>
          <w:rFonts w:ascii="Times New Roman" w:hAnsi="Times New Roman" w:cs="Times New Roman"/>
          <w:sz w:val="24"/>
          <w:szCs w:val="24"/>
        </w:rPr>
        <w:t xml:space="preserve"> от 8 юни 2011 г. относно лицата, управляващи алтернативни инвестиционни фондове и за изменение на </w:t>
      </w:r>
      <w:hyperlink r:id="rId14" w:history="1">
        <w:r w:rsidRPr="008B3C30">
          <w:rPr>
            <w:rStyle w:val="Hyperlink"/>
            <w:rFonts w:ascii="Times New Roman" w:hAnsi="Times New Roman" w:cs="Times New Roman"/>
            <w:color w:val="auto"/>
            <w:sz w:val="24"/>
            <w:szCs w:val="24"/>
            <w:u w:val="none"/>
            <w:bdr w:val="none" w:sz="0" w:space="0" w:color="auto" w:frame="1"/>
          </w:rPr>
          <w:t>директиви</w:t>
        </w:r>
        <w:r w:rsidRPr="008B3C30">
          <w:rPr>
            <w:rStyle w:val="Hyperlink"/>
            <w:rFonts w:ascii="Times New Roman" w:hAnsi="Times New Roman" w:cs="Times New Roman"/>
            <w:color w:val="auto"/>
            <w:sz w:val="24"/>
            <w:szCs w:val="24"/>
            <w:u w:val="none"/>
          </w:rPr>
          <w:t xml:space="preserve"> 2003/41/ЕО</w:t>
        </w:r>
      </w:hyperlink>
      <w:r w:rsidRPr="008B3C30">
        <w:rPr>
          <w:rFonts w:ascii="Times New Roman" w:hAnsi="Times New Roman" w:cs="Times New Roman"/>
          <w:sz w:val="24"/>
          <w:szCs w:val="24"/>
        </w:rPr>
        <w:t xml:space="preserve"> и </w:t>
      </w:r>
      <w:hyperlink r:id="rId15" w:history="1">
        <w:r w:rsidRPr="008B3C30">
          <w:rPr>
            <w:rStyle w:val="Hyperlink"/>
            <w:rFonts w:ascii="Times New Roman" w:hAnsi="Times New Roman" w:cs="Times New Roman"/>
            <w:color w:val="auto"/>
            <w:sz w:val="24"/>
            <w:szCs w:val="24"/>
            <w:u w:val="none"/>
          </w:rPr>
          <w:t>2009/65/ЕО</w:t>
        </w:r>
      </w:hyperlink>
      <w:r w:rsidR="00AE49E4" w:rsidRPr="008B3C30">
        <w:rPr>
          <w:rFonts w:ascii="Times New Roman" w:hAnsi="Times New Roman" w:cs="Times New Roman"/>
          <w:sz w:val="24"/>
          <w:szCs w:val="24"/>
        </w:rPr>
        <w:t>,</w:t>
      </w:r>
      <w:r w:rsidRPr="008B3C30">
        <w:rPr>
          <w:rFonts w:ascii="Times New Roman" w:hAnsi="Times New Roman" w:cs="Times New Roman"/>
          <w:sz w:val="24"/>
          <w:szCs w:val="24"/>
        </w:rPr>
        <w:t xml:space="preserve"> са транспонирани в Закона за дейността на колективните инвестиционни схеми и другите предприятия за колективно инвестиране (ЗДКИСДПКИ). Този закон цели да </w:t>
      </w:r>
      <w:r w:rsidRPr="008B3C30">
        <w:rPr>
          <w:rFonts w:ascii="Times New Roman" w:eastAsia="Times New Roman" w:hAnsi="Times New Roman" w:cs="Times New Roman"/>
          <w:sz w:val="24"/>
          <w:szCs w:val="24"/>
        </w:rPr>
        <w:t>гарантира защитата на инвеститорите в дялове на колективни инвестиционни схеми чрез предоставеното разрешение на управляващото дружество, както и на колективната инвестиционна схема в неговата държава-членка.</w:t>
      </w:r>
    </w:p>
    <w:p w:rsidR="00CF4DED" w:rsidRPr="008B3C30" w:rsidRDefault="00313D98" w:rsidP="00313D98">
      <w:pPr>
        <w:ind w:firstLine="708"/>
        <w:jc w:val="both"/>
        <w:rPr>
          <w:rFonts w:ascii="Times New Roman" w:hAnsi="Times New Roman" w:cs="Times New Roman"/>
          <w:noProof/>
          <w:sz w:val="24"/>
          <w:szCs w:val="24"/>
          <w:lang w:val="en-US"/>
        </w:rPr>
      </w:pPr>
      <w:r w:rsidRPr="008B3C30">
        <w:rPr>
          <w:rFonts w:ascii="Times New Roman" w:hAnsi="Times New Roman" w:cs="Times New Roman"/>
          <w:b/>
          <w:noProof/>
          <w:sz w:val="24"/>
          <w:szCs w:val="24"/>
        </w:rPr>
        <w:t>Директива (ЕС) 2016/2341</w:t>
      </w:r>
      <w:r w:rsidRPr="008B3C30">
        <w:rPr>
          <w:rFonts w:ascii="Times New Roman" w:hAnsi="Times New Roman" w:cs="Times New Roman"/>
          <w:noProof/>
          <w:sz w:val="24"/>
          <w:szCs w:val="24"/>
        </w:rPr>
        <w:t xml:space="preserve"> на ЕП и на Съвета от 14 декември 2016 г. относно дейностите и надзора</w:t>
      </w:r>
      <w:r w:rsidRPr="008B3C30">
        <w:rPr>
          <w:rFonts w:ascii="Times New Roman" w:hAnsi="Times New Roman" w:cs="Times New Roman"/>
          <w:noProof/>
        </w:rPr>
        <w:t xml:space="preserve"> </w:t>
      </w:r>
      <w:r w:rsidRPr="008B3C30">
        <w:rPr>
          <w:rFonts w:ascii="Times New Roman" w:hAnsi="Times New Roman" w:cs="Times New Roman"/>
          <w:noProof/>
          <w:sz w:val="24"/>
          <w:szCs w:val="24"/>
        </w:rPr>
        <w:t>на институциите за професионално пенсионно осигуряване</w:t>
      </w:r>
      <w:r w:rsidR="00AE49E4" w:rsidRPr="008B3C30">
        <w:rPr>
          <w:rFonts w:ascii="Times New Roman" w:hAnsi="Times New Roman" w:cs="Times New Roman"/>
          <w:noProof/>
          <w:sz w:val="24"/>
          <w:szCs w:val="24"/>
        </w:rPr>
        <w:t>:</w:t>
      </w:r>
    </w:p>
    <w:p w:rsidR="00313D98" w:rsidRPr="008B3C30" w:rsidRDefault="00313D98" w:rsidP="00313D98">
      <w:pPr>
        <w:ind w:firstLine="708"/>
        <w:jc w:val="both"/>
        <w:rPr>
          <w:rFonts w:ascii="Times New Roman" w:hAnsi="Times New Roman" w:cs="Times New Roman"/>
          <w:color w:val="000000"/>
          <w:sz w:val="24"/>
          <w:szCs w:val="24"/>
        </w:rPr>
      </w:pPr>
      <w:r w:rsidRPr="008B3C30">
        <w:rPr>
          <w:rFonts w:ascii="Times New Roman" w:hAnsi="Times New Roman" w:cs="Times New Roman"/>
          <w:noProof/>
          <w:sz w:val="24"/>
          <w:szCs w:val="24"/>
        </w:rPr>
        <w:t>Директивата въвежда нови правила относно институциите за професионално пенсионно осигуряване (ИППО) с цел да допринесе за повече дългосрочни инвестиции. Нормативният акт е част от инициативата на ЕС за стимулиране на нови и различни начини за освобождаване на дългосрочно</w:t>
      </w:r>
      <w:r w:rsidR="00CF4DED" w:rsidRPr="008B3C30">
        <w:rPr>
          <w:rFonts w:ascii="Times New Roman" w:hAnsi="Times New Roman" w:cs="Times New Roman"/>
          <w:noProof/>
          <w:sz w:val="24"/>
          <w:szCs w:val="24"/>
        </w:rPr>
        <w:t>то</w:t>
      </w:r>
      <w:r w:rsidRPr="008B3C30">
        <w:rPr>
          <w:rFonts w:ascii="Times New Roman" w:hAnsi="Times New Roman" w:cs="Times New Roman"/>
          <w:noProof/>
          <w:sz w:val="24"/>
          <w:szCs w:val="24"/>
        </w:rPr>
        <w:t xml:space="preserve"> финансиране. Основните цели на </w:t>
      </w:r>
      <w:r w:rsidRPr="008B3C30">
        <w:rPr>
          <w:rFonts w:ascii="Times New Roman" w:hAnsi="Times New Roman" w:cs="Times New Roman"/>
          <w:noProof/>
          <w:sz w:val="24"/>
          <w:szCs w:val="24"/>
        </w:rPr>
        <w:lastRenderedPageBreak/>
        <w:t>директивата са три: да се гарантира, че членовете на пенсионната схема са защитени по подходящ начин от рискове; премахване на пречките пред трансграничното предоставяне на услуги, за да могат професионалните пенсионни фондове да се възползват изцяло от предимствата на единния пазар; да се засили способността на професионалните пенсионни фондове да инвестират във финансови активи с дългосрочен икономически профил и по този начин да се подкрепи финансирането на растежа в реалната икономика.</w:t>
      </w:r>
    </w:p>
    <w:p w:rsidR="00CF4DED" w:rsidRPr="008B3C30" w:rsidRDefault="00313D98" w:rsidP="00CF4DED">
      <w:pPr>
        <w:pStyle w:val="BodyText"/>
        <w:tabs>
          <w:tab w:val="center" w:pos="4854"/>
        </w:tabs>
        <w:ind w:firstLine="709"/>
        <w:rPr>
          <w:rFonts w:cs="Times New Roman"/>
          <w:sz w:val="24"/>
          <w:szCs w:val="24"/>
        </w:rPr>
      </w:pPr>
      <w:r w:rsidRPr="008B3C30">
        <w:rPr>
          <w:rFonts w:cs="Times New Roman"/>
          <w:sz w:val="24"/>
          <w:szCs w:val="24"/>
        </w:rPr>
        <w:tab/>
        <w:t xml:space="preserve">Приети са също </w:t>
      </w:r>
      <w:r w:rsidR="00CF4DED" w:rsidRPr="008B3C30">
        <w:rPr>
          <w:rFonts w:cs="Times New Roman"/>
          <w:sz w:val="24"/>
          <w:szCs w:val="24"/>
        </w:rPr>
        <w:t xml:space="preserve">и </w:t>
      </w:r>
      <w:r w:rsidRPr="008B3C30">
        <w:rPr>
          <w:rFonts w:cs="Times New Roman"/>
          <w:sz w:val="24"/>
          <w:szCs w:val="24"/>
        </w:rPr>
        <w:t xml:space="preserve">много нормативни актове с пряко действие, които уреждат от една страна определени финансови продукти, начините на тяхното разпространение, </w:t>
      </w:r>
    </w:p>
    <w:p w:rsidR="00313D98" w:rsidRPr="008B3C30" w:rsidRDefault="00313D98" w:rsidP="008212B7">
      <w:pPr>
        <w:pStyle w:val="BodyText"/>
        <w:tabs>
          <w:tab w:val="center" w:pos="4854"/>
        </w:tabs>
        <w:ind w:firstLine="0"/>
        <w:rPr>
          <w:rFonts w:cs="Times New Roman"/>
          <w:sz w:val="24"/>
          <w:szCs w:val="24"/>
        </w:rPr>
      </w:pPr>
      <w:r w:rsidRPr="008B3C30">
        <w:rPr>
          <w:rFonts w:cs="Times New Roman"/>
          <w:sz w:val="24"/>
          <w:szCs w:val="24"/>
        </w:rPr>
        <w:t>информацията която следва да се предоставя на инвеститорите или потенциалните инвеститори, начин</w:t>
      </w:r>
      <w:r w:rsidR="00277925" w:rsidRPr="008B3C30">
        <w:rPr>
          <w:rFonts w:cs="Times New Roman"/>
          <w:sz w:val="24"/>
          <w:szCs w:val="24"/>
        </w:rPr>
        <w:t>а</w:t>
      </w:r>
      <w:r w:rsidRPr="008B3C30">
        <w:rPr>
          <w:rFonts w:cs="Times New Roman"/>
          <w:sz w:val="24"/>
          <w:szCs w:val="24"/>
        </w:rPr>
        <w:t xml:space="preserve"> на създаване на инструментите. Всичките уредби създават по</w:t>
      </w:r>
      <w:r w:rsidR="00293490" w:rsidRPr="008B3C30">
        <w:rPr>
          <w:rFonts w:cs="Times New Roman"/>
          <w:sz w:val="24"/>
          <w:szCs w:val="24"/>
          <w:lang w:val="en-US"/>
        </w:rPr>
        <w:t>-</w:t>
      </w:r>
      <w:r w:rsidRPr="008B3C30">
        <w:rPr>
          <w:rFonts w:cs="Times New Roman"/>
          <w:sz w:val="24"/>
          <w:szCs w:val="24"/>
        </w:rPr>
        <w:t xml:space="preserve"> стабилна, предвидима среда на финансовите пазари и по този начин спомагат за защитата на потребителите. В последните няколко години бяха приети:  </w:t>
      </w:r>
    </w:p>
    <w:p w:rsidR="00313D98" w:rsidRPr="008B3C30" w:rsidRDefault="00313D98" w:rsidP="008212B7">
      <w:pPr>
        <w:pStyle w:val="BodyText"/>
        <w:numPr>
          <w:ilvl w:val="0"/>
          <w:numId w:val="9"/>
        </w:numPr>
        <w:tabs>
          <w:tab w:val="left" w:pos="851"/>
          <w:tab w:val="left" w:pos="1560"/>
          <w:tab w:val="center" w:pos="4854"/>
        </w:tabs>
        <w:ind w:left="0" w:firstLine="708"/>
        <w:rPr>
          <w:rStyle w:val="Strong"/>
          <w:rFonts w:cs="Times New Roman"/>
          <w:sz w:val="24"/>
          <w:szCs w:val="24"/>
        </w:rPr>
      </w:pPr>
      <w:r w:rsidRPr="008B3C30">
        <w:rPr>
          <w:rStyle w:val="Strong"/>
          <w:rFonts w:cs="Times New Roman"/>
          <w:sz w:val="24"/>
          <w:szCs w:val="24"/>
        </w:rPr>
        <w:t>Регламент (ЕС) 2015/760 на Европейския парламент и на Съвета от 29 април 2015 г</w:t>
      </w:r>
      <w:r w:rsidR="00277925" w:rsidRPr="008B3C30">
        <w:rPr>
          <w:rStyle w:val="Strong"/>
          <w:rFonts w:cs="Times New Roman"/>
          <w:sz w:val="24"/>
          <w:szCs w:val="24"/>
        </w:rPr>
        <w:t>.</w:t>
      </w:r>
      <w:r w:rsidRPr="008B3C30">
        <w:rPr>
          <w:rStyle w:val="Strong"/>
          <w:rFonts w:cs="Times New Roman"/>
          <w:sz w:val="24"/>
          <w:szCs w:val="24"/>
        </w:rPr>
        <w:t xml:space="preserve"> относно Европейски</w:t>
      </w:r>
      <w:r w:rsidR="00277925" w:rsidRPr="008B3C30">
        <w:rPr>
          <w:rStyle w:val="Strong"/>
          <w:rFonts w:cs="Times New Roman"/>
          <w:sz w:val="24"/>
          <w:szCs w:val="24"/>
        </w:rPr>
        <w:t>те</w:t>
      </w:r>
      <w:r w:rsidRPr="008B3C30">
        <w:rPr>
          <w:rStyle w:val="Strong"/>
          <w:rFonts w:cs="Times New Roman"/>
          <w:sz w:val="24"/>
          <w:szCs w:val="24"/>
        </w:rPr>
        <w:t xml:space="preserve"> фондове за дългосрочни инвестиции</w:t>
      </w:r>
      <w:r w:rsidR="00277925" w:rsidRPr="008B3C30">
        <w:rPr>
          <w:rStyle w:val="Strong"/>
          <w:rFonts w:cs="Times New Roman"/>
          <w:sz w:val="24"/>
          <w:szCs w:val="24"/>
        </w:rPr>
        <w:t>.</w:t>
      </w:r>
      <w:r w:rsidRPr="008B3C30">
        <w:rPr>
          <w:rStyle w:val="Strong"/>
          <w:rFonts w:cs="Times New Roman"/>
          <w:sz w:val="24"/>
          <w:szCs w:val="24"/>
        </w:rPr>
        <w:t xml:space="preserve"> Фондовете </w:t>
      </w:r>
      <w:r w:rsidRPr="008B3C30">
        <w:rPr>
          <w:rFonts w:cs="Times New Roman"/>
          <w:sz w:val="24"/>
          <w:szCs w:val="24"/>
        </w:rPr>
        <w:t>осигуря</w:t>
      </w:r>
      <w:r w:rsidR="00277925" w:rsidRPr="008B3C30">
        <w:rPr>
          <w:rFonts w:cs="Times New Roman"/>
          <w:sz w:val="24"/>
          <w:szCs w:val="24"/>
        </w:rPr>
        <w:t>ва</w:t>
      </w:r>
      <w:r w:rsidRPr="008B3C30">
        <w:rPr>
          <w:rFonts w:cs="Times New Roman"/>
          <w:sz w:val="24"/>
          <w:szCs w:val="24"/>
        </w:rPr>
        <w:t>т постоянен поток на приходи за администраторите на пенсионни схеми, застрахователните дружества, фондациите, общините и други субекти, които са изправени пред обичайни и повтарящи се задължения и търсят дългосрочна възвръщаемост в рамките на добре регулирани структури и правилата за тяхната дейност</w:t>
      </w:r>
      <w:r w:rsidR="00CF4DED" w:rsidRPr="008B3C30">
        <w:rPr>
          <w:rFonts w:cs="Times New Roman"/>
          <w:sz w:val="24"/>
          <w:szCs w:val="24"/>
        </w:rPr>
        <w:t>,</w:t>
      </w:r>
      <w:r w:rsidRPr="008B3C30">
        <w:rPr>
          <w:rFonts w:cs="Times New Roman"/>
          <w:sz w:val="24"/>
          <w:szCs w:val="24"/>
        </w:rPr>
        <w:t xml:space="preserve"> осигуряват уеднаквяване на изискванията за състав на портфейла, диверсификация и допустими активи, прилагани инвестиционни техники като допустимите нива на заемни средства, използването на финансови </w:t>
      </w:r>
      <w:proofErr w:type="spellStart"/>
      <w:r w:rsidRPr="008B3C30">
        <w:rPr>
          <w:rFonts w:cs="Times New Roman"/>
          <w:sz w:val="24"/>
          <w:szCs w:val="24"/>
        </w:rPr>
        <w:t>деривативни</w:t>
      </w:r>
      <w:proofErr w:type="spellEnd"/>
      <w:r w:rsidRPr="008B3C30">
        <w:rPr>
          <w:rFonts w:cs="Times New Roman"/>
          <w:sz w:val="24"/>
          <w:szCs w:val="24"/>
        </w:rPr>
        <w:t xml:space="preserve"> инструменти, правилата, приложими за късите продажби или към сделките за финансиране с ценни книжа, което от своя страна спомага за хармонизиране на нивата на защита на инвеститорите. </w:t>
      </w:r>
    </w:p>
    <w:p w:rsidR="00313D98" w:rsidRPr="008B3C30" w:rsidRDefault="00313D98" w:rsidP="008212B7">
      <w:pPr>
        <w:pStyle w:val="BodyText"/>
        <w:numPr>
          <w:ilvl w:val="0"/>
          <w:numId w:val="9"/>
        </w:numPr>
        <w:tabs>
          <w:tab w:val="left" w:pos="993"/>
          <w:tab w:val="center" w:pos="4854"/>
        </w:tabs>
        <w:ind w:left="0" w:firstLine="708"/>
        <w:rPr>
          <w:rStyle w:val="Strong"/>
          <w:rFonts w:eastAsiaTheme="minorEastAsia" w:cs="Times New Roman"/>
          <w:sz w:val="24"/>
          <w:szCs w:val="24"/>
          <w:lang w:eastAsia="bg-BG"/>
        </w:rPr>
      </w:pPr>
      <w:r w:rsidRPr="008B3C30">
        <w:rPr>
          <w:rFonts w:cs="Times New Roman"/>
          <w:b/>
          <w:sz w:val="24"/>
          <w:szCs w:val="24"/>
        </w:rPr>
        <w:t>Регламент (ЕС) № 346/2013 г.</w:t>
      </w:r>
      <w:r w:rsidRPr="008B3C30">
        <w:rPr>
          <w:rFonts w:cs="Times New Roman"/>
          <w:sz w:val="24"/>
          <w:szCs w:val="24"/>
        </w:rPr>
        <w:t xml:space="preserve"> за европейските фондове за социално предприемачество</w:t>
      </w:r>
      <w:r w:rsidR="00277925" w:rsidRPr="008B3C30">
        <w:rPr>
          <w:rFonts w:cs="Times New Roman"/>
          <w:sz w:val="24"/>
          <w:szCs w:val="24"/>
        </w:rPr>
        <w:t xml:space="preserve">: </w:t>
      </w:r>
      <w:r w:rsidRPr="008B3C30">
        <w:rPr>
          <w:rFonts w:cs="Times New Roman"/>
          <w:sz w:val="24"/>
          <w:szCs w:val="24"/>
        </w:rPr>
        <w:t>Чрез него се въвеждат еднообразни правила, приложими спрямо допустимите фондове за социално предприемачество във всички държави членки, които да налагат съответните задължения на управителите им, желаещи да набират капитал в целия Съюз, като използват обозначението „</w:t>
      </w:r>
      <w:proofErr w:type="spellStart"/>
      <w:r w:rsidRPr="008B3C30">
        <w:rPr>
          <w:rFonts w:cs="Times New Roman"/>
          <w:sz w:val="24"/>
          <w:szCs w:val="24"/>
        </w:rPr>
        <w:t>EuSEF</w:t>
      </w:r>
      <w:proofErr w:type="spellEnd"/>
      <w:r w:rsidRPr="008B3C30">
        <w:rPr>
          <w:rFonts w:cs="Times New Roman"/>
          <w:sz w:val="24"/>
          <w:szCs w:val="24"/>
        </w:rPr>
        <w:t>“. С тези изисквания се цели спечелването на доверието на инвеститорите и съответно до хармонизиране на нивата на защита на инвеститорите на европейско ниво.</w:t>
      </w:r>
    </w:p>
    <w:p w:rsidR="00313D98" w:rsidRPr="008B3C30" w:rsidRDefault="00313D98" w:rsidP="008212B7">
      <w:pPr>
        <w:pStyle w:val="BodyText"/>
        <w:numPr>
          <w:ilvl w:val="0"/>
          <w:numId w:val="9"/>
        </w:numPr>
        <w:tabs>
          <w:tab w:val="left" w:pos="993"/>
          <w:tab w:val="center" w:pos="4854"/>
        </w:tabs>
        <w:ind w:left="0" w:firstLine="708"/>
        <w:rPr>
          <w:rFonts w:cs="Times New Roman"/>
          <w:sz w:val="24"/>
          <w:szCs w:val="24"/>
        </w:rPr>
      </w:pPr>
      <w:r w:rsidRPr="008B3C30">
        <w:rPr>
          <w:rFonts w:cs="Times New Roman"/>
          <w:b/>
          <w:sz w:val="24"/>
          <w:szCs w:val="24"/>
        </w:rPr>
        <w:t>Регламент (ЕС) № 345/2013</w:t>
      </w:r>
      <w:r w:rsidRPr="008B3C30">
        <w:rPr>
          <w:rFonts w:cs="Times New Roman"/>
          <w:sz w:val="24"/>
          <w:szCs w:val="24"/>
        </w:rPr>
        <w:t xml:space="preserve"> за европейските фондове за рисков капитал</w:t>
      </w:r>
      <w:r w:rsidR="0057105B" w:rsidRPr="008B3C30">
        <w:rPr>
          <w:rFonts w:cs="Times New Roman"/>
          <w:sz w:val="24"/>
          <w:szCs w:val="24"/>
        </w:rPr>
        <w:t>:</w:t>
      </w:r>
      <w:r w:rsidRPr="008B3C30">
        <w:rPr>
          <w:rFonts w:cs="Times New Roman"/>
          <w:sz w:val="24"/>
          <w:szCs w:val="24"/>
        </w:rPr>
        <w:t xml:space="preserve"> </w:t>
      </w:r>
      <w:r w:rsidR="00CF4DED" w:rsidRPr="008B3C30">
        <w:rPr>
          <w:rFonts w:cs="Times New Roman"/>
          <w:sz w:val="24"/>
          <w:szCs w:val="24"/>
        </w:rPr>
        <w:t>С</w:t>
      </w:r>
      <w:r w:rsidRPr="008B3C30">
        <w:rPr>
          <w:rFonts w:cs="Times New Roman"/>
          <w:sz w:val="24"/>
          <w:szCs w:val="24"/>
        </w:rPr>
        <w:t xml:space="preserve"> регламента се въвеждат общи правила на европейско ниво за европейските фондове за рисков капитал, в частност във връзка със състава на портфейла на фондовете, които извършват дейност с това обозначение, на техните допустими инвестиционни цели и инструменти, както и на категориите инвеститори, на които се позволява да инвестират в такива фондове. Различията в изискванията по отношение на качеството на състава на портфейлите, инвестиционните цели и допустимите инвеститори могат да доведат до различни равнища на защита на инвеститорите и създават объркване по отношение на инвестиционния спектър на даден допустим фонд за рисков капитал.</w:t>
      </w:r>
    </w:p>
    <w:p w:rsidR="00313D98" w:rsidRPr="008B3C30" w:rsidRDefault="00313D98" w:rsidP="008212B7">
      <w:pPr>
        <w:pStyle w:val="ListParagraph"/>
        <w:numPr>
          <w:ilvl w:val="0"/>
          <w:numId w:val="9"/>
        </w:numPr>
        <w:shd w:val="clear" w:color="auto" w:fill="FFFFFF"/>
        <w:tabs>
          <w:tab w:val="left" w:pos="993"/>
        </w:tabs>
        <w:spacing w:line="274" w:lineRule="exact"/>
        <w:ind w:left="0" w:right="-174" w:firstLine="708"/>
        <w:jc w:val="both"/>
        <w:rPr>
          <w:sz w:val="24"/>
          <w:szCs w:val="24"/>
          <w:lang w:val="bg-BG"/>
        </w:rPr>
      </w:pPr>
      <w:r w:rsidRPr="008B3C30">
        <w:rPr>
          <w:b/>
          <w:color w:val="000000"/>
          <w:sz w:val="24"/>
          <w:szCs w:val="24"/>
          <w:lang w:val="bg-BG"/>
        </w:rPr>
        <w:t>Регламент № 236/2012 о</w:t>
      </w:r>
      <w:r w:rsidRPr="008B3C30">
        <w:rPr>
          <w:color w:val="000000"/>
          <w:sz w:val="24"/>
          <w:szCs w:val="24"/>
          <w:lang w:val="bg-BG"/>
        </w:rPr>
        <w:t>тносно късите продажби и някои аспекти на суаповете за кредитно неизпълнение</w:t>
      </w:r>
      <w:r w:rsidR="0057105B" w:rsidRPr="008B3C30">
        <w:rPr>
          <w:color w:val="000000"/>
          <w:sz w:val="24"/>
          <w:szCs w:val="24"/>
          <w:lang w:val="bg-BG"/>
        </w:rPr>
        <w:t>:</w:t>
      </w:r>
      <w:r w:rsidRPr="008B3C30">
        <w:rPr>
          <w:color w:val="000000"/>
          <w:sz w:val="24"/>
          <w:szCs w:val="24"/>
          <w:lang w:val="bg-BG"/>
        </w:rPr>
        <w:t xml:space="preserve"> Р</w:t>
      </w:r>
      <w:r w:rsidRPr="008B3C30">
        <w:rPr>
          <w:sz w:val="24"/>
          <w:szCs w:val="24"/>
          <w:lang w:val="bg-BG"/>
        </w:rPr>
        <w:t xml:space="preserve">егламентът създава предпазна регулаторна рамка, която да се използва при извънредни обстоятелства. Важно е потенциалните рискове, произтичащи от късите продажби и </w:t>
      </w:r>
      <w:proofErr w:type="spellStart"/>
      <w:r w:rsidRPr="008B3C30">
        <w:rPr>
          <w:sz w:val="24"/>
          <w:szCs w:val="24"/>
          <w:lang w:val="bg-BG"/>
        </w:rPr>
        <w:t>суапите</w:t>
      </w:r>
      <w:proofErr w:type="spellEnd"/>
      <w:r w:rsidRPr="008B3C30">
        <w:rPr>
          <w:sz w:val="24"/>
          <w:szCs w:val="24"/>
          <w:lang w:val="bg-BG"/>
        </w:rPr>
        <w:t xml:space="preserve"> за кредитно неизпълнение, да се регулират по хармонизиран начин. Регулаторната рамка обхваща всички финансови инструменти като предвижда пропорционални мерки срещу рисковете, които може да произтичат от късите продажби на различни инструменти. Осигурява по-високата прозрачност на значителните нетни къси позиции в определени финансови инструменти, което осигурява информация от полза както за регулаторния орган, така и за участниците на пазара.</w:t>
      </w:r>
    </w:p>
    <w:p w:rsidR="00313D98" w:rsidRPr="008B3C30" w:rsidRDefault="00313D98" w:rsidP="008212B7">
      <w:pPr>
        <w:pStyle w:val="ListParagraph"/>
        <w:numPr>
          <w:ilvl w:val="0"/>
          <w:numId w:val="9"/>
        </w:numPr>
        <w:tabs>
          <w:tab w:val="left" w:pos="993"/>
        </w:tabs>
        <w:ind w:left="0" w:firstLine="708"/>
        <w:jc w:val="both"/>
        <w:rPr>
          <w:noProof/>
          <w:sz w:val="24"/>
          <w:szCs w:val="24"/>
          <w:lang w:val="bg-BG"/>
        </w:rPr>
      </w:pPr>
      <w:r w:rsidRPr="008B3C30">
        <w:rPr>
          <w:b/>
          <w:noProof/>
          <w:sz w:val="24"/>
          <w:szCs w:val="24"/>
          <w:lang w:val="bg-BG"/>
        </w:rPr>
        <w:lastRenderedPageBreak/>
        <w:t>Регламент (EС) 2017/1129</w:t>
      </w:r>
      <w:r w:rsidRPr="008B3C30">
        <w:rPr>
          <w:noProof/>
          <w:sz w:val="24"/>
          <w:szCs w:val="24"/>
          <w:lang w:val="bg-BG"/>
        </w:rPr>
        <w:t xml:space="preserve"> на ЕП и на Съвета от 14 юни 2017 г. относно проспекта, който трябва да се публикува при публично предлагане или допускане на ценни книжа до търговия на регулиран пазар и за отмяна на Директива 2003/71/ЕО</w:t>
      </w:r>
      <w:r w:rsidR="006E419E" w:rsidRPr="008B3C30">
        <w:rPr>
          <w:noProof/>
          <w:sz w:val="24"/>
          <w:szCs w:val="24"/>
          <w:lang w:val="bg-BG"/>
        </w:rPr>
        <w:t>:</w:t>
      </w:r>
      <w:r w:rsidRPr="008B3C30">
        <w:rPr>
          <w:noProof/>
          <w:sz w:val="24"/>
          <w:szCs w:val="24"/>
          <w:lang w:val="bg-BG"/>
        </w:rPr>
        <w:t xml:space="preserve"> </w:t>
      </w:r>
      <w:r w:rsidR="006E419E" w:rsidRPr="008B3C30">
        <w:rPr>
          <w:noProof/>
          <w:sz w:val="24"/>
          <w:szCs w:val="24"/>
          <w:lang w:val="bg-BG"/>
        </w:rPr>
        <w:t>Регламентът</w:t>
      </w:r>
      <w:r w:rsidR="00E61307" w:rsidRPr="008B3C30">
        <w:rPr>
          <w:noProof/>
          <w:sz w:val="24"/>
          <w:szCs w:val="24"/>
          <w:lang w:val="bg-BG"/>
        </w:rPr>
        <w:t xml:space="preserve"> цели</w:t>
      </w:r>
      <w:r w:rsidRPr="008B3C30">
        <w:rPr>
          <w:noProof/>
          <w:sz w:val="24"/>
          <w:szCs w:val="24"/>
          <w:lang w:val="bg-BG"/>
        </w:rPr>
        <w:t xml:space="preserve"> да улесни достъп</w:t>
      </w:r>
      <w:r w:rsidR="006E419E" w:rsidRPr="008B3C30">
        <w:rPr>
          <w:noProof/>
          <w:sz w:val="24"/>
          <w:szCs w:val="24"/>
          <w:lang w:val="bg-BG"/>
        </w:rPr>
        <w:t>а</w:t>
      </w:r>
      <w:r w:rsidRPr="008B3C30">
        <w:rPr>
          <w:noProof/>
          <w:sz w:val="24"/>
          <w:szCs w:val="24"/>
          <w:lang w:val="bg-BG"/>
        </w:rPr>
        <w:t xml:space="preserve"> до финансовите пазари </w:t>
      </w:r>
      <w:r w:rsidR="006E419E" w:rsidRPr="008B3C30">
        <w:rPr>
          <w:noProof/>
          <w:sz w:val="24"/>
          <w:szCs w:val="24"/>
          <w:lang w:val="bg-BG"/>
        </w:rPr>
        <w:t>н</w:t>
      </w:r>
      <w:r w:rsidRPr="008B3C30">
        <w:rPr>
          <w:noProof/>
          <w:sz w:val="24"/>
          <w:szCs w:val="24"/>
          <w:lang w:val="bg-BG"/>
        </w:rPr>
        <w:t xml:space="preserve">а дружествата, и по-специално </w:t>
      </w:r>
      <w:r w:rsidR="006E419E" w:rsidRPr="008B3C30">
        <w:rPr>
          <w:noProof/>
          <w:sz w:val="24"/>
          <w:szCs w:val="24"/>
          <w:lang w:val="bg-BG"/>
        </w:rPr>
        <w:t>н</w:t>
      </w:r>
      <w:r w:rsidRPr="008B3C30">
        <w:rPr>
          <w:noProof/>
          <w:sz w:val="24"/>
          <w:szCs w:val="24"/>
          <w:lang w:val="bg-BG"/>
        </w:rPr>
        <w:t>а малките и средните предприятия (МСП), като опрости правилата и административните процедури за тях.</w:t>
      </w:r>
    </w:p>
    <w:p w:rsidR="00313D98" w:rsidRPr="008B3C30" w:rsidRDefault="00313D98" w:rsidP="008212B7">
      <w:pPr>
        <w:pStyle w:val="BodyText"/>
        <w:numPr>
          <w:ilvl w:val="0"/>
          <w:numId w:val="9"/>
        </w:numPr>
        <w:tabs>
          <w:tab w:val="left" w:pos="851"/>
        </w:tabs>
        <w:ind w:left="0" w:firstLine="708"/>
        <w:rPr>
          <w:rFonts w:cs="Times New Roman"/>
          <w:noProof/>
          <w:sz w:val="24"/>
          <w:szCs w:val="24"/>
        </w:rPr>
      </w:pPr>
      <w:r w:rsidRPr="008B3C30">
        <w:rPr>
          <w:rFonts w:cs="Times New Roman"/>
          <w:b/>
          <w:noProof/>
          <w:sz w:val="24"/>
          <w:szCs w:val="24"/>
        </w:rPr>
        <w:t xml:space="preserve">Регламент (ЕС) 2017/1131 </w:t>
      </w:r>
      <w:r w:rsidRPr="008B3C30">
        <w:rPr>
          <w:rFonts w:cs="Times New Roman"/>
          <w:noProof/>
          <w:sz w:val="24"/>
          <w:szCs w:val="24"/>
        </w:rPr>
        <w:t>на ЕП и на Съвета от 14 юни 2017 г.</w:t>
      </w:r>
      <w:r w:rsidRPr="008B3C30">
        <w:rPr>
          <w:rFonts w:cs="Times New Roman"/>
          <w:b/>
          <w:noProof/>
          <w:sz w:val="24"/>
          <w:szCs w:val="24"/>
        </w:rPr>
        <w:t xml:space="preserve"> </w:t>
      </w:r>
      <w:r w:rsidRPr="008B3C30">
        <w:rPr>
          <w:rFonts w:cs="Times New Roman"/>
          <w:noProof/>
          <w:sz w:val="24"/>
          <w:szCs w:val="24"/>
        </w:rPr>
        <w:t>относно фондовете на паричния пазар</w:t>
      </w:r>
      <w:r w:rsidR="006E419E" w:rsidRPr="008B3C30">
        <w:rPr>
          <w:rFonts w:cs="Times New Roman"/>
          <w:noProof/>
          <w:sz w:val="24"/>
          <w:szCs w:val="24"/>
        </w:rPr>
        <w:t>:</w:t>
      </w:r>
      <w:r w:rsidRPr="008B3C30">
        <w:rPr>
          <w:rFonts w:cs="Times New Roman"/>
          <w:b/>
          <w:noProof/>
          <w:sz w:val="24"/>
          <w:szCs w:val="24"/>
        </w:rPr>
        <w:t xml:space="preserve"> </w:t>
      </w:r>
      <w:r w:rsidRPr="008B3C30">
        <w:rPr>
          <w:rFonts w:cs="Times New Roman"/>
          <w:noProof/>
          <w:sz w:val="24"/>
          <w:szCs w:val="24"/>
        </w:rPr>
        <w:t>Регламентът  регулира фондовете на паричния пазар (ФПП), които от гледна точка на търсенето представляват инструменти за краткосрочно управление на парични средства, като осигуряват висока степен на ликвидност, диверсификация и стабилна стойност.</w:t>
      </w:r>
    </w:p>
    <w:p w:rsidR="00313D98" w:rsidRPr="008B3C30" w:rsidRDefault="00313D98" w:rsidP="008212B7">
      <w:pPr>
        <w:pStyle w:val="BodyText"/>
        <w:numPr>
          <w:ilvl w:val="0"/>
          <w:numId w:val="9"/>
        </w:numPr>
        <w:tabs>
          <w:tab w:val="left" w:pos="851"/>
        </w:tabs>
        <w:ind w:left="0" w:firstLine="708"/>
        <w:rPr>
          <w:rFonts w:cs="Times New Roman"/>
          <w:color w:val="000000" w:themeColor="text1"/>
          <w:sz w:val="24"/>
          <w:szCs w:val="24"/>
        </w:rPr>
      </w:pPr>
      <w:r w:rsidRPr="008B3C30">
        <w:rPr>
          <w:rFonts w:cs="Times New Roman"/>
          <w:b/>
          <w:noProof/>
          <w:sz w:val="24"/>
          <w:szCs w:val="24"/>
        </w:rPr>
        <w:t>Регламент</w:t>
      </w:r>
      <w:r w:rsidRPr="008B3C30">
        <w:rPr>
          <w:rFonts w:cs="Times New Roman"/>
          <w:noProof/>
          <w:sz w:val="24"/>
          <w:szCs w:val="24"/>
        </w:rPr>
        <w:t xml:space="preserve"> </w:t>
      </w:r>
      <w:r w:rsidRPr="008B3C30">
        <w:rPr>
          <w:rFonts w:cs="Times New Roman"/>
          <w:b/>
          <w:noProof/>
          <w:sz w:val="24"/>
          <w:szCs w:val="24"/>
        </w:rPr>
        <w:t>(ЕС) № 1286/2014</w:t>
      </w:r>
      <w:r w:rsidRPr="008B3C30">
        <w:rPr>
          <w:rFonts w:cs="Times New Roman"/>
          <w:noProof/>
          <w:sz w:val="24"/>
          <w:szCs w:val="24"/>
        </w:rPr>
        <w:t xml:space="preserve"> относно основните информационни документи за пакети с инвестиционни продукти на дребно и основаващи се на застраховане инвестиционни продукти</w:t>
      </w:r>
      <w:r w:rsidRPr="008B3C30">
        <w:rPr>
          <w:rFonts w:cs="Times New Roman"/>
          <w:sz w:val="24"/>
          <w:szCs w:val="24"/>
        </w:rPr>
        <w:t>, в сила от 01.01.2018 г.</w:t>
      </w:r>
      <w:r w:rsidR="00E12FD3" w:rsidRPr="008B3C30">
        <w:rPr>
          <w:rFonts w:cs="Times New Roman"/>
          <w:sz w:val="24"/>
          <w:szCs w:val="24"/>
        </w:rPr>
        <w:t>:</w:t>
      </w:r>
      <w:r w:rsidRPr="008B3C30">
        <w:rPr>
          <w:rFonts w:cs="Times New Roman"/>
          <w:sz w:val="24"/>
          <w:szCs w:val="24"/>
        </w:rPr>
        <w:t xml:space="preserve"> Регламентът относно основните информационни документи за пакети с инвестиционни продукти на дребно и основаващи се на застраховане инвестиционни продукти въвежда редица информационни изисквания към лицата, предлагащи финансови продукти с основна цел защита на инвеститорите на дребно.</w:t>
      </w:r>
      <w:r w:rsidRPr="008B3C30">
        <w:rPr>
          <w:rFonts w:cs="Times New Roman"/>
          <w:color w:val="000000" w:themeColor="text1"/>
          <w:spacing w:val="-1"/>
          <w:sz w:val="24"/>
          <w:szCs w:val="24"/>
        </w:rPr>
        <w:t xml:space="preserve"> Акцентът е поставен върху подобряването на условията при които се взимат </w:t>
      </w:r>
      <w:r w:rsidR="00D40322" w:rsidRPr="008B3C30">
        <w:rPr>
          <w:rFonts w:cs="Times New Roman"/>
          <w:color w:val="000000" w:themeColor="text1"/>
          <w:sz w:val="24"/>
          <w:szCs w:val="24"/>
        </w:rPr>
        <w:t>решения</w:t>
      </w:r>
      <w:r w:rsidR="00D40322" w:rsidRPr="008B3C30">
        <w:rPr>
          <w:rFonts w:cs="Times New Roman"/>
          <w:color w:val="000000" w:themeColor="text1"/>
          <w:spacing w:val="-1"/>
          <w:sz w:val="24"/>
          <w:szCs w:val="24"/>
        </w:rPr>
        <w:t xml:space="preserve"> </w:t>
      </w:r>
      <w:r w:rsidRPr="008B3C30">
        <w:rPr>
          <w:rFonts w:cs="Times New Roman"/>
          <w:color w:val="000000" w:themeColor="text1"/>
          <w:spacing w:val="-1"/>
          <w:sz w:val="24"/>
          <w:szCs w:val="24"/>
        </w:rPr>
        <w:t xml:space="preserve">от </w:t>
      </w:r>
      <w:r w:rsidRPr="008B3C30">
        <w:rPr>
          <w:rFonts w:cs="Times New Roman"/>
          <w:color w:val="000000" w:themeColor="text1"/>
          <w:sz w:val="24"/>
          <w:szCs w:val="24"/>
        </w:rPr>
        <w:t>инвеститорите и акцентира на две основни области:</w:t>
      </w:r>
    </w:p>
    <w:p w:rsidR="00313D98" w:rsidRPr="008B3C30" w:rsidRDefault="00313D98" w:rsidP="008212B7">
      <w:pPr>
        <w:numPr>
          <w:ilvl w:val="0"/>
          <w:numId w:val="1"/>
        </w:numPr>
        <w:shd w:val="clear" w:color="auto" w:fill="FFFFFF"/>
        <w:tabs>
          <w:tab w:val="left" w:pos="730"/>
        </w:tabs>
        <w:spacing w:before="14" w:line="274" w:lineRule="exact"/>
        <w:ind w:firstLine="730"/>
        <w:jc w:val="both"/>
        <w:rPr>
          <w:rFonts w:ascii="Times New Roman" w:hAnsi="Times New Roman" w:cs="Times New Roman"/>
          <w:color w:val="000000" w:themeColor="text1"/>
          <w:sz w:val="24"/>
          <w:szCs w:val="24"/>
        </w:rPr>
      </w:pPr>
      <w:r w:rsidRPr="008B3C30">
        <w:rPr>
          <w:rFonts w:ascii="Times New Roman" w:hAnsi="Times New Roman" w:cs="Times New Roman"/>
          <w:color w:val="000000" w:themeColor="text1"/>
          <w:spacing w:val="1"/>
          <w:sz w:val="24"/>
          <w:szCs w:val="24"/>
        </w:rPr>
        <w:t>форма   и   съдържание   на   ключовата   информация   и   свързаната   с   нея</w:t>
      </w:r>
      <w:r w:rsidR="00B55B99" w:rsidRPr="008B3C30">
        <w:rPr>
          <w:rFonts w:ascii="Times New Roman" w:hAnsi="Times New Roman" w:cs="Times New Roman"/>
          <w:color w:val="000000" w:themeColor="text1"/>
          <w:spacing w:val="1"/>
          <w:sz w:val="24"/>
          <w:szCs w:val="24"/>
        </w:rPr>
        <w:t xml:space="preserve"> </w:t>
      </w:r>
      <w:r w:rsidRPr="008B3C30">
        <w:rPr>
          <w:rFonts w:ascii="Times New Roman" w:hAnsi="Times New Roman" w:cs="Times New Roman"/>
          <w:color w:val="000000" w:themeColor="text1"/>
          <w:spacing w:val="-1"/>
          <w:sz w:val="24"/>
          <w:szCs w:val="24"/>
        </w:rPr>
        <w:t>документация,   с   която   клиентът   трябва   да   разполага   преди   да   вземе</w:t>
      </w:r>
      <w:r w:rsidRPr="008B3C30">
        <w:rPr>
          <w:rFonts w:ascii="Times New Roman" w:hAnsi="Times New Roman" w:cs="Times New Roman"/>
          <w:color w:val="000000" w:themeColor="text1"/>
          <w:spacing w:val="-1"/>
          <w:sz w:val="24"/>
          <w:szCs w:val="24"/>
        </w:rPr>
        <w:br/>
        <w:t>инвестиционно решение.</w:t>
      </w:r>
    </w:p>
    <w:p w:rsidR="00313D98" w:rsidRPr="008B3C30" w:rsidRDefault="00313D98" w:rsidP="008212B7">
      <w:pPr>
        <w:numPr>
          <w:ilvl w:val="0"/>
          <w:numId w:val="1"/>
        </w:numPr>
        <w:shd w:val="clear" w:color="auto" w:fill="FFFFFF"/>
        <w:tabs>
          <w:tab w:val="left" w:pos="730"/>
        </w:tabs>
        <w:spacing w:before="14" w:line="274" w:lineRule="exact"/>
        <w:ind w:firstLine="730"/>
        <w:jc w:val="both"/>
        <w:rPr>
          <w:rFonts w:ascii="Times New Roman" w:hAnsi="Times New Roman" w:cs="Times New Roman"/>
          <w:color w:val="000000" w:themeColor="text1"/>
          <w:sz w:val="24"/>
          <w:szCs w:val="24"/>
        </w:rPr>
      </w:pPr>
      <w:r w:rsidRPr="008B3C30">
        <w:rPr>
          <w:rFonts w:ascii="Times New Roman" w:hAnsi="Times New Roman" w:cs="Times New Roman"/>
          <w:color w:val="000000" w:themeColor="text1"/>
          <w:spacing w:val="3"/>
          <w:sz w:val="24"/>
          <w:szCs w:val="24"/>
        </w:rPr>
        <w:t xml:space="preserve">етични  правила за дистрибуторите;   начини  за  избягване,  управляване  и </w:t>
      </w:r>
      <w:r w:rsidRPr="008B3C30">
        <w:rPr>
          <w:rFonts w:ascii="Times New Roman" w:hAnsi="Times New Roman" w:cs="Times New Roman"/>
          <w:color w:val="000000" w:themeColor="text1"/>
          <w:spacing w:val="-1"/>
          <w:sz w:val="24"/>
          <w:szCs w:val="24"/>
        </w:rPr>
        <w:t>разкриване на конфликти на интереси, имащи отношение към продажбата или</w:t>
      </w:r>
      <w:r w:rsidRPr="008B3C30">
        <w:rPr>
          <w:rFonts w:ascii="Times New Roman" w:hAnsi="Times New Roman" w:cs="Times New Roman"/>
          <w:color w:val="000000" w:themeColor="text1"/>
          <w:spacing w:val="-1"/>
          <w:sz w:val="24"/>
          <w:szCs w:val="24"/>
        </w:rPr>
        <w:br/>
        <w:t>консултирането (правила за продажба).</w:t>
      </w:r>
    </w:p>
    <w:p w:rsidR="00313D98" w:rsidRPr="008B3C30" w:rsidRDefault="00313D98" w:rsidP="00313D98">
      <w:pPr>
        <w:widowControl/>
        <w:autoSpaceDE/>
        <w:autoSpaceDN/>
        <w:adjustRightInd/>
        <w:ind w:firstLine="708"/>
        <w:jc w:val="both"/>
        <w:rPr>
          <w:rFonts w:ascii="Times New Roman" w:eastAsiaTheme="minorHAnsi" w:hAnsi="Times New Roman" w:cs="Times New Roman"/>
          <w:sz w:val="24"/>
          <w:szCs w:val="24"/>
          <w:lang w:eastAsia="en-US"/>
        </w:rPr>
      </w:pPr>
      <w:r w:rsidRPr="008B3C30">
        <w:rPr>
          <w:rFonts w:ascii="Times New Roman" w:eastAsia="Times New Roman" w:hAnsi="Times New Roman" w:cs="Times New Roman"/>
          <w:sz w:val="24"/>
          <w:szCs w:val="24"/>
        </w:rPr>
        <w:t>В допълнение към основния пакет</w:t>
      </w:r>
      <w:r w:rsidR="00B55B99" w:rsidRPr="008B3C30">
        <w:rPr>
          <w:rFonts w:ascii="Times New Roman" w:eastAsia="Times New Roman" w:hAnsi="Times New Roman" w:cs="Times New Roman"/>
          <w:sz w:val="24"/>
          <w:szCs w:val="24"/>
        </w:rPr>
        <w:t>,</w:t>
      </w:r>
      <w:r w:rsidRPr="008B3C30">
        <w:rPr>
          <w:rFonts w:ascii="Times New Roman" w:eastAsia="Times New Roman" w:hAnsi="Times New Roman" w:cs="Times New Roman"/>
          <w:sz w:val="24"/>
          <w:szCs w:val="24"/>
        </w:rPr>
        <w:t xml:space="preserve"> Директива 2014/65/ЕС и Регламент (EС) 2014/600, </w:t>
      </w:r>
      <w:r w:rsidRPr="008B3C30">
        <w:rPr>
          <w:rFonts w:ascii="Times New Roman" w:eastAsia="Times New Roman" w:hAnsi="Times New Roman" w:cs="Times New Roman"/>
          <w:b/>
          <w:sz w:val="24"/>
          <w:szCs w:val="24"/>
        </w:rPr>
        <w:t>Делегирана директива (ЕС) 2017/593</w:t>
      </w:r>
      <w:r w:rsidRPr="008B3C30">
        <w:rPr>
          <w:rFonts w:ascii="Times New Roman" w:eastAsia="Times New Roman" w:hAnsi="Times New Roman" w:cs="Times New Roman"/>
          <w:sz w:val="24"/>
          <w:szCs w:val="24"/>
        </w:rPr>
        <w:t xml:space="preserve"> на Комисията от 07.04.2017 г. за допълване на директива 2014/65/ЕС на Европейския парламент и на Съвета по отношение на защитата на финансовите инструменти и паричните средства, принадлежащи на клиенти, задълженията за управление на продукти и правилата</w:t>
      </w:r>
      <w:r w:rsidR="00D40322" w:rsidRPr="008B3C30">
        <w:rPr>
          <w:rFonts w:ascii="Times New Roman" w:eastAsia="Times New Roman" w:hAnsi="Times New Roman" w:cs="Times New Roman"/>
          <w:sz w:val="24"/>
          <w:szCs w:val="24"/>
        </w:rPr>
        <w:t>,</w:t>
      </w:r>
      <w:r w:rsidRPr="008B3C30">
        <w:rPr>
          <w:rFonts w:ascii="Times New Roman" w:eastAsia="Times New Roman" w:hAnsi="Times New Roman" w:cs="Times New Roman"/>
          <w:sz w:val="24"/>
          <w:szCs w:val="24"/>
        </w:rPr>
        <w:t xml:space="preserve"> приложими към предоставянето или получаването на такси, комисионни или други парични или непарични облаги</w:t>
      </w:r>
      <w:r w:rsidR="00B55B99" w:rsidRPr="008B3C30">
        <w:rPr>
          <w:rFonts w:ascii="Times New Roman" w:eastAsia="Times New Roman" w:hAnsi="Times New Roman" w:cs="Times New Roman"/>
          <w:sz w:val="24"/>
          <w:szCs w:val="24"/>
        </w:rPr>
        <w:t>,</w:t>
      </w:r>
      <w:r w:rsidRPr="008B3C30">
        <w:rPr>
          <w:rFonts w:ascii="Times New Roman" w:eastAsia="Times New Roman" w:hAnsi="Times New Roman" w:cs="Times New Roman"/>
          <w:sz w:val="24"/>
          <w:szCs w:val="24"/>
        </w:rPr>
        <w:t xml:space="preserve"> е от съществена важност за защита</w:t>
      </w:r>
      <w:r w:rsidR="00D40322" w:rsidRPr="008B3C30">
        <w:rPr>
          <w:rFonts w:ascii="Times New Roman" w:eastAsia="Times New Roman" w:hAnsi="Times New Roman" w:cs="Times New Roman"/>
          <w:sz w:val="24"/>
          <w:szCs w:val="24"/>
        </w:rPr>
        <w:t>та</w:t>
      </w:r>
      <w:r w:rsidRPr="008B3C30">
        <w:rPr>
          <w:rFonts w:ascii="Times New Roman" w:eastAsia="Times New Roman" w:hAnsi="Times New Roman" w:cs="Times New Roman"/>
          <w:sz w:val="24"/>
          <w:szCs w:val="24"/>
        </w:rPr>
        <w:t xml:space="preserve"> на потребителите и на техните активи. Разпоредбите на тази директива са транспонирани в наредба </w:t>
      </w:r>
      <w:r w:rsidR="00D40322" w:rsidRPr="008B3C30">
        <w:rPr>
          <w:rFonts w:ascii="Times New Roman" w:eastAsia="Times New Roman" w:hAnsi="Times New Roman" w:cs="Times New Roman"/>
          <w:sz w:val="24"/>
          <w:szCs w:val="24"/>
        </w:rPr>
        <w:t xml:space="preserve">№ </w:t>
      </w:r>
      <w:r w:rsidRPr="008B3C30">
        <w:rPr>
          <w:rFonts w:ascii="Times New Roman" w:eastAsia="Times New Roman" w:hAnsi="Times New Roman" w:cs="Times New Roman"/>
          <w:sz w:val="24"/>
          <w:szCs w:val="24"/>
        </w:rPr>
        <w:t xml:space="preserve">58 на КФН от 28.02.2018 г. </w:t>
      </w:r>
      <w:r w:rsidRPr="008B3C30">
        <w:rPr>
          <w:rFonts w:ascii="Times New Roman" w:eastAsiaTheme="minorHAnsi" w:hAnsi="Times New Roman" w:cs="Times New Roman"/>
          <w:sz w:val="24"/>
          <w:szCs w:val="24"/>
          <w:lang w:eastAsia="en-US"/>
        </w:rPr>
        <w:t xml:space="preserve">С наредбата се въвеждат изисквания във връзка с депозиране на финансови инструменти и парични средства на клиенти, както и за използване на финансовите инструменти на клиенти. Уредени са изискванията, при които инвестиционен посредник има право да сключи договор за обезпечение с </w:t>
      </w:r>
      <w:proofErr w:type="spellStart"/>
      <w:r w:rsidRPr="008B3C30">
        <w:rPr>
          <w:rFonts w:ascii="Times New Roman" w:eastAsiaTheme="minorHAnsi" w:hAnsi="Times New Roman" w:cs="Times New Roman"/>
          <w:sz w:val="24"/>
          <w:szCs w:val="24"/>
          <w:lang w:eastAsia="en-US"/>
        </w:rPr>
        <w:t>прехвърлително</w:t>
      </w:r>
      <w:proofErr w:type="spellEnd"/>
      <w:r w:rsidRPr="008B3C30">
        <w:rPr>
          <w:rFonts w:ascii="Times New Roman" w:eastAsiaTheme="minorHAnsi" w:hAnsi="Times New Roman" w:cs="Times New Roman"/>
          <w:sz w:val="24"/>
          <w:szCs w:val="24"/>
          <w:lang w:eastAsia="en-US"/>
        </w:rPr>
        <w:t xml:space="preserve"> действие с професионален клиент. Поставя се и изискване инвестиционният посредник да назначи един служител, който да отговаря за спазване на задълженията на посредника, свързани със защитата на финансовите инструменти и паричните средства на клиентите.</w:t>
      </w:r>
    </w:p>
    <w:p w:rsidR="00313D98" w:rsidRPr="008B3C30" w:rsidRDefault="00313D98" w:rsidP="00313D98">
      <w:pPr>
        <w:pStyle w:val="m"/>
        <w:ind w:firstLine="708"/>
        <w:rPr>
          <w:rFonts w:eastAsiaTheme="minorEastAsia"/>
          <w:color w:val="auto"/>
        </w:rPr>
      </w:pPr>
      <w:r w:rsidRPr="008B3C30">
        <w:t>Със Закона за пазарите на финансови инструменти (ЗПФИ) с</w:t>
      </w:r>
      <w:r w:rsidRPr="008B3C30">
        <w:rPr>
          <w:rFonts w:eastAsiaTheme="minorEastAsia"/>
          <w:color w:val="auto"/>
        </w:rPr>
        <w:t>а уредени изискванията за предварително и последващо предоставяне на информация на клиентите, разкриване на информация за сключени сделки, което осигурява достатъчно информация за гарантиране на най-добро изпълнение на поръчките на клиентите от инвестиционните посредници.</w:t>
      </w:r>
    </w:p>
    <w:p w:rsidR="00313D98" w:rsidRPr="008B3C30" w:rsidRDefault="00313D98" w:rsidP="00313D98">
      <w:pPr>
        <w:widowControl/>
        <w:autoSpaceDE/>
        <w:autoSpaceDN/>
        <w:adjustRightInd/>
        <w:ind w:firstLine="708"/>
        <w:jc w:val="both"/>
        <w:rPr>
          <w:rFonts w:ascii="Times New Roman" w:eastAsia="Calibri" w:hAnsi="Times New Roman" w:cs="Times New Roman"/>
          <w:sz w:val="24"/>
          <w:szCs w:val="24"/>
          <w:lang w:eastAsia="en-US"/>
        </w:rPr>
      </w:pPr>
      <w:r w:rsidRPr="008B3C30">
        <w:rPr>
          <w:rFonts w:ascii="Times New Roman" w:eastAsia="Calibri" w:hAnsi="Times New Roman" w:cs="Times New Roman"/>
          <w:sz w:val="24"/>
          <w:szCs w:val="24"/>
          <w:lang w:eastAsia="en-US"/>
        </w:rPr>
        <w:t xml:space="preserve">В областта на инвестициите са взети мерки с цел защита на ползвателите на инвестиционни услуги в случаите, когато инвестиционният посредник не е в състояние да изпълни задълженията си към клиентите поради причини, пряко свързани с неговото финансово състояние. За тази цел със Закона за публичното предлагане на ценни книжа </w:t>
      </w:r>
      <w:r w:rsidRPr="008B3C30">
        <w:rPr>
          <w:rFonts w:ascii="Times New Roman" w:eastAsia="Calibri" w:hAnsi="Times New Roman" w:cs="Times New Roman"/>
          <w:sz w:val="24"/>
          <w:szCs w:val="24"/>
          <w:lang w:eastAsia="en-US"/>
        </w:rPr>
        <w:lastRenderedPageBreak/>
        <w:t>(„ЗППЦК“) е създаден Фонд за компенсиране на инвеститорите („ФКИ“), който в случаите, уредени в чл. 77б, ал. 1 от ЗППЦК, изплаща</w:t>
      </w:r>
      <w:r w:rsidR="002532F8" w:rsidRPr="008B3C30">
        <w:rPr>
          <w:rFonts w:ascii="Times New Roman" w:eastAsia="Calibri" w:hAnsi="Times New Roman" w:cs="Times New Roman"/>
          <w:sz w:val="24"/>
          <w:szCs w:val="24"/>
          <w:lang w:eastAsia="en-US"/>
        </w:rPr>
        <w:t>т</w:t>
      </w:r>
      <w:r w:rsidRPr="008B3C30">
        <w:rPr>
          <w:rFonts w:ascii="Times New Roman" w:eastAsia="Calibri" w:hAnsi="Times New Roman" w:cs="Times New Roman"/>
          <w:sz w:val="24"/>
          <w:szCs w:val="24"/>
          <w:lang w:eastAsia="en-US"/>
        </w:rPr>
        <w:t xml:space="preserve"> компенсации на клиентите на инвестиционния посредник в размер на 90% от размера на инвестицията, но не повече от 40 000 лв. ФКИ изплаща компенсации на всички клиенти, които не попадат в една от хипотезите на чл. 77г, ал. 2 ЗППЦК. В тази връзка Делегиран регламент 565/2017 урежда задължение за инвестиционните посредници да предоставят на клиентите си кратко описание на мерките, които посредникът предприема, за да гарантира защитата на клиентските активи, включително резюмирани данни относно всяка съответна компенсация за инвеститора или схема за гарантиране на депозити, която се прилага към инвестиционния посредник поради неговите дейности в държава членка.</w:t>
      </w:r>
    </w:p>
    <w:p w:rsidR="00313D98" w:rsidRPr="008B3C30" w:rsidRDefault="00313D98" w:rsidP="00313D98">
      <w:pPr>
        <w:pStyle w:val="BodyText"/>
        <w:tabs>
          <w:tab w:val="center" w:pos="4854"/>
        </w:tabs>
        <w:ind w:firstLine="0"/>
        <w:rPr>
          <w:rFonts w:cs="Times New Roman"/>
          <w:b/>
          <w:sz w:val="28"/>
          <w:szCs w:val="28"/>
          <w:highlight w:val="yellow"/>
        </w:rPr>
      </w:pPr>
    </w:p>
    <w:p w:rsidR="00313D98" w:rsidRPr="008B3C30" w:rsidRDefault="00313D98" w:rsidP="00544152">
      <w:pPr>
        <w:pStyle w:val="BodyText"/>
        <w:numPr>
          <w:ilvl w:val="0"/>
          <w:numId w:val="26"/>
        </w:numPr>
        <w:tabs>
          <w:tab w:val="left" w:pos="709"/>
        </w:tabs>
        <w:ind w:left="993" w:hanging="283"/>
        <w:rPr>
          <w:rFonts w:cs="Times New Roman"/>
          <w:b/>
          <w:sz w:val="24"/>
          <w:szCs w:val="24"/>
        </w:rPr>
      </w:pPr>
      <w:r w:rsidRPr="008B3C30">
        <w:rPr>
          <w:rFonts w:cs="Times New Roman"/>
          <w:b/>
          <w:sz w:val="24"/>
          <w:szCs w:val="24"/>
        </w:rPr>
        <w:t>Застрахователен пазар</w:t>
      </w:r>
    </w:p>
    <w:p w:rsidR="00313D98" w:rsidRPr="008B3C30" w:rsidRDefault="00313D98" w:rsidP="00313D98">
      <w:pPr>
        <w:pStyle w:val="BodyText"/>
        <w:tabs>
          <w:tab w:val="left" w:pos="709"/>
        </w:tabs>
        <w:ind w:firstLine="0"/>
        <w:rPr>
          <w:rFonts w:eastAsia="Calibri" w:cs="Times New Roman"/>
          <w:bCs/>
          <w:sz w:val="24"/>
          <w:szCs w:val="24"/>
        </w:rPr>
      </w:pPr>
      <w:r w:rsidRPr="008B3C30">
        <w:rPr>
          <w:rFonts w:cs="Times New Roman"/>
          <w:sz w:val="24"/>
          <w:szCs w:val="24"/>
        </w:rPr>
        <w:tab/>
        <w:t xml:space="preserve">Разпоредбите на </w:t>
      </w:r>
      <w:r w:rsidRPr="008B3C30">
        <w:rPr>
          <w:rFonts w:cs="Times New Roman"/>
          <w:b/>
          <w:sz w:val="24"/>
          <w:szCs w:val="24"/>
        </w:rPr>
        <w:t>Директива 2009/138/ЕО</w:t>
      </w:r>
      <w:r w:rsidRPr="008B3C30">
        <w:rPr>
          <w:rFonts w:cs="Times New Roman"/>
          <w:sz w:val="24"/>
          <w:szCs w:val="24"/>
        </w:rPr>
        <w:t xml:space="preserve"> на Европейския парламент и Съвета от 25 ноември 2009 г. относно започването и упражняването на застрахователна и презастрахователна дейност (Платежоспособност II) са транспонирани в </w:t>
      </w:r>
      <w:r w:rsidRPr="008B3C30">
        <w:rPr>
          <w:rFonts w:eastAsia="Calibri" w:cs="Times New Roman"/>
          <w:bCs/>
          <w:sz w:val="24"/>
          <w:szCs w:val="24"/>
        </w:rPr>
        <w:t>Кодекса за застраховането (КЗ). С тази уредба се цели по-съществено въздействие върху дейността на застрахователите и презастрахователите чрез въвеждането на изцяло нови изисквания за платежоспособността, системите за управление, отчетността, публичното разкриване на информация, както и осигуряване защита на интересите на ползвателите на застрахователни услуги и създаване на условия за развитието на стабилен, прозрачен и ефективен застрахователен пазар.</w:t>
      </w:r>
    </w:p>
    <w:p w:rsidR="00313D98" w:rsidRPr="008B3C30" w:rsidRDefault="00313D98" w:rsidP="00313D98">
      <w:pPr>
        <w:widowControl/>
        <w:autoSpaceDE/>
        <w:autoSpaceDN/>
        <w:adjustRightInd/>
        <w:ind w:firstLine="709"/>
        <w:jc w:val="both"/>
        <w:rPr>
          <w:rFonts w:ascii="Times New Roman" w:eastAsia="Calibri" w:hAnsi="Times New Roman" w:cs="Times New Roman"/>
          <w:bCs/>
          <w:sz w:val="24"/>
          <w:szCs w:val="24"/>
          <w:lang w:eastAsia="en-US"/>
        </w:rPr>
      </w:pPr>
      <w:r w:rsidRPr="008B3C30">
        <w:rPr>
          <w:rFonts w:ascii="Times New Roman" w:eastAsia="Calibri" w:hAnsi="Times New Roman" w:cs="Times New Roman"/>
          <w:bCs/>
          <w:sz w:val="24"/>
          <w:szCs w:val="24"/>
          <w:lang w:eastAsia="en-US"/>
        </w:rPr>
        <w:t xml:space="preserve">За да се гарантират правата на ползвателите е предоставена по-широка възможност за прекратяване на застрахователния договор, а именно при увеличаване на застрахователната премия, без да е налице съответна промяна в застрахователното покритие, при </w:t>
      </w:r>
      <w:proofErr w:type="spellStart"/>
      <w:r w:rsidRPr="008B3C30">
        <w:rPr>
          <w:rFonts w:ascii="Times New Roman" w:eastAsia="Calibri" w:hAnsi="Times New Roman" w:cs="Times New Roman"/>
          <w:bCs/>
          <w:sz w:val="24"/>
          <w:szCs w:val="24"/>
          <w:lang w:eastAsia="en-US"/>
        </w:rPr>
        <w:t>неприемане</w:t>
      </w:r>
      <w:proofErr w:type="spellEnd"/>
      <w:r w:rsidRPr="008B3C30">
        <w:rPr>
          <w:rFonts w:ascii="Times New Roman" w:eastAsia="Calibri" w:hAnsi="Times New Roman" w:cs="Times New Roman"/>
          <w:bCs/>
          <w:sz w:val="24"/>
          <w:szCs w:val="24"/>
          <w:lang w:eastAsia="en-US"/>
        </w:rPr>
        <w:t xml:space="preserve"> от застрахователя на искането за намаляване на застрахователната премия в изрично определените от КЗ случаи.</w:t>
      </w:r>
    </w:p>
    <w:p w:rsidR="00313D98" w:rsidRPr="008B3C30" w:rsidRDefault="00313D98" w:rsidP="00313D98">
      <w:pPr>
        <w:widowControl/>
        <w:autoSpaceDE/>
        <w:autoSpaceDN/>
        <w:adjustRightInd/>
        <w:ind w:firstLine="709"/>
        <w:jc w:val="both"/>
        <w:rPr>
          <w:rFonts w:ascii="Times New Roman" w:eastAsia="Calibri" w:hAnsi="Times New Roman" w:cs="Times New Roman"/>
          <w:bCs/>
          <w:sz w:val="24"/>
          <w:szCs w:val="24"/>
          <w:lang w:eastAsia="en-US"/>
        </w:rPr>
      </w:pPr>
      <w:r w:rsidRPr="008B3C30">
        <w:rPr>
          <w:rFonts w:ascii="Times New Roman" w:eastAsia="Calibri" w:hAnsi="Times New Roman" w:cs="Times New Roman"/>
          <w:bCs/>
          <w:sz w:val="24"/>
          <w:szCs w:val="24"/>
          <w:lang w:eastAsia="en-US"/>
        </w:rPr>
        <w:t>Предвидена е възможност за сключване на застрахователен договор с ретроактивно покритие, което означава, че предоставеното от застрахователя покритие е за период преди датата на сключване на договора.</w:t>
      </w:r>
    </w:p>
    <w:p w:rsidR="00313D98" w:rsidRPr="008B3C30" w:rsidRDefault="00313D98" w:rsidP="00313D98">
      <w:pPr>
        <w:widowControl/>
        <w:autoSpaceDE/>
        <w:autoSpaceDN/>
        <w:adjustRightInd/>
        <w:ind w:firstLine="709"/>
        <w:jc w:val="both"/>
        <w:rPr>
          <w:rFonts w:ascii="Times New Roman" w:eastAsia="Calibri" w:hAnsi="Times New Roman" w:cs="Times New Roman"/>
          <w:bCs/>
          <w:sz w:val="24"/>
          <w:szCs w:val="24"/>
          <w:lang w:eastAsia="en-US"/>
        </w:rPr>
      </w:pPr>
      <w:r w:rsidRPr="008B3C30">
        <w:rPr>
          <w:rFonts w:ascii="Times New Roman" w:eastAsia="Calibri" w:hAnsi="Times New Roman" w:cs="Times New Roman"/>
          <w:bCs/>
          <w:sz w:val="24"/>
          <w:szCs w:val="24"/>
          <w:lang w:eastAsia="en-US"/>
        </w:rPr>
        <w:t>При груповото застраховане е въведено задължение за застраховащия да предостави писмено на застрахованите лица цялата информация, която е получил от застрахователя относно сключения договор за застраховка, в това число общите условия или застрахователния договор, ако той не е сключен при общи условия.</w:t>
      </w:r>
    </w:p>
    <w:p w:rsidR="00313D98" w:rsidRPr="008B3C30" w:rsidRDefault="00313D98" w:rsidP="00313D98">
      <w:pPr>
        <w:widowControl/>
        <w:autoSpaceDE/>
        <w:autoSpaceDN/>
        <w:adjustRightInd/>
        <w:ind w:firstLine="709"/>
        <w:jc w:val="both"/>
        <w:rPr>
          <w:rFonts w:ascii="Times New Roman" w:eastAsia="Calibri" w:hAnsi="Times New Roman" w:cs="Times New Roman"/>
          <w:bCs/>
          <w:sz w:val="24"/>
          <w:szCs w:val="24"/>
          <w:lang w:eastAsia="en-US"/>
        </w:rPr>
      </w:pPr>
      <w:r w:rsidRPr="008B3C30">
        <w:rPr>
          <w:rFonts w:ascii="Times New Roman" w:eastAsia="Calibri" w:hAnsi="Times New Roman" w:cs="Times New Roman"/>
          <w:bCs/>
          <w:sz w:val="24"/>
          <w:szCs w:val="24"/>
          <w:lang w:eastAsia="en-US"/>
        </w:rPr>
        <w:t>При договора за задължителна застраховка „Гражданска отговорност“ на автомобилистите е предвидена промяна в минималната застрахователна сума (лимит на отговорност) за неимуществени вреди</w:t>
      </w:r>
      <w:r w:rsidRPr="008B3C30">
        <w:rPr>
          <w:rFonts w:ascii="Times New Roman" w:eastAsia="Calibri" w:hAnsi="Times New Roman" w:cs="Times New Roman"/>
          <w:sz w:val="22"/>
          <w:szCs w:val="22"/>
          <w:lang w:eastAsia="en-US"/>
        </w:rPr>
        <w:t xml:space="preserve"> </w:t>
      </w:r>
      <w:r w:rsidRPr="008B3C30">
        <w:rPr>
          <w:rFonts w:ascii="Times New Roman" w:eastAsia="Calibri" w:hAnsi="Times New Roman" w:cs="Times New Roman"/>
          <w:bCs/>
          <w:sz w:val="24"/>
          <w:szCs w:val="24"/>
          <w:lang w:eastAsia="en-US"/>
        </w:rPr>
        <w:t xml:space="preserve">и имуществени вреди вследствие на телесно увреждане или смърт </w:t>
      </w:r>
      <w:r w:rsidR="007B2ED2" w:rsidRPr="008B3C30">
        <w:rPr>
          <w:rFonts w:ascii="Times New Roman" w:hAnsi="Times New Roman" w:cs="Times New Roman"/>
        </w:rPr>
        <w:t>–</w:t>
      </w:r>
      <w:r w:rsidRPr="008B3C30">
        <w:rPr>
          <w:rFonts w:ascii="Times New Roman" w:eastAsia="Calibri" w:hAnsi="Times New Roman" w:cs="Times New Roman"/>
          <w:bCs/>
          <w:sz w:val="24"/>
          <w:szCs w:val="24"/>
          <w:lang w:eastAsia="en-US"/>
        </w:rPr>
        <w:t xml:space="preserve"> 10 000 000 лв. за всяко събитие, независимо от броя на пострадалите лица.</w:t>
      </w:r>
    </w:p>
    <w:p w:rsidR="00313D98" w:rsidRPr="008B3C30" w:rsidRDefault="00313D98" w:rsidP="00313D98">
      <w:pPr>
        <w:widowControl/>
        <w:autoSpaceDE/>
        <w:autoSpaceDN/>
        <w:adjustRightInd/>
        <w:ind w:firstLine="709"/>
        <w:jc w:val="both"/>
        <w:rPr>
          <w:rFonts w:ascii="Times New Roman" w:eastAsia="Calibri" w:hAnsi="Times New Roman" w:cs="Times New Roman"/>
          <w:b/>
          <w:sz w:val="24"/>
          <w:szCs w:val="24"/>
          <w:lang w:eastAsia="en-US"/>
        </w:rPr>
      </w:pPr>
      <w:r w:rsidRPr="008B3C30">
        <w:rPr>
          <w:rFonts w:ascii="Times New Roman" w:eastAsia="Times New Roman" w:hAnsi="Times New Roman" w:cs="Times New Roman"/>
          <w:sz w:val="24"/>
          <w:szCs w:val="24"/>
        </w:rPr>
        <w:t xml:space="preserve">С оглед защитата на интересите на ползвателите на застрахователни услуги, дейността по застрахователно посредничество се осъществява при строги правила, уредени в КЗ. Тези разпоредби транспонират изискванията на </w:t>
      </w:r>
      <w:hyperlink r:id="rId16" w:history="1">
        <w:r w:rsidRPr="008B3C30">
          <w:rPr>
            <w:rStyle w:val="Hyperlink"/>
            <w:rFonts w:ascii="Times New Roman" w:hAnsi="Times New Roman" w:cs="Times New Roman"/>
            <w:b/>
            <w:color w:val="auto"/>
            <w:sz w:val="24"/>
            <w:szCs w:val="24"/>
            <w:u w:val="none"/>
          </w:rPr>
          <w:t>Директива 2002/92/ЕО</w:t>
        </w:r>
      </w:hyperlink>
      <w:r w:rsidRPr="008B3C30">
        <w:rPr>
          <w:rFonts w:ascii="Times New Roman" w:hAnsi="Times New Roman" w:cs="Times New Roman"/>
          <w:b/>
          <w:sz w:val="24"/>
          <w:szCs w:val="24"/>
        </w:rPr>
        <w:t xml:space="preserve"> </w:t>
      </w:r>
      <w:r w:rsidRPr="008B3C30">
        <w:rPr>
          <w:rFonts w:ascii="Times New Roman" w:hAnsi="Times New Roman" w:cs="Times New Roman"/>
          <w:sz w:val="24"/>
          <w:szCs w:val="24"/>
        </w:rPr>
        <w:t>на Европейския парламент и на Съвета от 9 декември 2002 г. относно застрахователното посредничество.</w:t>
      </w:r>
    </w:p>
    <w:p w:rsidR="00841A38" w:rsidRPr="008B3C30" w:rsidRDefault="00313D98" w:rsidP="0047635E">
      <w:pPr>
        <w:widowControl/>
        <w:autoSpaceDE/>
        <w:autoSpaceDN/>
        <w:adjustRightInd/>
        <w:ind w:firstLine="708"/>
        <w:jc w:val="both"/>
        <w:rPr>
          <w:rFonts w:ascii="Times New Roman" w:eastAsia="Times New Roman" w:hAnsi="Times New Roman" w:cs="Times New Roman"/>
          <w:sz w:val="24"/>
          <w:szCs w:val="24"/>
        </w:rPr>
      </w:pPr>
      <w:r w:rsidRPr="008B3C30">
        <w:rPr>
          <w:rFonts w:ascii="Times New Roman" w:eastAsia="Times New Roman" w:hAnsi="Times New Roman" w:cs="Times New Roman"/>
          <w:b/>
          <w:sz w:val="24"/>
          <w:szCs w:val="24"/>
        </w:rPr>
        <w:t>Директива (ЕС) 2016/97</w:t>
      </w:r>
      <w:r w:rsidRPr="008B3C30">
        <w:rPr>
          <w:rFonts w:ascii="Times New Roman" w:eastAsia="Times New Roman" w:hAnsi="Times New Roman" w:cs="Times New Roman"/>
          <w:sz w:val="24"/>
          <w:szCs w:val="24"/>
        </w:rPr>
        <w:t xml:space="preserve"> на Европейския парламент и на Съвета от 20 януари 2016 г</w:t>
      </w:r>
      <w:r w:rsidR="00D40322" w:rsidRPr="008B3C30">
        <w:rPr>
          <w:rFonts w:ascii="Times New Roman" w:eastAsia="Times New Roman" w:hAnsi="Times New Roman" w:cs="Times New Roman"/>
          <w:sz w:val="24"/>
          <w:szCs w:val="24"/>
        </w:rPr>
        <w:t>.</w:t>
      </w:r>
      <w:r w:rsidRPr="008B3C30">
        <w:rPr>
          <w:rFonts w:ascii="Times New Roman" w:eastAsia="Times New Roman" w:hAnsi="Times New Roman" w:cs="Times New Roman"/>
          <w:sz w:val="24"/>
          <w:szCs w:val="24"/>
        </w:rPr>
        <w:t xml:space="preserve"> относно разпространението на застрахователни продукти </w:t>
      </w:r>
      <w:r w:rsidR="00D40322" w:rsidRPr="008B3C30">
        <w:rPr>
          <w:rFonts w:ascii="Times New Roman" w:hAnsi="Times New Roman" w:cs="Times New Roman"/>
          <w:sz w:val="24"/>
          <w:szCs w:val="24"/>
        </w:rPr>
        <w:t>–</w:t>
      </w:r>
      <w:r w:rsidRPr="008B3C30">
        <w:rPr>
          <w:rFonts w:ascii="Times New Roman" w:eastAsia="Times New Roman" w:hAnsi="Times New Roman" w:cs="Times New Roman"/>
          <w:sz w:val="24"/>
          <w:szCs w:val="24"/>
        </w:rPr>
        <w:t xml:space="preserve"> Insurance </w:t>
      </w:r>
      <w:proofErr w:type="spellStart"/>
      <w:r w:rsidRPr="008B3C30">
        <w:rPr>
          <w:rFonts w:ascii="Times New Roman" w:eastAsia="Times New Roman" w:hAnsi="Times New Roman" w:cs="Times New Roman"/>
          <w:sz w:val="24"/>
          <w:szCs w:val="24"/>
        </w:rPr>
        <w:t>Distribution</w:t>
      </w:r>
      <w:proofErr w:type="spellEnd"/>
      <w:r w:rsidRPr="008B3C30">
        <w:rPr>
          <w:rFonts w:ascii="Times New Roman" w:eastAsia="Times New Roman" w:hAnsi="Times New Roman" w:cs="Times New Roman"/>
          <w:sz w:val="24"/>
          <w:szCs w:val="24"/>
        </w:rPr>
        <w:t xml:space="preserve"> </w:t>
      </w:r>
      <w:proofErr w:type="spellStart"/>
      <w:r w:rsidRPr="008B3C30">
        <w:rPr>
          <w:rFonts w:ascii="Times New Roman" w:eastAsia="Times New Roman" w:hAnsi="Times New Roman" w:cs="Times New Roman"/>
          <w:sz w:val="24"/>
          <w:szCs w:val="24"/>
        </w:rPr>
        <w:t>Directive</w:t>
      </w:r>
      <w:proofErr w:type="spellEnd"/>
      <w:r w:rsidRPr="008B3C30">
        <w:rPr>
          <w:rFonts w:ascii="Times New Roman" w:eastAsia="Times New Roman" w:hAnsi="Times New Roman" w:cs="Times New Roman"/>
          <w:sz w:val="24"/>
          <w:szCs w:val="24"/>
        </w:rPr>
        <w:t xml:space="preserve"> (IDD), която влиза в сила от 2019 г.</w:t>
      </w:r>
      <w:r w:rsidR="007B2ED2" w:rsidRPr="008B3C30">
        <w:rPr>
          <w:rFonts w:ascii="Times New Roman" w:eastAsia="Times New Roman" w:hAnsi="Times New Roman" w:cs="Times New Roman"/>
          <w:sz w:val="24"/>
          <w:szCs w:val="24"/>
        </w:rPr>
        <w:t>,</w:t>
      </w:r>
      <w:r w:rsidRPr="008B3C30">
        <w:rPr>
          <w:rFonts w:ascii="Times New Roman" w:eastAsia="Times New Roman" w:hAnsi="Times New Roman" w:cs="Times New Roman"/>
          <w:sz w:val="24"/>
          <w:szCs w:val="24"/>
        </w:rPr>
        <w:t xml:space="preserve"> въвежда нови правила за разпространение на застрахователните продукти. Правилата за контрол и управление на продуктите играят ключова роля за защитата на ползвателите на застрахователни услуги като гарантират, че застрахователните продукти отговарят на потребностите на целевия пазар </w:t>
      </w:r>
      <w:r w:rsidRPr="008B3C30">
        <w:rPr>
          <w:rFonts w:ascii="Times New Roman" w:eastAsia="Times New Roman" w:hAnsi="Times New Roman" w:cs="Times New Roman"/>
          <w:sz w:val="24"/>
          <w:szCs w:val="24"/>
        </w:rPr>
        <w:lastRenderedPageBreak/>
        <w:t>и по този начин намаляват опасността от продажба на неподходящи застрахователни продукти. Предвид това, че новите изисквания се отнасят до защитата на ползвателите на застрахователни услуги,</w:t>
      </w:r>
      <w:r w:rsidR="00841A38" w:rsidRPr="008B3C30">
        <w:rPr>
          <w:rFonts w:ascii="Times New Roman" w:eastAsia="Times New Roman" w:hAnsi="Times New Roman" w:cs="Times New Roman"/>
          <w:sz w:val="24"/>
          <w:szCs w:val="24"/>
        </w:rPr>
        <w:t xml:space="preserve"> от първостепенно значение е те да бъдат правилно прилагани от самото начало и на възможно най-ранен етап. </w:t>
      </w:r>
    </w:p>
    <w:p w:rsidR="00313D98" w:rsidRPr="008B3C30" w:rsidRDefault="00313D98" w:rsidP="0047635E">
      <w:pPr>
        <w:widowControl/>
        <w:autoSpaceDE/>
        <w:autoSpaceDN/>
        <w:adjustRightInd/>
        <w:ind w:firstLine="708"/>
        <w:jc w:val="both"/>
        <w:rPr>
          <w:rFonts w:ascii="Times New Roman" w:eastAsia="Times New Roman" w:hAnsi="Times New Roman" w:cs="Times New Roman"/>
          <w:sz w:val="24"/>
          <w:szCs w:val="24"/>
        </w:rPr>
      </w:pPr>
      <w:r w:rsidRPr="008B3C30">
        <w:rPr>
          <w:rFonts w:ascii="Times New Roman" w:eastAsia="Times New Roman" w:hAnsi="Times New Roman" w:cs="Times New Roman"/>
          <w:sz w:val="24"/>
          <w:szCs w:val="24"/>
        </w:rPr>
        <w:t xml:space="preserve">Европейският орган за ценни книжа и пазари и Европейският банков орган вече са издали насоки относно правилата за контрол и управление на продуктите </w:t>
      </w:r>
      <w:r w:rsidR="00C17F86" w:rsidRPr="008B3C30">
        <w:rPr>
          <w:rFonts w:ascii="Times New Roman" w:eastAsia="Times New Roman" w:hAnsi="Times New Roman" w:cs="Times New Roman"/>
          <w:sz w:val="24"/>
          <w:szCs w:val="24"/>
        </w:rPr>
        <w:t>ка</w:t>
      </w:r>
      <w:r w:rsidRPr="008B3C30">
        <w:rPr>
          <w:rFonts w:ascii="Times New Roman" w:eastAsia="Times New Roman" w:hAnsi="Times New Roman" w:cs="Times New Roman"/>
          <w:sz w:val="24"/>
          <w:szCs w:val="24"/>
        </w:rPr>
        <w:t xml:space="preserve">то </w:t>
      </w:r>
      <w:r w:rsidR="00C17F86" w:rsidRPr="008B3C30">
        <w:rPr>
          <w:rFonts w:ascii="Times New Roman" w:eastAsia="Times New Roman" w:hAnsi="Times New Roman" w:cs="Times New Roman"/>
          <w:sz w:val="24"/>
          <w:szCs w:val="24"/>
        </w:rPr>
        <w:t>„</w:t>
      </w:r>
      <w:r w:rsidRPr="008B3C30">
        <w:rPr>
          <w:rFonts w:ascii="Times New Roman" w:eastAsia="Times New Roman" w:hAnsi="Times New Roman" w:cs="Times New Roman"/>
          <w:sz w:val="24"/>
          <w:szCs w:val="24"/>
        </w:rPr>
        <w:t>Подготвителните насоки</w:t>
      </w:r>
      <w:r w:rsidR="00C17F86" w:rsidRPr="008B3C30">
        <w:rPr>
          <w:rFonts w:ascii="Times New Roman" w:eastAsia="Times New Roman" w:hAnsi="Times New Roman" w:cs="Times New Roman"/>
          <w:sz w:val="24"/>
          <w:szCs w:val="24"/>
        </w:rPr>
        <w:t>“</w:t>
      </w:r>
      <w:r w:rsidRPr="008B3C30">
        <w:rPr>
          <w:rFonts w:ascii="Times New Roman" w:eastAsia="Times New Roman" w:hAnsi="Times New Roman" w:cs="Times New Roman"/>
          <w:sz w:val="24"/>
          <w:szCs w:val="24"/>
        </w:rPr>
        <w:t>, издадени от EIOPA, имат за цел да гарантират равнопоставеност на финансовите пазари и да предотвратят регулаторния арбитраж. КФН прие, че възнамерява да спазва посочените насоки.</w:t>
      </w:r>
    </w:p>
    <w:p w:rsidR="00313D98" w:rsidRPr="008B3C30" w:rsidRDefault="00313D98" w:rsidP="00313D98">
      <w:pPr>
        <w:widowControl/>
        <w:autoSpaceDE/>
        <w:autoSpaceDN/>
        <w:adjustRightInd/>
        <w:ind w:firstLine="709"/>
        <w:jc w:val="both"/>
        <w:rPr>
          <w:rFonts w:ascii="Times New Roman" w:eastAsia="Times New Roman" w:hAnsi="Times New Roman" w:cs="Times New Roman"/>
          <w:sz w:val="24"/>
          <w:szCs w:val="24"/>
        </w:rPr>
      </w:pPr>
      <w:r w:rsidRPr="008B3C30">
        <w:rPr>
          <w:rFonts w:ascii="Times New Roman" w:eastAsia="Times New Roman" w:hAnsi="Times New Roman" w:cs="Times New Roman"/>
          <w:sz w:val="24"/>
          <w:szCs w:val="24"/>
        </w:rPr>
        <w:t>КФН прие указания относно правилата за контрол и управление на продуктите от страна на създателите и разпространителите на застрахователни продукти. Указанията се прилагат по отношение на застрахователите и застрахователните посредници, като те са длъжни да предприемат действия по тяхното прилагане в срок до 30 юни 2018 г.</w:t>
      </w:r>
    </w:p>
    <w:p w:rsidR="00313D98" w:rsidRPr="008B3C30" w:rsidRDefault="00313D98" w:rsidP="00313D98">
      <w:pPr>
        <w:widowControl/>
        <w:autoSpaceDE/>
        <w:autoSpaceDN/>
        <w:adjustRightInd/>
        <w:ind w:firstLine="709"/>
        <w:jc w:val="both"/>
        <w:rPr>
          <w:rFonts w:ascii="Times New Roman" w:eastAsia="Calibri" w:hAnsi="Times New Roman" w:cs="Times New Roman"/>
          <w:bCs/>
          <w:sz w:val="24"/>
          <w:szCs w:val="24"/>
          <w:lang w:eastAsia="en-US"/>
        </w:rPr>
      </w:pPr>
      <w:r w:rsidRPr="008B3C30">
        <w:rPr>
          <w:rFonts w:ascii="Times New Roman" w:eastAsia="Calibri" w:hAnsi="Times New Roman" w:cs="Times New Roman"/>
          <w:bCs/>
          <w:sz w:val="24"/>
          <w:szCs w:val="24"/>
          <w:lang w:eastAsia="en-US"/>
        </w:rPr>
        <w:t>В разпоредбите на КЗ по отношение на застрахователните договори застрахователят е длъжен да даде на ползвателя на застрахователни услуги общите условия по застраховката преди сключването на застрахователния договор.</w:t>
      </w:r>
    </w:p>
    <w:p w:rsidR="00313D98" w:rsidRPr="008B3C30" w:rsidRDefault="00313D98" w:rsidP="00313D98">
      <w:pPr>
        <w:widowControl/>
        <w:autoSpaceDE/>
        <w:autoSpaceDN/>
        <w:adjustRightInd/>
        <w:ind w:firstLine="709"/>
        <w:jc w:val="both"/>
        <w:rPr>
          <w:rFonts w:ascii="Times New Roman" w:eastAsia="Calibri" w:hAnsi="Times New Roman" w:cs="Times New Roman"/>
          <w:sz w:val="24"/>
          <w:szCs w:val="24"/>
          <w:lang w:eastAsia="en-US"/>
        </w:rPr>
      </w:pPr>
      <w:r w:rsidRPr="008B3C30">
        <w:rPr>
          <w:rFonts w:ascii="Times New Roman" w:eastAsia="Calibri" w:hAnsi="Times New Roman" w:cs="Times New Roman"/>
          <w:sz w:val="24"/>
          <w:szCs w:val="24"/>
          <w:lang w:eastAsia="en-US"/>
        </w:rPr>
        <w:t>Застрахователите имат също задължение да публикуват на интернет страницата си вътрешните правила за дейността по уреждане на претенции по застрахователни договори. Застрахователят е длъжен да предостави на КФН правилата заедно с последващите им изменения и допълнения в 7-дневен срок от приемането им.</w:t>
      </w:r>
    </w:p>
    <w:p w:rsidR="00313D98" w:rsidRPr="008B3C30" w:rsidRDefault="00313D98" w:rsidP="00313D98">
      <w:pPr>
        <w:widowControl/>
        <w:autoSpaceDE/>
        <w:autoSpaceDN/>
        <w:adjustRightInd/>
        <w:ind w:firstLine="709"/>
        <w:jc w:val="both"/>
        <w:rPr>
          <w:rFonts w:ascii="Times New Roman" w:eastAsia="Calibri" w:hAnsi="Times New Roman" w:cs="Times New Roman"/>
          <w:sz w:val="24"/>
          <w:szCs w:val="24"/>
          <w:lang w:eastAsia="en-US"/>
        </w:rPr>
      </w:pPr>
      <w:r w:rsidRPr="008B3C30">
        <w:rPr>
          <w:rFonts w:ascii="Times New Roman" w:eastAsia="Calibri" w:hAnsi="Times New Roman" w:cs="Times New Roman"/>
          <w:sz w:val="24"/>
          <w:szCs w:val="24"/>
          <w:lang w:eastAsia="en-US"/>
        </w:rPr>
        <w:t>По отношение на най-масовата застраховка</w:t>
      </w:r>
      <w:r w:rsidR="00012F39" w:rsidRPr="008B3C30">
        <w:rPr>
          <w:rFonts w:ascii="Times New Roman" w:eastAsia="Calibri" w:hAnsi="Times New Roman" w:cs="Times New Roman"/>
          <w:sz w:val="24"/>
          <w:szCs w:val="24"/>
          <w:lang w:eastAsia="en-US"/>
        </w:rPr>
        <w:t xml:space="preserve"> </w:t>
      </w:r>
      <w:r w:rsidR="00012F39" w:rsidRPr="008B3C30">
        <w:rPr>
          <w:rFonts w:ascii="Times New Roman" w:hAnsi="Times New Roman" w:cs="Times New Roman"/>
        </w:rPr>
        <w:t>–</w:t>
      </w:r>
      <w:r w:rsidRPr="008B3C30">
        <w:rPr>
          <w:rFonts w:ascii="Times New Roman" w:eastAsia="Calibri" w:hAnsi="Times New Roman" w:cs="Times New Roman"/>
          <w:sz w:val="24"/>
          <w:szCs w:val="24"/>
          <w:lang w:eastAsia="en-US"/>
        </w:rPr>
        <w:t xml:space="preserve"> „Гражданска отговорност“ на автомобилистите</w:t>
      </w:r>
      <w:r w:rsidR="00012F39" w:rsidRPr="008B3C30">
        <w:rPr>
          <w:rFonts w:ascii="Times New Roman" w:eastAsia="Calibri" w:hAnsi="Times New Roman" w:cs="Times New Roman"/>
          <w:sz w:val="24"/>
          <w:szCs w:val="24"/>
          <w:lang w:eastAsia="en-US"/>
        </w:rPr>
        <w:t xml:space="preserve"> </w:t>
      </w:r>
      <w:r w:rsidR="00012F39" w:rsidRPr="008B3C30">
        <w:rPr>
          <w:rFonts w:ascii="Times New Roman" w:hAnsi="Times New Roman" w:cs="Times New Roman"/>
        </w:rPr>
        <w:t>–</w:t>
      </w:r>
      <w:r w:rsidRPr="008B3C30">
        <w:rPr>
          <w:rFonts w:ascii="Times New Roman" w:eastAsia="Calibri" w:hAnsi="Times New Roman" w:cs="Times New Roman"/>
          <w:sz w:val="24"/>
          <w:szCs w:val="24"/>
          <w:lang w:eastAsia="en-US"/>
        </w:rPr>
        <w:t xml:space="preserve"> КФН е предприела редица мерки, които гарантират финансовата обезпеченост и стабилност на застраховката и повишаване на прозрачността. От юли 2011 г. функционира информационна система за електронно генериране на полиците, където по отношение на всички сключени и действащи към съответния момент задължителни застраховки „Гражданска отговорност” на автомобилистите за конкретно </w:t>
      </w:r>
      <w:r w:rsidR="00841A38" w:rsidRPr="008B3C30">
        <w:rPr>
          <w:rFonts w:ascii="Times New Roman" w:eastAsia="Calibri" w:hAnsi="Times New Roman" w:cs="Times New Roman"/>
          <w:sz w:val="24"/>
          <w:szCs w:val="24"/>
          <w:lang w:eastAsia="en-US"/>
        </w:rPr>
        <w:t>моторно превозно средство (</w:t>
      </w:r>
      <w:r w:rsidRPr="008B3C30">
        <w:rPr>
          <w:rFonts w:ascii="Times New Roman" w:eastAsia="Calibri" w:hAnsi="Times New Roman" w:cs="Times New Roman"/>
          <w:sz w:val="24"/>
          <w:szCs w:val="24"/>
          <w:lang w:eastAsia="en-US"/>
        </w:rPr>
        <w:t>МПС</w:t>
      </w:r>
      <w:r w:rsidR="00841A38" w:rsidRPr="008B3C30">
        <w:rPr>
          <w:rFonts w:ascii="Times New Roman" w:eastAsia="Calibri" w:hAnsi="Times New Roman" w:cs="Times New Roman"/>
          <w:sz w:val="24"/>
          <w:szCs w:val="24"/>
          <w:lang w:eastAsia="en-US"/>
        </w:rPr>
        <w:t>)</w:t>
      </w:r>
      <w:r w:rsidRPr="008B3C30">
        <w:rPr>
          <w:rFonts w:ascii="Times New Roman" w:eastAsia="Calibri" w:hAnsi="Times New Roman" w:cs="Times New Roman"/>
          <w:sz w:val="24"/>
          <w:szCs w:val="24"/>
          <w:lang w:eastAsia="en-US"/>
        </w:rPr>
        <w:t>, индивидуализирано с неговия регистрационен номер, се води регистър от Информационния център към Гаранционен Фонд, до чи</w:t>
      </w:r>
      <w:r w:rsidR="00E60B53" w:rsidRPr="008B3C30">
        <w:rPr>
          <w:rFonts w:ascii="Times New Roman" w:eastAsia="Calibri" w:hAnsi="Times New Roman" w:cs="Times New Roman"/>
          <w:sz w:val="24"/>
          <w:szCs w:val="24"/>
          <w:lang w:eastAsia="en-US"/>
        </w:rPr>
        <w:t>и</w:t>
      </w:r>
      <w:r w:rsidRPr="008B3C30">
        <w:rPr>
          <w:rFonts w:ascii="Times New Roman" w:eastAsia="Calibri" w:hAnsi="Times New Roman" w:cs="Times New Roman"/>
          <w:sz w:val="24"/>
          <w:szCs w:val="24"/>
          <w:lang w:eastAsia="en-US"/>
        </w:rPr>
        <w:t>то данни е осигурен публичен достъп чрез интернет сайт – www.guaranteefund.org.</w:t>
      </w:r>
    </w:p>
    <w:p w:rsidR="00313D98" w:rsidRPr="008B3C30" w:rsidRDefault="00313D98" w:rsidP="00313D98">
      <w:pPr>
        <w:widowControl/>
        <w:autoSpaceDE/>
        <w:autoSpaceDN/>
        <w:adjustRightInd/>
        <w:ind w:firstLine="709"/>
        <w:jc w:val="both"/>
        <w:rPr>
          <w:rFonts w:ascii="Times New Roman" w:eastAsia="Calibri" w:hAnsi="Times New Roman" w:cs="Times New Roman"/>
          <w:bCs/>
          <w:sz w:val="24"/>
          <w:szCs w:val="24"/>
          <w:lang w:eastAsia="en-US"/>
        </w:rPr>
      </w:pPr>
      <w:r w:rsidRPr="008B3C30">
        <w:rPr>
          <w:rFonts w:ascii="Times New Roman" w:eastAsia="Calibri" w:hAnsi="Times New Roman" w:cs="Times New Roman"/>
          <w:bCs/>
          <w:sz w:val="24"/>
          <w:szCs w:val="24"/>
          <w:lang w:eastAsia="en-US"/>
        </w:rPr>
        <w:t xml:space="preserve">В случаите на уреждане на предявена пред застрахователя претенция са предвидени срокове, в които застрахователните дружества могат да изискват допълнителни доказателства от застрахованите лица с оглед ограничаване на необосновано протакане за изплащане на застрахователно обезщетение. При договорите за задължителна застраховка „Гражданска отговорност“ на автомобилистите този срок е най-късно 45 дни след датата на завеждане на претенцията, а по отношение на договорите, при които ползвателят на застрахователната услуга е страна по договора </w:t>
      </w:r>
      <w:r w:rsidR="00C17F86" w:rsidRPr="008B3C30">
        <w:rPr>
          <w:rFonts w:ascii="Times New Roman" w:hAnsi="Times New Roman" w:cs="Times New Roman"/>
          <w:sz w:val="24"/>
          <w:szCs w:val="24"/>
        </w:rPr>
        <w:t>–</w:t>
      </w:r>
      <w:r w:rsidRPr="008B3C30">
        <w:rPr>
          <w:rFonts w:ascii="Times New Roman" w:eastAsia="Calibri" w:hAnsi="Times New Roman" w:cs="Times New Roman"/>
          <w:bCs/>
          <w:sz w:val="24"/>
          <w:szCs w:val="24"/>
          <w:lang w:eastAsia="en-US"/>
        </w:rPr>
        <w:t xml:space="preserve"> най-късно в срок 45 дни от представянето на доказателствата, определени с договора и вътрешните правила за уреждане на претенции, които не са били предвидени в застрахователния договор при сключването му</w:t>
      </w:r>
      <w:r w:rsidR="007C3193" w:rsidRPr="008B3C30">
        <w:rPr>
          <w:rFonts w:ascii="Times New Roman" w:eastAsia="Calibri" w:hAnsi="Times New Roman" w:cs="Times New Roman"/>
          <w:bCs/>
          <w:sz w:val="24"/>
          <w:szCs w:val="24"/>
          <w:lang w:eastAsia="en-US"/>
        </w:rPr>
        <w:t>,</w:t>
      </w:r>
      <w:r w:rsidRPr="008B3C30">
        <w:rPr>
          <w:rFonts w:ascii="Times New Roman" w:eastAsia="Calibri" w:hAnsi="Times New Roman" w:cs="Times New Roman"/>
          <w:bCs/>
          <w:sz w:val="24"/>
          <w:szCs w:val="24"/>
          <w:lang w:eastAsia="en-US"/>
        </w:rPr>
        <w:t xml:space="preserve"> и които са необходими за установяване на основанието и размера на неговата претенция.</w:t>
      </w:r>
    </w:p>
    <w:p w:rsidR="00313D98" w:rsidRPr="008B3C30" w:rsidRDefault="00313D98" w:rsidP="00313D98">
      <w:pPr>
        <w:widowControl/>
        <w:autoSpaceDE/>
        <w:autoSpaceDN/>
        <w:adjustRightInd/>
        <w:ind w:firstLine="709"/>
        <w:jc w:val="both"/>
        <w:rPr>
          <w:rFonts w:ascii="Times New Roman" w:eastAsia="Calibri" w:hAnsi="Times New Roman" w:cs="Times New Roman"/>
          <w:bCs/>
          <w:sz w:val="24"/>
          <w:szCs w:val="24"/>
          <w:lang w:eastAsia="en-US"/>
        </w:rPr>
      </w:pPr>
      <w:r w:rsidRPr="008B3C30">
        <w:rPr>
          <w:rFonts w:ascii="Times New Roman" w:eastAsia="Calibri" w:hAnsi="Times New Roman" w:cs="Times New Roman"/>
          <w:bCs/>
          <w:sz w:val="24"/>
          <w:szCs w:val="24"/>
          <w:lang w:eastAsia="en-US"/>
        </w:rPr>
        <w:t>Законът защитава ползвателите на застрахователни услуги като въвежда забрана за изискване на доказателства, с които ползвателят на застрахователната услуга не може да се снабди поради съществуващи нормативни пречки или поради липсата на правна възможност за осигуряването им, както и на такива, за които може да бъде направена разумна преценка, че нямат съществено значение за установяване на основанието и размера на претенцията и целят необосновано забавяне и удължаване на процедурата по уреждане на претенцията.</w:t>
      </w:r>
    </w:p>
    <w:p w:rsidR="00313D98" w:rsidRPr="008B3C30" w:rsidRDefault="00313D98" w:rsidP="00313D98">
      <w:pPr>
        <w:widowControl/>
        <w:autoSpaceDE/>
        <w:autoSpaceDN/>
        <w:adjustRightInd/>
        <w:ind w:firstLine="709"/>
        <w:jc w:val="both"/>
        <w:rPr>
          <w:rFonts w:ascii="Times New Roman" w:eastAsia="Calibri" w:hAnsi="Times New Roman" w:cs="Times New Roman"/>
          <w:sz w:val="24"/>
          <w:szCs w:val="24"/>
          <w:lang w:eastAsia="en-US"/>
        </w:rPr>
      </w:pPr>
      <w:r w:rsidRPr="008B3C30">
        <w:rPr>
          <w:rFonts w:ascii="Times New Roman" w:eastAsia="Calibri" w:hAnsi="Times New Roman" w:cs="Times New Roman"/>
          <w:sz w:val="24"/>
          <w:szCs w:val="24"/>
          <w:lang w:eastAsia="en-US"/>
        </w:rPr>
        <w:t xml:space="preserve">В областта на застраховането са взети мерки с цел защита на ползвателите на застрахователни услуги в случаите, при които е налице несъстоятелност на застрахователно дружество. По този повод една от обособените сметки, създадена и </w:t>
      </w:r>
      <w:r w:rsidRPr="008B3C30">
        <w:rPr>
          <w:rFonts w:ascii="Times New Roman" w:eastAsia="Calibri" w:hAnsi="Times New Roman" w:cs="Times New Roman"/>
          <w:sz w:val="24"/>
          <w:szCs w:val="24"/>
          <w:lang w:eastAsia="en-US"/>
        </w:rPr>
        <w:lastRenderedPageBreak/>
        <w:t>управлявана от Гаранционния фонд</w:t>
      </w:r>
      <w:r w:rsidR="007C3193" w:rsidRPr="008B3C30">
        <w:rPr>
          <w:rFonts w:ascii="Times New Roman" w:eastAsia="Calibri" w:hAnsi="Times New Roman" w:cs="Times New Roman"/>
          <w:sz w:val="24"/>
          <w:szCs w:val="24"/>
          <w:lang w:eastAsia="en-US"/>
        </w:rPr>
        <w:t>,</w:t>
      </w:r>
      <w:r w:rsidRPr="008B3C30">
        <w:rPr>
          <w:rFonts w:ascii="Times New Roman" w:eastAsia="Calibri" w:hAnsi="Times New Roman" w:cs="Times New Roman"/>
          <w:sz w:val="24"/>
          <w:szCs w:val="24"/>
          <w:lang w:eastAsia="en-US"/>
        </w:rPr>
        <w:t xml:space="preserve"> е Фондът за гарантиране на вземанията при несъстоятелност на застраховател, т. нар. </w:t>
      </w:r>
      <w:r w:rsidR="00C17F86" w:rsidRPr="008B3C30">
        <w:rPr>
          <w:rFonts w:ascii="Times New Roman" w:eastAsia="Calibri" w:hAnsi="Times New Roman" w:cs="Times New Roman"/>
          <w:sz w:val="24"/>
          <w:szCs w:val="24"/>
          <w:lang w:eastAsia="en-US"/>
        </w:rPr>
        <w:t>„</w:t>
      </w:r>
      <w:r w:rsidRPr="008B3C30">
        <w:rPr>
          <w:rFonts w:ascii="Times New Roman" w:eastAsia="Calibri" w:hAnsi="Times New Roman" w:cs="Times New Roman"/>
          <w:sz w:val="24"/>
          <w:szCs w:val="24"/>
          <w:lang w:eastAsia="en-US"/>
        </w:rPr>
        <w:t>Обезпечителен фонд</w:t>
      </w:r>
      <w:r w:rsidR="00C17F86" w:rsidRPr="008B3C30">
        <w:rPr>
          <w:rFonts w:ascii="Times New Roman" w:eastAsia="Calibri" w:hAnsi="Times New Roman" w:cs="Times New Roman"/>
          <w:sz w:val="24"/>
          <w:szCs w:val="24"/>
          <w:lang w:eastAsia="en-US"/>
        </w:rPr>
        <w:t>“</w:t>
      </w:r>
      <w:r w:rsidRPr="008B3C30">
        <w:rPr>
          <w:rFonts w:ascii="Times New Roman" w:eastAsia="Calibri" w:hAnsi="Times New Roman" w:cs="Times New Roman"/>
          <w:sz w:val="24"/>
          <w:szCs w:val="24"/>
          <w:lang w:eastAsia="en-US"/>
        </w:rPr>
        <w:t xml:space="preserve">. Обезпечителният фонд гарантира вземанията на всички лица, произтичащи от застрахователен договор за задължителна застраховка „Гражданска отговорност“ на автомобилистите, задължителна застраховка „Злополука“ на пътниците и за застраховките от класовете </w:t>
      </w:r>
      <w:proofErr w:type="spellStart"/>
      <w:r w:rsidRPr="008B3C30">
        <w:rPr>
          <w:rFonts w:ascii="Times New Roman" w:eastAsia="Calibri" w:hAnsi="Times New Roman" w:cs="Times New Roman"/>
          <w:sz w:val="24"/>
          <w:szCs w:val="24"/>
          <w:lang w:eastAsia="en-US"/>
        </w:rPr>
        <w:t>животозастраховане</w:t>
      </w:r>
      <w:proofErr w:type="spellEnd"/>
      <w:r w:rsidRPr="008B3C30">
        <w:rPr>
          <w:rFonts w:ascii="Times New Roman" w:eastAsia="Calibri" w:hAnsi="Times New Roman" w:cs="Times New Roman"/>
          <w:sz w:val="24"/>
          <w:szCs w:val="24"/>
          <w:lang w:eastAsia="en-US"/>
        </w:rPr>
        <w:t>.</w:t>
      </w:r>
    </w:p>
    <w:p w:rsidR="00313D98" w:rsidRPr="008B3C30" w:rsidRDefault="00313D98" w:rsidP="00313D98">
      <w:pPr>
        <w:widowControl/>
        <w:autoSpaceDE/>
        <w:autoSpaceDN/>
        <w:adjustRightInd/>
        <w:ind w:firstLine="709"/>
        <w:jc w:val="both"/>
        <w:rPr>
          <w:rFonts w:ascii="Times New Roman" w:eastAsia="Calibri" w:hAnsi="Times New Roman" w:cs="Times New Roman"/>
          <w:sz w:val="24"/>
          <w:szCs w:val="24"/>
          <w:lang w:eastAsia="en-US"/>
        </w:rPr>
      </w:pPr>
      <w:r w:rsidRPr="008B3C30">
        <w:rPr>
          <w:rFonts w:ascii="Times New Roman" w:eastAsia="Calibri" w:hAnsi="Times New Roman" w:cs="Times New Roman"/>
          <w:sz w:val="24"/>
          <w:szCs w:val="24"/>
          <w:lang w:eastAsia="en-US"/>
        </w:rPr>
        <w:t>От средствата на Обезпечителния фонд се изплащат задължения на съответния застраховател към ползвателите на застрахователни услуги след влизане в сила на решението за обявяване несъстоятелността на застрахователя.</w:t>
      </w:r>
    </w:p>
    <w:p w:rsidR="00313D98" w:rsidRPr="008B3C30" w:rsidRDefault="00313D98" w:rsidP="00313D98">
      <w:pPr>
        <w:shd w:val="clear" w:color="auto" w:fill="FFFFFF"/>
        <w:spacing w:line="274" w:lineRule="exact"/>
        <w:ind w:firstLine="708"/>
        <w:jc w:val="both"/>
        <w:rPr>
          <w:rFonts w:ascii="Times New Roman" w:hAnsi="Times New Roman" w:cs="Times New Roman"/>
        </w:rPr>
      </w:pPr>
      <w:r w:rsidRPr="008B3C30">
        <w:rPr>
          <w:rFonts w:ascii="Times New Roman" w:hAnsi="Times New Roman" w:cs="Times New Roman"/>
          <w:color w:val="000000"/>
          <w:sz w:val="24"/>
          <w:szCs w:val="24"/>
        </w:rPr>
        <w:t xml:space="preserve">При несъстоятелност на застрахователно дружество се задействат механизмите на </w:t>
      </w:r>
      <w:r w:rsidRPr="008B3C30">
        <w:rPr>
          <w:rFonts w:ascii="Times New Roman" w:hAnsi="Times New Roman" w:cs="Times New Roman"/>
          <w:color w:val="000000"/>
          <w:spacing w:val="2"/>
          <w:sz w:val="24"/>
          <w:szCs w:val="24"/>
        </w:rPr>
        <w:t xml:space="preserve">Обезпечителния фонд. Той представлява обособена сметка към Гаранционния фонд, </w:t>
      </w:r>
      <w:r w:rsidRPr="008B3C30">
        <w:rPr>
          <w:rFonts w:ascii="Times New Roman" w:hAnsi="Times New Roman" w:cs="Times New Roman"/>
          <w:color w:val="000000"/>
          <w:sz w:val="24"/>
          <w:szCs w:val="24"/>
        </w:rPr>
        <w:t>която се управлява от органите на Гаранционния фонд. Чрез Обезпечителния фонд се изплащат гарантираните размери на застрахователните вземания н</w:t>
      </w:r>
      <w:r w:rsidR="008B3C30" w:rsidRPr="008B3C30">
        <w:rPr>
          <w:rFonts w:ascii="Times New Roman" w:hAnsi="Times New Roman" w:cs="Times New Roman"/>
          <w:color w:val="000000"/>
          <w:sz w:val="24"/>
          <w:szCs w:val="24"/>
        </w:rPr>
        <w:t>а потребителите по застраховка „Гражданска отговорност“ или застраховка „</w:t>
      </w:r>
      <w:r w:rsidRPr="008B3C30">
        <w:rPr>
          <w:rFonts w:ascii="Times New Roman" w:hAnsi="Times New Roman" w:cs="Times New Roman"/>
          <w:color w:val="000000"/>
          <w:sz w:val="24"/>
          <w:szCs w:val="24"/>
        </w:rPr>
        <w:t>Злополука</w:t>
      </w:r>
      <w:r w:rsidR="008B3C30" w:rsidRPr="008B3C30">
        <w:rPr>
          <w:rFonts w:ascii="Times New Roman" w:hAnsi="Times New Roman" w:cs="Times New Roman"/>
          <w:color w:val="000000"/>
          <w:sz w:val="24"/>
          <w:szCs w:val="24"/>
        </w:rPr>
        <w:t>“</w:t>
      </w:r>
      <w:r w:rsidRPr="008B3C30">
        <w:rPr>
          <w:rFonts w:ascii="Times New Roman" w:hAnsi="Times New Roman" w:cs="Times New Roman"/>
          <w:color w:val="000000"/>
          <w:sz w:val="24"/>
          <w:szCs w:val="24"/>
        </w:rPr>
        <w:t xml:space="preserve"> на пътниците.</w:t>
      </w:r>
    </w:p>
    <w:p w:rsidR="00313D98" w:rsidRPr="008B3C30" w:rsidRDefault="00313D98" w:rsidP="00313D98">
      <w:pPr>
        <w:widowControl/>
        <w:autoSpaceDE/>
        <w:autoSpaceDN/>
        <w:adjustRightInd/>
        <w:ind w:firstLine="709"/>
        <w:jc w:val="both"/>
        <w:rPr>
          <w:rFonts w:ascii="Times New Roman" w:eastAsia="Calibri" w:hAnsi="Times New Roman" w:cs="Times New Roman"/>
          <w:b/>
          <w:bCs/>
          <w:sz w:val="24"/>
          <w:szCs w:val="24"/>
          <w:lang w:eastAsia="en-US"/>
        </w:rPr>
      </w:pPr>
    </w:p>
    <w:p w:rsidR="00313D98" w:rsidRPr="00544152" w:rsidRDefault="00313D98" w:rsidP="00544152">
      <w:pPr>
        <w:pStyle w:val="ListParagraph"/>
        <w:numPr>
          <w:ilvl w:val="0"/>
          <w:numId w:val="26"/>
        </w:numPr>
        <w:ind w:left="993" w:hanging="283"/>
        <w:jc w:val="both"/>
        <w:rPr>
          <w:rFonts w:eastAsia="Calibri"/>
          <w:b/>
          <w:bCs/>
          <w:sz w:val="24"/>
          <w:szCs w:val="24"/>
          <w:lang w:eastAsia="en-US"/>
        </w:rPr>
      </w:pPr>
      <w:proofErr w:type="spellStart"/>
      <w:r w:rsidRPr="00544152">
        <w:rPr>
          <w:rFonts w:eastAsia="Calibri"/>
          <w:b/>
          <w:bCs/>
          <w:sz w:val="24"/>
          <w:szCs w:val="24"/>
          <w:lang w:eastAsia="en-US"/>
        </w:rPr>
        <w:t>Осигурителен</w:t>
      </w:r>
      <w:proofErr w:type="spellEnd"/>
      <w:r w:rsidRPr="00544152">
        <w:rPr>
          <w:rFonts w:eastAsia="Calibri"/>
          <w:b/>
          <w:bCs/>
          <w:sz w:val="24"/>
          <w:szCs w:val="24"/>
          <w:lang w:eastAsia="en-US"/>
        </w:rPr>
        <w:t xml:space="preserve"> пазар</w:t>
      </w:r>
    </w:p>
    <w:p w:rsidR="00313D98" w:rsidRPr="008B3C30" w:rsidRDefault="00313D98" w:rsidP="00313D98">
      <w:pPr>
        <w:widowControl/>
        <w:autoSpaceDE/>
        <w:autoSpaceDN/>
        <w:adjustRightInd/>
        <w:ind w:firstLine="709"/>
        <w:jc w:val="both"/>
        <w:rPr>
          <w:rFonts w:ascii="Times New Roman" w:eastAsia="Calibri" w:hAnsi="Times New Roman" w:cs="Times New Roman"/>
          <w:bCs/>
          <w:sz w:val="24"/>
          <w:szCs w:val="24"/>
          <w:lang w:eastAsia="en-US"/>
        </w:rPr>
      </w:pPr>
      <w:r w:rsidRPr="008B3C30">
        <w:rPr>
          <w:rFonts w:ascii="Times New Roman" w:eastAsia="Calibri" w:hAnsi="Times New Roman" w:cs="Times New Roman"/>
          <w:bCs/>
          <w:sz w:val="24"/>
          <w:szCs w:val="24"/>
          <w:lang w:eastAsia="en-US"/>
        </w:rPr>
        <w:t xml:space="preserve">Защитата на осигурените лица е уредена в Кодекса за социално осигуряване, което е доминирано от местното законодателство. В КСО са имплементирани и изискванията на </w:t>
      </w:r>
      <w:r w:rsidRPr="008B3C30">
        <w:rPr>
          <w:rFonts w:ascii="Times New Roman" w:hAnsi="Times New Roman" w:cs="Times New Roman"/>
          <w:b/>
          <w:sz w:val="24"/>
          <w:szCs w:val="24"/>
        </w:rPr>
        <w:t>Директива 2003/41/ЕО</w:t>
      </w:r>
      <w:r w:rsidRPr="008B3C30">
        <w:rPr>
          <w:rFonts w:ascii="Times New Roman" w:hAnsi="Times New Roman" w:cs="Times New Roman"/>
          <w:sz w:val="24"/>
          <w:szCs w:val="24"/>
        </w:rPr>
        <w:t xml:space="preserve"> на Европейския парламент и на Съвета от 3 юни 2003 г</w:t>
      </w:r>
      <w:r w:rsidR="00FB6EA0" w:rsidRPr="008B3C30">
        <w:rPr>
          <w:rFonts w:ascii="Times New Roman" w:hAnsi="Times New Roman" w:cs="Times New Roman"/>
          <w:sz w:val="24"/>
          <w:szCs w:val="24"/>
        </w:rPr>
        <w:t>.</w:t>
      </w:r>
      <w:r w:rsidRPr="008B3C30">
        <w:rPr>
          <w:rFonts w:ascii="Times New Roman" w:hAnsi="Times New Roman" w:cs="Times New Roman"/>
          <w:sz w:val="24"/>
          <w:szCs w:val="24"/>
        </w:rPr>
        <w:t xml:space="preserve"> относно дейностите и надзора на институциите за професионално пенсионно осигуряване.</w:t>
      </w:r>
    </w:p>
    <w:p w:rsidR="00313D98" w:rsidRPr="008B3C30" w:rsidRDefault="00313D98" w:rsidP="00313D98">
      <w:pPr>
        <w:widowControl/>
        <w:autoSpaceDE/>
        <w:autoSpaceDN/>
        <w:adjustRightInd/>
        <w:ind w:firstLine="709"/>
        <w:jc w:val="both"/>
        <w:rPr>
          <w:rFonts w:ascii="Times New Roman" w:eastAsia="Times New Roman" w:hAnsi="Times New Roman" w:cs="Times New Roman"/>
          <w:color w:val="000000"/>
          <w:sz w:val="24"/>
          <w:szCs w:val="24"/>
        </w:rPr>
      </w:pPr>
      <w:r w:rsidRPr="008B3C30">
        <w:rPr>
          <w:rFonts w:ascii="Times New Roman" w:eastAsia="Times New Roman" w:hAnsi="Times New Roman" w:cs="Times New Roman"/>
          <w:color w:val="000000"/>
          <w:sz w:val="24"/>
          <w:szCs w:val="24"/>
        </w:rPr>
        <w:t>Разкриването на информация и прозрачност е важен елемент от защитата на потребителите като информация</w:t>
      </w:r>
      <w:r w:rsidR="00FB6EA0" w:rsidRPr="008B3C30">
        <w:rPr>
          <w:rFonts w:ascii="Times New Roman" w:eastAsia="Times New Roman" w:hAnsi="Times New Roman" w:cs="Times New Roman"/>
          <w:color w:val="000000"/>
          <w:sz w:val="24"/>
          <w:szCs w:val="24"/>
        </w:rPr>
        <w:t>та</w:t>
      </w:r>
      <w:r w:rsidRPr="008B3C30">
        <w:rPr>
          <w:rFonts w:ascii="Times New Roman" w:eastAsia="Times New Roman" w:hAnsi="Times New Roman" w:cs="Times New Roman"/>
          <w:color w:val="000000"/>
          <w:sz w:val="24"/>
          <w:szCs w:val="24"/>
        </w:rPr>
        <w:t xml:space="preserve"> дава възможност за взимане на информирани решения.</w:t>
      </w:r>
    </w:p>
    <w:p w:rsidR="00313D98" w:rsidRPr="008B3C30" w:rsidRDefault="00313D98" w:rsidP="00313D98">
      <w:pPr>
        <w:widowControl/>
        <w:autoSpaceDE/>
        <w:autoSpaceDN/>
        <w:adjustRightInd/>
        <w:ind w:firstLine="360"/>
        <w:jc w:val="both"/>
        <w:rPr>
          <w:rFonts w:ascii="Times New Roman" w:eastAsia="Times New Roman" w:hAnsi="Times New Roman" w:cs="Times New Roman"/>
          <w:color w:val="000000"/>
          <w:sz w:val="24"/>
          <w:szCs w:val="24"/>
        </w:rPr>
      </w:pPr>
      <w:r w:rsidRPr="008B3C30">
        <w:rPr>
          <w:rFonts w:ascii="Times New Roman" w:eastAsia="Times New Roman" w:hAnsi="Times New Roman" w:cs="Times New Roman"/>
          <w:color w:val="000000"/>
          <w:sz w:val="24"/>
          <w:szCs w:val="24"/>
        </w:rPr>
        <w:t xml:space="preserve">      Пенсионно осигурителните дружества (ПОД) поддържат актуални интернет страници, на които потребителя</w:t>
      </w:r>
      <w:r w:rsidR="000F5B75" w:rsidRPr="008B3C30">
        <w:rPr>
          <w:rFonts w:ascii="Times New Roman" w:eastAsia="Times New Roman" w:hAnsi="Times New Roman" w:cs="Times New Roman"/>
          <w:color w:val="000000"/>
          <w:sz w:val="24"/>
          <w:szCs w:val="24"/>
        </w:rPr>
        <w:t>т</w:t>
      </w:r>
      <w:r w:rsidRPr="008B3C30">
        <w:rPr>
          <w:rFonts w:ascii="Times New Roman" w:eastAsia="Times New Roman" w:hAnsi="Times New Roman" w:cs="Times New Roman"/>
          <w:color w:val="000000"/>
          <w:sz w:val="24"/>
          <w:szCs w:val="24"/>
        </w:rPr>
        <w:t xml:space="preserve"> може да се информира за интересуващия го пенсионен фонд и </w:t>
      </w:r>
      <w:r w:rsidR="00FB6EA0" w:rsidRPr="008B3C30">
        <w:rPr>
          <w:rFonts w:ascii="Times New Roman" w:eastAsia="Times New Roman" w:hAnsi="Times New Roman" w:cs="Times New Roman"/>
          <w:color w:val="000000"/>
          <w:sz w:val="24"/>
          <w:szCs w:val="24"/>
        </w:rPr>
        <w:t xml:space="preserve">да получи </w:t>
      </w:r>
      <w:r w:rsidRPr="008B3C30">
        <w:rPr>
          <w:rFonts w:ascii="Times New Roman" w:eastAsia="Times New Roman" w:hAnsi="Times New Roman" w:cs="Times New Roman"/>
          <w:color w:val="000000"/>
          <w:sz w:val="24"/>
          <w:szCs w:val="24"/>
        </w:rPr>
        <w:t xml:space="preserve">друга информация във връзка с допълнителното пенсионно осигуряване. Правилниците за устройството и дейността на управляваните от пенсионните дружества фондове са публикувани и на интернет страницата на КФН. В КСО и в подзаконовите актове на КФН е въведен режим на предварителен контрол и са разписани конкретни изисквания към рекламните и информационните материали на пенсионните дружества. С измененията в КСО се въведе изискване за информиране на осигурените лица чрез рекламните и информационни материали за фондовете за допълнително пенсионно осигуряване, </w:t>
      </w:r>
      <w:r w:rsidR="00FB6EA0" w:rsidRPr="008B3C30">
        <w:rPr>
          <w:rFonts w:ascii="Times New Roman" w:eastAsia="Times New Roman" w:hAnsi="Times New Roman" w:cs="Times New Roman"/>
          <w:color w:val="000000"/>
          <w:sz w:val="24"/>
          <w:szCs w:val="24"/>
        </w:rPr>
        <w:t xml:space="preserve">така </w:t>
      </w:r>
      <w:r w:rsidRPr="008B3C30">
        <w:rPr>
          <w:rFonts w:ascii="Times New Roman" w:eastAsia="Times New Roman" w:hAnsi="Times New Roman" w:cs="Times New Roman"/>
          <w:color w:val="000000"/>
          <w:sz w:val="24"/>
          <w:szCs w:val="24"/>
        </w:rPr>
        <w:t xml:space="preserve">че при управлението на активите на фонда не се гарантира положителна доходност и </w:t>
      </w:r>
      <w:r w:rsidR="00FB6EA0" w:rsidRPr="008B3C30">
        <w:rPr>
          <w:rFonts w:ascii="Times New Roman" w:eastAsia="Times New Roman" w:hAnsi="Times New Roman" w:cs="Times New Roman"/>
          <w:color w:val="000000"/>
          <w:sz w:val="24"/>
          <w:szCs w:val="24"/>
        </w:rPr>
        <w:t xml:space="preserve">се </w:t>
      </w:r>
      <w:r w:rsidRPr="008B3C30">
        <w:rPr>
          <w:rFonts w:ascii="Times New Roman" w:eastAsia="Times New Roman" w:hAnsi="Times New Roman" w:cs="Times New Roman"/>
          <w:color w:val="000000"/>
          <w:sz w:val="24"/>
          <w:szCs w:val="24"/>
        </w:rPr>
        <w:t>запазва</w:t>
      </w:r>
      <w:r w:rsidR="00FB6EA0" w:rsidRPr="008B3C30">
        <w:rPr>
          <w:rFonts w:ascii="Times New Roman" w:eastAsia="Times New Roman" w:hAnsi="Times New Roman" w:cs="Times New Roman"/>
          <w:color w:val="000000"/>
          <w:sz w:val="24"/>
          <w:szCs w:val="24"/>
        </w:rPr>
        <w:t>т</w:t>
      </w:r>
      <w:r w:rsidRPr="008B3C30">
        <w:rPr>
          <w:rFonts w:ascii="Times New Roman" w:eastAsia="Times New Roman" w:hAnsi="Times New Roman" w:cs="Times New Roman"/>
          <w:color w:val="000000"/>
          <w:sz w:val="24"/>
          <w:szCs w:val="24"/>
        </w:rPr>
        <w:t xml:space="preserve"> в пълен размер внесените по индивидуалните партиди средства.</w:t>
      </w:r>
    </w:p>
    <w:p w:rsidR="00313D98" w:rsidRPr="008B3C30" w:rsidRDefault="00313D98" w:rsidP="00313D98">
      <w:pPr>
        <w:widowControl/>
        <w:autoSpaceDE/>
        <w:autoSpaceDN/>
        <w:adjustRightInd/>
        <w:jc w:val="both"/>
        <w:rPr>
          <w:rFonts w:ascii="Times New Roman" w:eastAsia="Times New Roman" w:hAnsi="Times New Roman" w:cs="Times New Roman"/>
          <w:color w:val="000000"/>
          <w:sz w:val="24"/>
          <w:szCs w:val="24"/>
        </w:rPr>
      </w:pPr>
      <w:r w:rsidRPr="008B3C30">
        <w:rPr>
          <w:rFonts w:ascii="Times New Roman" w:eastAsia="Times New Roman" w:hAnsi="Times New Roman" w:cs="Times New Roman"/>
          <w:color w:val="000000"/>
          <w:sz w:val="24"/>
          <w:szCs w:val="24"/>
        </w:rPr>
        <w:tab/>
        <w:t>Пенсионните дружества изчисляват ежедневно и публикуват информация за стойността на един дял на съответните пенсионни фондове. Данните за стойността на дяловете на всички пенсионни фондове се оповестява</w:t>
      </w:r>
      <w:r w:rsidR="00E60B53" w:rsidRPr="008B3C30">
        <w:rPr>
          <w:rFonts w:ascii="Times New Roman" w:eastAsia="Times New Roman" w:hAnsi="Times New Roman" w:cs="Times New Roman"/>
          <w:color w:val="000000"/>
          <w:sz w:val="24"/>
          <w:szCs w:val="24"/>
        </w:rPr>
        <w:t>т</w:t>
      </w:r>
      <w:r w:rsidRPr="008B3C30">
        <w:rPr>
          <w:rFonts w:ascii="Times New Roman" w:eastAsia="Times New Roman" w:hAnsi="Times New Roman" w:cs="Times New Roman"/>
          <w:color w:val="000000"/>
          <w:sz w:val="24"/>
          <w:szCs w:val="24"/>
        </w:rPr>
        <w:t xml:space="preserve"> на интернет страницата на КФН. На страниците на дружествата на тримесечие се публикуват и портфейлите им. На страницата на КФН се оповестяват годишните одитирани финансови отчети на ПОД.</w:t>
      </w:r>
    </w:p>
    <w:p w:rsidR="00313D98" w:rsidRPr="008B3C30" w:rsidRDefault="00313D98" w:rsidP="00313D98">
      <w:pPr>
        <w:widowControl/>
        <w:autoSpaceDE/>
        <w:autoSpaceDN/>
        <w:adjustRightInd/>
        <w:ind w:firstLine="360"/>
        <w:jc w:val="both"/>
        <w:rPr>
          <w:rFonts w:ascii="Times New Roman" w:eastAsia="Times New Roman" w:hAnsi="Times New Roman" w:cs="Times New Roman"/>
          <w:color w:val="000000"/>
          <w:sz w:val="24"/>
          <w:szCs w:val="24"/>
        </w:rPr>
      </w:pPr>
      <w:r w:rsidRPr="008B3C30">
        <w:rPr>
          <w:rFonts w:ascii="Times New Roman" w:eastAsia="Times New Roman" w:hAnsi="Times New Roman" w:cs="Times New Roman"/>
          <w:color w:val="000000"/>
          <w:sz w:val="24"/>
          <w:szCs w:val="24"/>
        </w:rPr>
        <w:t xml:space="preserve">      В КСО е регламентирано изискването пенсионните дружества да изпращат на хартиен носител извлечение по индивидуалната партида на клиентите си веднъж годишно </w:t>
      </w:r>
      <w:r w:rsidR="00685E0E" w:rsidRPr="008B3C30">
        <w:rPr>
          <w:rFonts w:ascii="Times New Roman" w:hAnsi="Times New Roman" w:cs="Times New Roman"/>
        </w:rPr>
        <w:t>–</w:t>
      </w:r>
      <w:r w:rsidRPr="008B3C30">
        <w:rPr>
          <w:rFonts w:ascii="Times New Roman" w:eastAsia="Times New Roman" w:hAnsi="Times New Roman" w:cs="Times New Roman"/>
          <w:color w:val="000000"/>
          <w:sz w:val="24"/>
          <w:szCs w:val="24"/>
        </w:rPr>
        <w:t xml:space="preserve"> до края на месец май. При подаване на заявление потребителя</w:t>
      </w:r>
      <w:r w:rsidR="00551FC5" w:rsidRPr="008B3C30">
        <w:rPr>
          <w:rFonts w:ascii="Times New Roman" w:eastAsia="Times New Roman" w:hAnsi="Times New Roman" w:cs="Times New Roman"/>
          <w:color w:val="000000"/>
          <w:sz w:val="24"/>
          <w:szCs w:val="24"/>
        </w:rPr>
        <w:t>т</w:t>
      </w:r>
      <w:r w:rsidRPr="008B3C30">
        <w:rPr>
          <w:rFonts w:ascii="Times New Roman" w:eastAsia="Times New Roman" w:hAnsi="Times New Roman" w:cs="Times New Roman"/>
          <w:color w:val="000000"/>
          <w:sz w:val="24"/>
          <w:szCs w:val="24"/>
        </w:rPr>
        <w:t xml:space="preserve"> може да се откаже от хартиения вариант на извлечение</w:t>
      </w:r>
      <w:r w:rsidR="00551FC5" w:rsidRPr="008B3C30">
        <w:rPr>
          <w:rFonts w:ascii="Times New Roman" w:eastAsia="Times New Roman" w:hAnsi="Times New Roman" w:cs="Times New Roman"/>
          <w:color w:val="000000"/>
          <w:sz w:val="24"/>
          <w:szCs w:val="24"/>
        </w:rPr>
        <w:t>то</w:t>
      </w:r>
      <w:r w:rsidRPr="008B3C30">
        <w:rPr>
          <w:rFonts w:ascii="Times New Roman" w:eastAsia="Times New Roman" w:hAnsi="Times New Roman" w:cs="Times New Roman"/>
          <w:color w:val="000000"/>
          <w:sz w:val="24"/>
          <w:szCs w:val="24"/>
        </w:rPr>
        <w:t xml:space="preserve"> по индивидуалната му партида и да получава същата в електронен вариант. Осигурените лица могат да проверяват личната си партида и чрез интернет страницата на съответните пенсионни фондове, след получаване на индивидуален код. Клиентите имат право да изиск</w:t>
      </w:r>
      <w:r w:rsidR="00551FC5" w:rsidRPr="008B3C30">
        <w:rPr>
          <w:rFonts w:ascii="Times New Roman" w:eastAsia="Times New Roman" w:hAnsi="Times New Roman" w:cs="Times New Roman"/>
          <w:color w:val="000000"/>
          <w:sz w:val="24"/>
          <w:szCs w:val="24"/>
        </w:rPr>
        <w:t>в</w:t>
      </w:r>
      <w:r w:rsidRPr="008B3C30">
        <w:rPr>
          <w:rFonts w:ascii="Times New Roman" w:eastAsia="Times New Roman" w:hAnsi="Times New Roman" w:cs="Times New Roman"/>
          <w:color w:val="000000"/>
          <w:sz w:val="24"/>
          <w:szCs w:val="24"/>
        </w:rPr>
        <w:t xml:space="preserve">ат и допълнителни извлечения. Някои пенсионни дружества са разработили процедури в случаи на </w:t>
      </w:r>
      <w:r w:rsidRPr="008B3C30">
        <w:rPr>
          <w:rFonts w:ascii="Times New Roman" w:eastAsia="Times New Roman" w:hAnsi="Times New Roman" w:cs="Times New Roman"/>
          <w:color w:val="000000"/>
          <w:sz w:val="24"/>
          <w:szCs w:val="24"/>
        </w:rPr>
        <w:lastRenderedPageBreak/>
        <w:t>оспорване на верността на данните в извлечението по индивидуалната партида на клиента.</w:t>
      </w:r>
    </w:p>
    <w:p w:rsidR="00313D98" w:rsidRPr="008B3C30" w:rsidRDefault="00313D98" w:rsidP="00313D98">
      <w:pPr>
        <w:shd w:val="clear" w:color="auto" w:fill="FFFFFF"/>
        <w:ind w:left="5" w:firstLine="703"/>
        <w:jc w:val="both"/>
        <w:rPr>
          <w:rFonts w:ascii="Times New Roman" w:hAnsi="Times New Roman" w:cs="Times New Roman"/>
          <w:color w:val="000000"/>
          <w:sz w:val="24"/>
          <w:szCs w:val="24"/>
        </w:rPr>
      </w:pPr>
      <w:r w:rsidRPr="008B3C30">
        <w:rPr>
          <w:rFonts w:ascii="Times New Roman" w:hAnsi="Times New Roman" w:cs="Times New Roman"/>
          <w:color w:val="000000"/>
          <w:sz w:val="24"/>
          <w:szCs w:val="24"/>
        </w:rPr>
        <w:t xml:space="preserve">В областта на пенсионното осигуряване защитата на клиентските активи е осигурена </w:t>
      </w:r>
      <w:r w:rsidRPr="008B3C30">
        <w:rPr>
          <w:rFonts w:ascii="Times New Roman" w:hAnsi="Times New Roman" w:cs="Times New Roman"/>
          <w:color w:val="000000"/>
          <w:spacing w:val="2"/>
          <w:sz w:val="24"/>
          <w:szCs w:val="24"/>
        </w:rPr>
        <w:t xml:space="preserve">чрез разделянето на активите на пенсионното дружество от активите на управляваните </w:t>
      </w:r>
      <w:r w:rsidRPr="008B3C30">
        <w:rPr>
          <w:rFonts w:ascii="Times New Roman" w:hAnsi="Times New Roman" w:cs="Times New Roman"/>
          <w:color w:val="000000"/>
          <w:sz w:val="24"/>
          <w:szCs w:val="24"/>
        </w:rPr>
        <w:t>от него фондове. Допълнителна гаранция за потребителите е задължението пенсионното дружество да има договор с банка попечител.</w:t>
      </w:r>
    </w:p>
    <w:p w:rsidR="00313D98" w:rsidRPr="008B3C30" w:rsidRDefault="00313D98" w:rsidP="00313D98">
      <w:pPr>
        <w:pStyle w:val="BodyText"/>
        <w:tabs>
          <w:tab w:val="center" w:pos="4854"/>
        </w:tabs>
        <w:ind w:firstLine="708"/>
        <w:rPr>
          <w:rFonts w:cs="Times New Roman"/>
          <w:sz w:val="24"/>
          <w:szCs w:val="24"/>
        </w:rPr>
      </w:pPr>
      <w:r w:rsidRPr="008B3C30">
        <w:rPr>
          <w:rFonts w:cs="Times New Roman"/>
          <w:sz w:val="24"/>
          <w:szCs w:val="24"/>
        </w:rPr>
        <w:t>Европейската регулация в областта на защитата на потребителите се допълва и от специално насочени за хармонизиране на третирането на потребителите Насоки за разглеждане на жалби на потребителите, каквито са Насоките относно разглеждането на жалби от застрахователните посредници, Насоките относно разглеждането на жалби от застрахователни предприятия и Насоките относно разглеждането на жалби за сектора на ценните книжа (ESMA) и за банковия сектор (EБО), в които са предвидени правила към организацията по разглеждане на жалби от застрахователите, застрахователните посредници, както и от поднадзорните лица в сектора на ценните книжа. КФН е приела тези насоки за прилагане в надзорната си практика.</w:t>
      </w:r>
    </w:p>
    <w:p w:rsidR="00313D98" w:rsidRPr="008B3C30" w:rsidRDefault="00313D98" w:rsidP="00313D98">
      <w:pPr>
        <w:widowControl/>
        <w:autoSpaceDE/>
        <w:autoSpaceDN/>
        <w:adjustRightInd/>
        <w:ind w:firstLine="709"/>
        <w:jc w:val="both"/>
        <w:rPr>
          <w:rFonts w:ascii="Times New Roman" w:eastAsia="Times New Roman" w:hAnsi="Times New Roman" w:cs="Times New Roman"/>
          <w:sz w:val="24"/>
          <w:szCs w:val="24"/>
        </w:rPr>
      </w:pPr>
      <w:r w:rsidRPr="008B3C30">
        <w:rPr>
          <w:rFonts w:ascii="Times New Roman" w:eastAsia="Times New Roman" w:hAnsi="Times New Roman" w:cs="Times New Roman"/>
          <w:sz w:val="24"/>
          <w:szCs w:val="24"/>
        </w:rPr>
        <w:t>Съгласно Насоките</w:t>
      </w:r>
      <w:r w:rsidR="00B621DB" w:rsidRPr="008B3C30">
        <w:rPr>
          <w:rFonts w:ascii="Times New Roman" w:eastAsia="Times New Roman" w:hAnsi="Times New Roman" w:cs="Times New Roman"/>
          <w:sz w:val="24"/>
          <w:szCs w:val="24"/>
        </w:rPr>
        <w:t>,</w:t>
      </w:r>
      <w:r w:rsidRPr="008B3C30">
        <w:rPr>
          <w:rFonts w:ascii="Times New Roman" w:eastAsia="Times New Roman" w:hAnsi="Times New Roman" w:cs="Times New Roman"/>
          <w:sz w:val="24"/>
          <w:szCs w:val="24"/>
        </w:rPr>
        <w:t xml:space="preserve"> всеки застраховател и застрахователен брокер създава и поддържа организация за разглеждане на жалби на ползватели на застрахователни услуги. С КЗ е въведен срок за регистриране, разглеждане и отговаряне на жалби от ползвателите, а именно едномесечен срок от датата на постъпването </w:t>
      </w:r>
      <w:r w:rsidR="00B621DB" w:rsidRPr="008B3C30">
        <w:rPr>
          <w:rFonts w:ascii="Times New Roman" w:eastAsia="Times New Roman" w:hAnsi="Times New Roman" w:cs="Times New Roman"/>
          <w:sz w:val="24"/>
          <w:szCs w:val="24"/>
        </w:rPr>
        <w:t xml:space="preserve">ѝ </w:t>
      </w:r>
      <w:r w:rsidRPr="008B3C30">
        <w:rPr>
          <w:rFonts w:ascii="Times New Roman" w:eastAsia="Times New Roman" w:hAnsi="Times New Roman" w:cs="Times New Roman"/>
          <w:sz w:val="24"/>
          <w:szCs w:val="24"/>
        </w:rPr>
        <w:t>пред застрахователя, респ. застрахователния брокер. Застрахователят, съответно застрахователният брокер, е длъжен да анализира постъпилите жалби и да предприема мерки за отстраняване на слабости в дейността си, констатирани въз основа на жалбите. За застрахователните агенти е предвидено задължение, в случай че са получили жалба от ползвател, да я препратят на застрахователя, от името на който извършват застрахователно посредничество, в тридневен срок от получаването й.</w:t>
      </w:r>
    </w:p>
    <w:p w:rsidR="00313D98" w:rsidRPr="008B3C30" w:rsidRDefault="00313D98" w:rsidP="00313D98">
      <w:pPr>
        <w:widowControl/>
        <w:autoSpaceDE/>
        <w:autoSpaceDN/>
        <w:adjustRightInd/>
        <w:ind w:firstLine="709"/>
        <w:jc w:val="both"/>
        <w:rPr>
          <w:rFonts w:ascii="Times New Roman" w:eastAsia="Times New Roman" w:hAnsi="Times New Roman" w:cs="Times New Roman"/>
          <w:sz w:val="24"/>
          <w:szCs w:val="24"/>
          <w:highlight w:val="yellow"/>
        </w:rPr>
      </w:pPr>
    </w:p>
    <w:p w:rsidR="00313D98" w:rsidRPr="008B3C30" w:rsidRDefault="00313D98" w:rsidP="00313D98">
      <w:pPr>
        <w:widowControl/>
        <w:autoSpaceDE/>
        <w:autoSpaceDN/>
        <w:adjustRightInd/>
        <w:ind w:firstLine="709"/>
        <w:jc w:val="center"/>
        <w:rPr>
          <w:rFonts w:ascii="Times New Roman" w:eastAsia="Times New Roman" w:hAnsi="Times New Roman" w:cs="Times New Roman"/>
          <w:b/>
          <w:sz w:val="24"/>
          <w:szCs w:val="24"/>
        </w:rPr>
      </w:pPr>
    </w:p>
    <w:p w:rsidR="00313D98" w:rsidRPr="008B3C30" w:rsidRDefault="00313D98" w:rsidP="00544152">
      <w:pPr>
        <w:widowControl/>
        <w:autoSpaceDE/>
        <w:autoSpaceDN/>
        <w:adjustRightInd/>
        <w:jc w:val="center"/>
        <w:rPr>
          <w:rFonts w:ascii="Times New Roman" w:eastAsia="Times New Roman" w:hAnsi="Times New Roman" w:cs="Times New Roman"/>
          <w:b/>
          <w:sz w:val="24"/>
          <w:szCs w:val="24"/>
        </w:rPr>
      </w:pPr>
      <w:r w:rsidRPr="008B3C30">
        <w:rPr>
          <w:rFonts w:ascii="Times New Roman" w:eastAsia="Times New Roman" w:hAnsi="Times New Roman" w:cs="Times New Roman"/>
          <w:b/>
          <w:sz w:val="24"/>
          <w:szCs w:val="24"/>
        </w:rPr>
        <w:t>Защита на потребителите срещу нелоялни търговски практики</w:t>
      </w:r>
    </w:p>
    <w:p w:rsidR="00313D98" w:rsidRPr="008B3C30" w:rsidRDefault="00313D98" w:rsidP="00313D98">
      <w:pPr>
        <w:widowControl/>
        <w:autoSpaceDE/>
        <w:autoSpaceDN/>
        <w:adjustRightInd/>
        <w:ind w:firstLine="709"/>
        <w:jc w:val="center"/>
        <w:rPr>
          <w:rFonts w:ascii="Times New Roman" w:eastAsia="Times New Roman" w:hAnsi="Times New Roman" w:cs="Times New Roman"/>
          <w:b/>
          <w:sz w:val="24"/>
          <w:szCs w:val="24"/>
        </w:rPr>
      </w:pPr>
    </w:p>
    <w:p w:rsidR="00313D98" w:rsidRPr="008B3C30" w:rsidRDefault="00313D98" w:rsidP="00313D98">
      <w:pPr>
        <w:widowControl/>
        <w:autoSpaceDE/>
        <w:autoSpaceDN/>
        <w:adjustRightInd/>
        <w:ind w:firstLine="709"/>
        <w:jc w:val="both"/>
        <w:rPr>
          <w:rFonts w:ascii="Times New Roman" w:eastAsia="Times New Roman" w:hAnsi="Times New Roman" w:cs="Times New Roman"/>
          <w:sz w:val="24"/>
          <w:szCs w:val="24"/>
        </w:rPr>
      </w:pPr>
      <w:r w:rsidRPr="008B3C30">
        <w:rPr>
          <w:rFonts w:ascii="Times New Roman" w:eastAsia="Times New Roman" w:hAnsi="Times New Roman" w:cs="Times New Roman"/>
          <w:color w:val="000000"/>
          <w:sz w:val="24"/>
          <w:szCs w:val="24"/>
        </w:rPr>
        <w:t xml:space="preserve">На 11 май 2005 г. Европейският парламент и Съветът на Европейския съюз приеха </w:t>
      </w:r>
      <w:r w:rsidRPr="008B3C30">
        <w:rPr>
          <w:rFonts w:ascii="Times New Roman" w:eastAsia="Times New Roman" w:hAnsi="Times New Roman" w:cs="Times New Roman"/>
          <w:b/>
          <w:color w:val="000000"/>
          <w:sz w:val="24"/>
          <w:szCs w:val="24"/>
        </w:rPr>
        <w:t>Директива 2005/29/ЕО</w:t>
      </w:r>
      <w:r w:rsidRPr="008B3C30">
        <w:rPr>
          <w:rFonts w:ascii="Times New Roman" w:eastAsia="Times New Roman" w:hAnsi="Times New Roman" w:cs="Times New Roman"/>
          <w:color w:val="000000"/>
          <w:sz w:val="24"/>
          <w:szCs w:val="24"/>
        </w:rPr>
        <w:t xml:space="preserve"> </w:t>
      </w:r>
      <w:r w:rsidRPr="008B3C30">
        <w:rPr>
          <w:rFonts w:ascii="Times New Roman" w:eastAsia="Times New Roman" w:hAnsi="Times New Roman" w:cs="Times New Roman"/>
          <w:sz w:val="24"/>
          <w:szCs w:val="24"/>
        </w:rPr>
        <w:t xml:space="preserve">относно нелоялни търговски практики от страна на търговци към потребители на вътрешния пазар и изменение на </w:t>
      </w:r>
      <w:r w:rsidRPr="008B3C30">
        <w:rPr>
          <w:rFonts w:ascii="Times New Roman" w:eastAsia="Times New Roman" w:hAnsi="Times New Roman" w:cs="Times New Roman"/>
          <w:b/>
          <w:sz w:val="24"/>
          <w:szCs w:val="24"/>
        </w:rPr>
        <w:t>Директива 84/450/ЕИО</w:t>
      </w:r>
      <w:r w:rsidRPr="008B3C30">
        <w:rPr>
          <w:rFonts w:ascii="Times New Roman" w:eastAsia="Times New Roman" w:hAnsi="Times New Roman" w:cs="Times New Roman"/>
          <w:sz w:val="24"/>
          <w:szCs w:val="24"/>
        </w:rPr>
        <w:t xml:space="preserve"> на Съвета, </w:t>
      </w:r>
      <w:r w:rsidRPr="008B3C30">
        <w:rPr>
          <w:rFonts w:ascii="Times New Roman" w:eastAsia="Times New Roman" w:hAnsi="Times New Roman" w:cs="Times New Roman"/>
          <w:b/>
          <w:sz w:val="24"/>
          <w:szCs w:val="24"/>
        </w:rPr>
        <w:t>Директиви 97/7/EО, 98/27/EО и 2002/65/EО</w:t>
      </w:r>
      <w:r w:rsidRPr="008B3C30">
        <w:rPr>
          <w:rFonts w:ascii="Times New Roman" w:eastAsia="Times New Roman" w:hAnsi="Times New Roman" w:cs="Times New Roman"/>
          <w:sz w:val="24"/>
          <w:szCs w:val="24"/>
        </w:rPr>
        <w:t xml:space="preserve"> на Европейския парламент и на Съвета, и </w:t>
      </w:r>
      <w:r w:rsidRPr="008B3C30">
        <w:rPr>
          <w:rFonts w:ascii="Times New Roman" w:eastAsia="Times New Roman" w:hAnsi="Times New Roman" w:cs="Times New Roman"/>
          <w:b/>
          <w:sz w:val="24"/>
          <w:szCs w:val="24"/>
        </w:rPr>
        <w:t>Регламент (EО) № 2006/2004</w:t>
      </w:r>
      <w:r w:rsidRPr="008B3C30">
        <w:rPr>
          <w:rFonts w:ascii="Times New Roman" w:eastAsia="Times New Roman" w:hAnsi="Times New Roman" w:cs="Times New Roman"/>
          <w:sz w:val="24"/>
          <w:szCs w:val="24"/>
        </w:rPr>
        <w:t xml:space="preserve"> на Европейския парламент и на Съвета.</w:t>
      </w:r>
    </w:p>
    <w:p w:rsidR="00313D98" w:rsidRPr="008B3C30" w:rsidRDefault="00313D98" w:rsidP="00313D98">
      <w:pPr>
        <w:widowControl/>
        <w:autoSpaceDE/>
        <w:autoSpaceDN/>
        <w:adjustRightInd/>
        <w:ind w:firstLine="709"/>
        <w:jc w:val="both"/>
        <w:rPr>
          <w:rFonts w:ascii="Times New Roman" w:eastAsia="Times New Roman" w:hAnsi="Times New Roman" w:cs="Times New Roman"/>
          <w:sz w:val="24"/>
          <w:szCs w:val="24"/>
        </w:rPr>
      </w:pPr>
      <w:r w:rsidRPr="008B3C30">
        <w:rPr>
          <w:rFonts w:ascii="Times New Roman" w:eastAsia="Times New Roman" w:hAnsi="Times New Roman" w:cs="Times New Roman"/>
          <w:b/>
          <w:sz w:val="24"/>
          <w:szCs w:val="24"/>
        </w:rPr>
        <w:t xml:space="preserve">Директива </w:t>
      </w:r>
      <w:r w:rsidRPr="008B3C30">
        <w:rPr>
          <w:rFonts w:ascii="Times New Roman" w:eastAsia="Times New Roman" w:hAnsi="Times New Roman" w:cs="Times New Roman"/>
          <w:b/>
          <w:color w:val="000000"/>
          <w:sz w:val="24"/>
          <w:szCs w:val="24"/>
        </w:rPr>
        <w:t>2005/29/ЕО</w:t>
      </w:r>
      <w:r w:rsidRPr="008B3C30">
        <w:rPr>
          <w:rFonts w:ascii="Times New Roman" w:eastAsia="Times New Roman" w:hAnsi="Times New Roman" w:cs="Times New Roman"/>
          <w:sz w:val="24"/>
          <w:szCs w:val="24"/>
        </w:rPr>
        <w:t xml:space="preserve"> урежда търговски практики пряко свързани с въздействието върху вземане на решения от потребителя</w:t>
      </w:r>
      <w:r w:rsidR="00B621DB" w:rsidRPr="008B3C30">
        <w:rPr>
          <w:rFonts w:ascii="Times New Roman" w:eastAsia="Times New Roman" w:hAnsi="Times New Roman" w:cs="Times New Roman"/>
          <w:sz w:val="24"/>
          <w:szCs w:val="24"/>
        </w:rPr>
        <w:t>,</w:t>
      </w:r>
      <w:r w:rsidRPr="008B3C30">
        <w:rPr>
          <w:rFonts w:ascii="Times New Roman" w:eastAsia="Times New Roman" w:hAnsi="Times New Roman" w:cs="Times New Roman"/>
          <w:sz w:val="24"/>
          <w:szCs w:val="24"/>
        </w:rPr>
        <w:t xml:space="preserve"> отнасящи се до продукти и пряко защитава икономическите интереси на потребителите от нелоялни търговски практики от страна на търговци към потребители. Директивата няма за цел да ограничи правото на избор на потребителя чрез налагане на забрана върху промоцията на стоки, които приличат на други стоки, освен ако тази прилика обърква потребителите относно търговския произход на стоката и следователно въвежда в заблуждение.</w:t>
      </w:r>
    </w:p>
    <w:p w:rsidR="00313D98" w:rsidRPr="008B3C30" w:rsidRDefault="00313D98" w:rsidP="00313D98">
      <w:pPr>
        <w:widowControl/>
        <w:autoSpaceDE/>
        <w:autoSpaceDN/>
        <w:adjustRightInd/>
        <w:ind w:firstLine="709"/>
        <w:jc w:val="both"/>
        <w:rPr>
          <w:rFonts w:ascii="Times New Roman" w:eastAsia="Times New Roman" w:hAnsi="Times New Roman" w:cs="Times New Roman"/>
          <w:sz w:val="24"/>
          <w:szCs w:val="24"/>
        </w:rPr>
      </w:pPr>
      <w:r w:rsidRPr="008B3C30">
        <w:rPr>
          <w:rFonts w:ascii="Times New Roman" w:eastAsia="Times New Roman" w:hAnsi="Times New Roman" w:cs="Times New Roman"/>
          <w:sz w:val="24"/>
          <w:szCs w:val="24"/>
        </w:rPr>
        <w:t> Заблуждаваща е тази търговска практика, която съдържа невярна информация или пропуска съществена информация и по някакъв начин е възможно да заблуди средния потребител, дори и ако съдържащата се в нея информация е фактически точна и във всички случаи подтиква или е възможно да подтикне потребителя да вземе решение за сделка, което в противен случай не би взел.</w:t>
      </w:r>
    </w:p>
    <w:p w:rsidR="00D00F4E" w:rsidRPr="008B3C30" w:rsidRDefault="00313D98" w:rsidP="008212B7">
      <w:pPr>
        <w:widowControl/>
        <w:autoSpaceDE/>
        <w:autoSpaceDN/>
        <w:adjustRightInd/>
        <w:ind w:firstLine="709"/>
        <w:jc w:val="both"/>
        <w:rPr>
          <w:rFonts w:ascii="Times New Roman" w:eastAsia="Calibri" w:hAnsi="Times New Roman" w:cs="Times New Roman"/>
          <w:b/>
          <w:sz w:val="24"/>
          <w:szCs w:val="24"/>
          <w:lang w:eastAsia="en-US"/>
        </w:rPr>
      </w:pPr>
      <w:r w:rsidRPr="008B3C30">
        <w:rPr>
          <w:rFonts w:ascii="Times New Roman" w:eastAsia="Times New Roman" w:hAnsi="Times New Roman" w:cs="Times New Roman"/>
          <w:b/>
          <w:color w:val="000000"/>
          <w:sz w:val="24"/>
          <w:szCs w:val="24"/>
        </w:rPr>
        <w:t>Директива 2005/29/ЕО</w:t>
      </w:r>
      <w:r w:rsidRPr="008B3C30">
        <w:rPr>
          <w:rFonts w:ascii="Times New Roman" w:eastAsia="Times New Roman" w:hAnsi="Times New Roman" w:cs="Times New Roman"/>
          <w:color w:val="000000"/>
          <w:sz w:val="24"/>
          <w:szCs w:val="24"/>
        </w:rPr>
        <w:t xml:space="preserve"> дава дефиниция и за това какво е заблуждаващо бездействие и агресивна търговска практика. Заблуждаващо бездействие е тази търговска практика, при която </w:t>
      </w:r>
      <w:r w:rsidRPr="008B3C30">
        <w:rPr>
          <w:rFonts w:ascii="Times New Roman" w:eastAsia="Times New Roman" w:hAnsi="Times New Roman" w:cs="Times New Roman"/>
          <w:sz w:val="24"/>
          <w:szCs w:val="24"/>
        </w:rPr>
        <w:t xml:space="preserve">търговецът укрива или предоставя по неясен, неразбираем, двусмислен или несвоевременен начин информация. Агресивна е </w:t>
      </w:r>
      <w:r w:rsidRPr="008B3C30">
        <w:rPr>
          <w:rFonts w:ascii="Times New Roman" w:eastAsia="Times New Roman" w:hAnsi="Times New Roman" w:cs="Times New Roman"/>
          <w:sz w:val="24"/>
          <w:szCs w:val="24"/>
        </w:rPr>
        <w:lastRenderedPageBreak/>
        <w:t>търговската практика, която чрез тормоз, принуда, включително използване на физическа сила, или злоупотреба с влияние, значително накърнява или е възможно в значителна степен да накърни свободата на избор или поведение на средния потребител по отношение на стоката, и следователно го подтиква или е възможно да го подтикне да вземе решение за сделка, което в противен случай не би взел</w:t>
      </w:r>
      <w:r w:rsidR="00544152">
        <w:rPr>
          <w:rFonts w:ascii="Times New Roman" w:eastAsia="Times New Roman" w:hAnsi="Times New Roman" w:cs="Times New Roman"/>
          <w:sz w:val="24"/>
          <w:szCs w:val="24"/>
        </w:rPr>
        <w:t>.</w:t>
      </w:r>
    </w:p>
    <w:p w:rsidR="00D00F4E" w:rsidRPr="008B3C30" w:rsidRDefault="00D00F4E" w:rsidP="008212B7">
      <w:pPr>
        <w:widowControl/>
        <w:autoSpaceDE/>
        <w:autoSpaceDN/>
        <w:adjustRightInd/>
        <w:jc w:val="both"/>
        <w:rPr>
          <w:rFonts w:ascii="Times New Roman" w:eastAsia="Calibri" w:hAnsi="Times New Roman" w:cs="Times New Roman"/>
          <w:b/>
          <w:sz w:val="24"/>
          <w:szCs w:val="24"/>
          <w:lang w:eastAsia="en-US"/>
        </w:rPr>
      </w:pPr>
    </w:p>
    <w:p w:rsidR="00313D98" w:rsidRPr="008B3C30" w:rsidRDefault="00313D98" w:rsidP="00D00F4E">
      <w:pPr>
        <w:widowControl/>
        <w:autoSpaceDE/>
        <w:autoSpaceDN/>
        <w:adjustRightInd/>
        <w:jc w:val="center"/>
        <w:rPr>
          <w:rFonts w:ascii="Times New Roman" w:eastAsia="Calibri" w:hAnsi="Times New Roman" w:cs="Times New Roman"/>
          <w:b/>
          <w:sz w:val="24"/>
          <w:szCs w:val="24"/>
          <w:lang w:eastAsia="en-US"/>
        </w:rPr>
      </w:pPr>
      <w:r w:rsidRPr="008B3C30">
        <w:rPr>
          <w:rFonts w:ascii="Times New Roman" w:eastAsia="Calibri" w:hAnsi="Times New Roman" w:cs="Times New Roman"/>
          <w:b/>
          <w:sz w:val="24"/>
          <w:szCs w:val="24"/>
          <w:lang w:eastAsia="en-US"/>
        </w:rPr>
        <w:t>Защита на личните данни на потребителите на небанкови финансови услуги</w:t>
      </w:r>
    </w:p>
    <w:p w:rsidR="00313D98" w:rsidRPr="008B3C30" w:rsidRDefault="00313D98" w:rsidP="00313D98">
      <w:pPr>
        <w:widowControl/>
        <w:autoSpaceDE/>
        <w:autoSpaceDN/>
        <w:adjustRightInd/>
        <w:jc w:val="center"/>
        <w:rPr>
          <w:rFonts w:ascii="Times New Roman" w:eastAsia="Calibri" w:hAnsi="Times New Roman" w:cs="Times New Roman"/>
          <w:b/>
          <w:sz w:val="24"/>
          <w:szCs w:val="24"/>
          <w:lang w:eastAsia="en-US"/>
        </w:rPr>
      </w:pPr>
    </w:p>
    <w:p w:rsidR="00313D98" w:rsidRPr="008B3C30" w:rsidRDefault="00313D98" w:rsidP="00313D98">
      <w:pPr>
        <w:widowControl/>
        <w:autoSpaceDE/>
        <w:autoSpaceDN/>
        <w:adjustRightInd/>
        <w:ind w:firstLine="709"/>
        <w:jc w:val="both"/>
        <w:rPr>
          <w:rFonts w:ascii="Times New Roman" w:eastAsia="Times New Roman" w:hAnsi="Times New Roman" w:cs="Times New Roman"/>
          <w:color w:val="000000"/>
          <w:sz w:val="24"/>
          <w:szCs w:val="24"/>
        </w:rPr>
      </w:pPr>
      <w:r w:rsidRPr="008B3C30">
        <w:rPr>
          <w:rFonts w:ascii="Times New Roman" w:eastAsia="Times New Roman" w:hAnsi="Times New Roman" w:cs="Times New Roman"/>
          <w:color w:val="000000"/>
          <w:sz w:val="24"/>
          <w:szCs w:val="24"/>
        </w:rPr>
        <w:t>Бързото технологично развитие и глобализацията създадоха нови  предизвикателства пред  защитата на  личните данни. Значително нарасна мащаба на  обмена и събирането на лични данни. Технологиите позволяват и на частните дружества, и на публичните органи да използват лични данни в безпрецедентни мащаби, за да упражняват дейността си. Физическите лица все по-често оставят лична информация, която е публично достъпна и в световен мащаб. Технологиите преобразиха както икономиката, така и социалния живот и следва да улесняват още повече свободното движение на лични данни в Съюза и предаването на данни до трети държави и международни организации, като същевременно гарантират високо ниво на защита на личните данни.</w:t>
      </w:r>
    </w:p>
    <w:p w:rsidR="00313D98" w:rsidRPr="008B3C30" w:rsidRDefault="00313D98" w:rsidP="00313D98">
      <w:pPr>
        <w:widowControl/>
        <w:autoSpaceDE/>
        <w:autoSpaceDN/>
        <w:adjustRightInd/>
        <w:ind w:firstLine="709"/>
        <w:jc w:val="both"/>
        <w:rPr>
          <w:rFonts w:ascii="Times New Roman" w:eastAsia="Calibri" w:hAnsi="Times New Roman" w:cs="Times New Roman"/>
          <w:sz w:val="24"/>
          <w:szCs w:val="24"/>
          <w:lang w:eastAsia="en-US"/>
        </w:rPr>
      </w:pPr>
      <w:r w:rsidRPr="008B3C30">
        <w:rPr>
          <w:rFonts w:ascii="Times New Roman" w:eastAsia="Calibri" w:hAnsi="Times New Roman" w:cs="Times New Roman"/>
          <w:sz w:val="24"/>
          <w:szCs w:val="24"/>
          <w:lang w:eastAsia="en-US"/>
        </w:rPr>
        <w:t xml:space="preserve">По този повод на 27 април 2016 г. е приет </w:t>
      </w:r>
      <w:r w:rsidRPr="008B3C30">
        <w:rPr>
          <w:rFonts w:ascii="Times New Roman" w:eastAsia="Calibri" w:hAnsi="Times New Roman" w:cs="Times New Roman"/>
          <w:b/>
          <w:sz w:val="24"/>
          <w:szCs w:val="24"/>
          <w:lang w:eastAsia="en-US"/>
        </w:rPr>
        <w:t>Регламент (ЕС) 2016/679</w:t>
      </w:r>
      <w:r w:rsidRPr="008B3C30">
        <w:rPr>
          <w:rFonts w:ascii="Times New Roman" w:eastAsia="Calibri" w:hAnsi="Times New Roman" w:cs="Times New Roman"/>
          <w:sz w:val="24"/>
          <w:szCs w:val="24"/>
          <w:lang w:eastAsia="en-US"/>
        </w:rPr>
        <w:t xml:space="preserve"> на Европейския парламент и Съвета на ЕС относно защитата на физическите лица във връзка с обработването на лични данни и относно свободното движение на такива данни и за отмяна на </w:t>
      </w:r>
      <w:r w:rsidRPr="008B3C30">
        <w:rPr>
          <w:rFonts w:ascii="Times New Roman" w:eastAsia="Calibri" w:hAnsi="Times New Roman" w:cs="Times New Roman"/>
          <w:b/>
          <w:sz w:val="24"/>
          <w:szCs w:val="24"/>
          <w:lang w:eastAsia="en-US"/>
        </w:rPr>
        <w:t>Директива 95/46/EО</w:t>
      </w:r>
      <w:r w:rsidRPr="008B3C30">
        <w:rPr>
          <w:rFonts w:ascii="Times New Roman" w:eastAsia="Calibri" w:hAnsi="Times New Roman" w:cs="Times New Roman"/>
          <w:sz w:val="24"/>
          <w:szCs w:val="24"/>
          <w:lang w:eastAsia="en-US"/>
        </w:rPr>
        <w:t xml:space="preserve"> (Общ регламент относно защитата на данните). С регламента се определят правилата по отношение на защитата на физическите лица във връзка с обработването на лични данни, както и правилата по отношение на свободното движение на лични данни. Регламентът е задължителен за всички държави-членки на ЕС, включително и България и се прилага от 25 май 2018 г., като с него се предвижда създаването на Европейски комитет по защита на данните, който е орган на ЕС.</w:t>
      </w:r>
    </w:p>
    <w:p w:rsidR="00313D98" w:rsidRPr="008B3C30" w:rsidRDefault="00313D98" w:rsidP="00313D98">
      <w:pPr>
        <w:widowControl/>
        <w:autoSpaceDE/>
        <w:autoSpaceDN/>
        <w:adjustRightInd/>
        <w:ind w:firstLine="709"/>
        <w:jc w:val="both"/>
        <w:rPr>
          <w:rFonts w:ascii="Times New Roman" w:eastAsia="Calibri" w:hAnsi="Times New Roman" w:cs="Times New Roman"/>
          <w:sz w:val="24"/>
          <w:szCs w:val="24"/>
          <w:lang w:eastAsia="en-US"/>
        </w:rPr>
      </w:pPr>
      <w:r w:rsidRPr="008B3C30">
        <w:rPr>
          <w:rFonts w:ascii="Times New Roman" w:eastAsia="Calibri" w:hAnsi="Times New Roman" w:cs="Times New Roman"/>
          <w:sz w:val="24"/>
          <w:szCs w:val="24"/>
          <w:lang w:eastAsia="en-US"/>
        </w:rPr>
        <w:t>Регламентирането на този въпрос е мярка и за защитата на потребителите на небанкови финансови услуги. В противен случай съществува риск за събирането на лични данни за определени цели, които могат да доведат до застрашаване правата на потребителите. Наред с това, използването на личните данни следва да става чрез изричното съгласие на потребителите, като обработката на тези данни следва да се използва само за нуждите на използваните от тях небанкови финансови услуги.  Събирането и съхранението на личните данни се извършва при строг контрол и съблюдаване на правилата за тяхната защита. В тази връзка, информацията, която е представена от потребителя като поверителна</w:t>
      </w:r>
      <w:r w:rsidR="00B12318" w:rsidRPr="008B3C30">
        <w:rPr>
          <w:rFonts w:ascii="Times New Roman" w:eastAsia="Calibri" w:hAnsi="Times New Roman" w:cs="Times New Roman"/>
          <w:sz w:val="24"/>
          <w:szCs w:val="24"/>
          <w:lang w:eastAsia="en-US"/>
        </w:rPr>
        <w:t>,</w:t>
      </w:r>
      <w:r w:rsidRPr="008B3C30">
        <w:rPr>
          <w:rFonts w:ascii="Times New Roman" w:eastAsia="Calibri" w:hAnsi="Times New Roman" w:cs="Times New Roman"/>
          <w:sz w:val="24"/>
          <w:szCs w:val="24"/>
          <w:lang w:eastAsia="en-US"/>
        </w:rPr>
        <w:t xml:space="preserve"> следва да се третира като такава, като потребителите следва да бъдат уведомени за изрично установените в закона случаи кога и пред кого може да се разкрие такъв вид информация.</w:t>
      </w:r>
    </w:p>
    <w:p w:rsidR="00313D98" w:rsidRPr="008B3C30" w:rsidRDefault="00313D98" w:rsidP="00313D98">
      <w:pPr>
        <w:widowControl/>
        <w:autoSpaceDE/>
        <w:autoSpaceDN/>
        <w:adjustRightInd/>
        <w:ind w:firstLine="709"/>
        <w:jc w:val="both"/>
        <w:rPr>
          <w:rFonts w:ascii="Times New Roman" w:eastAsia="Calibri" w:hAnsi="Times New Roman" w:cs="Times New Roman"/>
          <w:sz w:val="24"/>
          <w:szCs w:val="24"/>
          <w:lang w:eastAsia="en-US"/>
        </w:rPr>
      </w:pPr>
    </w:p>
    <w:p w:rsidR="00313D98" w:rsidRPr="008B3C30" w:rsidRDefault="00313D98" w:rsidP="00313D98">
      <w:pPr>
        <w:widowControl/>
        <w:autoSpaceDE/>
        <w:autoSpaceDN/>
        <w:adjustRightInd/>
        <w:ind w:firstLine="709"/>
        <w:jc w:val="both"/>
        <w:rPr>
          <w:rFonts w:ascii="Times New Roman" w:eastAsia="Calibri" w:hAnsi="Times New Roman" w:cs="Times New Roman"/>
          <w:sz w:val="24"/>
          <w:szCs w:val="24"/>
          <w:lang w:eastAsia="en-US"/>
        </w:rPr>
      </w:pPr>
    </w:p>
    <w:p w:rsidR="00313D98" w:rsidRPr="008B3C30" w:rsidRDefault="00313D98" w:rsidP="00544152">
      <w:pPr>
        <w:widowControl/>
        <w:autoSpaceDE/>
        <w:autoSpaceDN/>
        <w:adjustRightInd/>
        <w:jc w:val="center"/>
        <w:rPr>
          <w:rFonts w:ascii="Times New Roman" w:eastAsia="Times New Roman" w:hAnsi="Times New Roman" w:cs="Times New Roman"/>
          <w:b/>
          <w:color w:val="000000"/>
          <w:sz w:val="24"/>
          <w:szCs w:val="24"/>
        </w:rPr>
      </w:pPr>
      <w:r w:rsidRPr="008B3C30">
        <w:rPr>
          <w:rFonts w:ascii="Times New Roman" w:eastAsia="Times New Roman" w:hAnsi="Times New Roman" w:cs="Times New Roman"/>
          <w:b/>
          <w:color w:val="000000"/>
          <w:sz w:val="24"/>
          <w:szCs w:val="24"/>
        </w:rPr>
        <w:t>Разглеждане на жалби на потребители от регулатора</w:t>
      </w:r>
    </w:p>
    <w:p w:rsidR="00313D98" w:rsidRPr="008B3C30" w:rsidRDefault="00313D98" w:rsidP="00313D98">
      <w:pPr>
        <w:widowControl/>
        <w:autoSpaceDE/>
        <w:autoSpaceDN/>
        <w:adjustRightInd/>
        <w:ind w:firstLine="709"/>
        <w:jc w:val="center"/>
        <w:rPr>
          <w:rFonts w:ascii="Times New Roman" w:eastAsia="Times New Roman" w:hAnsi="Times New Roman" w:cs="Times New Roman"/>
          <w:b/>
          <w:color w:val="000000"/>
          <w:sz w:val="24"/>
          <w:szCs w:val="24"/>
        </w:rPr>
      </w:pPr>
    </w:p>
    <w:p w:rsidR="00313D98" w:rsidRPr="008B3C30" w:rsidRDefault="00313D98" w:rsidP="00313D98">
      <w:pPr>
        <w:widowControl/>
        <w:autoSpaceDE/>
        <w:autoSpaceDN/>
        <w:adjustRightInd/>
        <w:ind w:firstLine="709"/>
        <w:jc w:val="both"/>
        <w:rPr>
          <w:rFonts w:ascii="Times New Roman" w:eastAsia="Times New Roman" w:hAnsi="Times New Roman" w:cs="Times New Roman"/>
          <w:color w:val="000000"/>
          <w:sz w:val="24"/>
          <w:szCs w:val="24"/>
        </w:rPr>
      </w:pPr>
      <w:r w:rsidRPr="008B3C30">
        <w:rPr>
          <w:rFonts w:ascii="Times New Roman" w:eastAsia="Times New Roman" w:hAnsi="Times New Roman" w:cs="Times New Roman"/>
          <w:color w:val="000000"/>
          <w:sz w:val="24"/>
          <w:szCs w:val="24"/>
        </w:rPr>
        <w:t>В КФН се извършва анализ на потребителските жалби и сигнали с цел адекватно разрешаване на проблемите, свързани с прилагането на законодателството, регулиращо дейността на небанковите финансови институции.</w:t>
      </w:r>
    </w:p>
    <w:p w:rsidR="00313D98" w:rsidRPr="008B3C30" w:rsidRDefault="00313D98" w:rsidP="00313D98">
      <w:pPr>
        <w:widowControl/>
        <w:autoSpaceDE/>
        <w:autoSpaceDN/>
        <w:adjustRightInd/>
        <w:ind w:firstLine="709"/>
        <w:jc w:val="both"/>
        <w:rPr>
          <w:rFonts w:ascii="Times New Roman" w:eastAsia="Times New Roman" w:hAnsi="Times New Roman" w:cs="Times New Roman"/>
          <w:sz w:val="24"/>
          <w:szCs w:val="24"/>
        </w:rPr>
      </w:pPr>
      <w:r w:rsidRPr="008B3C30">
        <w:rPr>
          <w:rFonts w:ascii="Times New Roman" w:eastAsia="Times New Roman" w:hAnsi="Times New Roman" w:cs="Times New Roman"/>
          <w:sz w:val="24"/>
          <w:szCs w:val="24"/>
        </w:rPr>
        <w:t>КФН като надзорен орган, с оглед осигуряване спазването на правата на потребителите, извършва проверки за спазването на нормативната уредба, включително във връзка с постъпили жалби срещу поднадзорни лица и лица, които предлагат услуги и продукти на финансовите пазари. В случай</w:t>
      </w:r>
      <w:r w:rsidR="000B18BC" w:rsidRPr="008B3C30">
        <w:rPr>
          <w:rFonts w:ascii="Times New Roman" w:eastAsia="Times New Roman" w:hAnsi="Times New Roman" w:cs="Times New Roman"/>
          <w:sz w:val="24"/>
          <w:szCs w:val="24"/>
        </w:rPr>
        <w:t>,</w:t>
      </w:r>
      <w:r w:rsidRPr="008B3C30">
        <w:rPr>
          <w:rFonts w:ascii="Times New Roman" w:eastAsia="Times New Roman" w:hAnsi="Times New Roman" w:cs="Times New Roman"/>
          <w:sz w:val="24"/>
          <w:szCs w:val="24"/>
        </w:rPr>
        <w:t xml:space="preserve"> че в хода на извършваните проверки бъдат установени административни нарушения, КФН образува </w:t>
      </w:r>
      <w:proofErr w:type="spellStart"/>
      <w:r w:rsidRPr="008B3C30">
        <w:rPr>
          <w:rFonts w:ascii="Times New Roman" w:eastAsia="Times New Roman" w:hAnsi="Times New Roman" w:cs="Times New Roman"/>
          <w:sz w:val="24"/>
          <w:szCs w:val="24"/>
        </w:rPr>
        <w:t>административнонаказателни</w:t>
      </w:r>
      <w:proofErr w:type="spellEnd"/>
      <w:r w:rsidRPr="008B3C30">
        <w:rPr>
          <w:rFonts w:ascii="Times New Roman" w:eastAsia="Times New Roman" w:hAnsi="Times New Roman" w:cs="Times New Roman"/>
          <w:sz w:val="24"/>
          <w:szCs w:val="24"/>
        </w:rPr>
        <w:t xml:space="preserve"> </w:t>
      </w:r>
      <w:r w:rsidRPr="008B3C30">
        <w:rPr>
          <w:rFonts w:ascii="Times New Roman" w:eastAsia="Times New Roman" w:hAnsi="Times New Roman" w:cs="Times New Roman"/>
          <w:sz w:val="24"/>
          <w:szCs w:val="24"/>
        </w:rPr>
        <w:lastRenderedPageBreak/>
        <w:t>производства, въз основа на които налага административни наказания, сезира правоохранителните органи.</w:t>
      </w:r>
    </w:p>
    <w:p w:rsidR="00313D98" w:rsidRPr="008B3C30" w:rsidRDefault="00313D98" w:rsidP="00313D98">
      <w:pPr>
        <w:widowControl/>
        <w:autoSpaceDE/>
        <w:autoSpaceDN/>
        <w:adjustRightInd/>
        <w:ind w:firstLine="709"/>
        <w:jc w:val="both"/>
        <w:rPr>
          <w:rFonts w:ascii="Times New Roman" w:eastAsia="Times New Roman" w:hAnsi="Times New Roman" w:cs="Times New Roman"/>
          <w:color w:val="000000"/>
          <w:sz w:val="24"/>
          <w:szCs w:val="24"/>
        </w:rPr>
      </w:pPr>
    </w:p>
    <w:p w:rsidR="00313D98" w:rsidRDefault="00313D98" w:rsidP="00313D98">
      <w:pPr>
        <w:shd w:val="clear" w:color="auto" w:fill="FFFFFF"/>
        <w:jc w:val="center"/>
        <w:rPr>
          <w:rFonts w:ascii="Times New Roman" w:hAnsi="Times New Roman" w:cs="Times New Roman"/>
          <w:b/>
          <w:color w:val="000000"/>
          <w:spacing w:val="6"/>
          <w:sz w:val="24"/>
          <w:szCs w:val="24"/>
        </w:rPr>
      </w:pPr>
    </w:p>
    <w:p w:rsidR="00313D98" w:rsidRPr="008B3C30" w:rsidRDefault="00313D98" w:rsidP="00313D98">
      <w:pPr>
        <w:shd w:val="clear" w:color="auto" w:fill="FFFFFF"/>
        <w:jc w:val="center"/>
        <w:rPr>
          <w:rFonts w:ascii="Times New Roman" w:hAnsi="Times New Roman" w:cs="Times New Roman"/>
          <w:b/>
          <w:color w:val="000000"/>
          <w:spacing w:val="6"/>
          <w:sz w:val="24"/>
          <w:szCs w:val="24"/>
        </w:rPr>
      </w:pPr>
      <w:r w:rsidRPr="008B3C30">
        <w:rPr>
          <w:rFonts w:ascii="Times New Roman" w:hAnsi="Times New Roman" w:cs="Times New Roman"/>
          <w:b/>
          <w:color w:val="000000"/>
          <w:spacing w:val="6"/>
          <w:sz w:val="24"/>
          <w:szCs w:val="24"/>
        </w:rPr>
        <w:t>Европейски законодателни инициативи</w:t>
      </w:r>
    </w:p>
    <w:p w:rsidR="00313D98" w:rsidRPr="008B3C30" w:rsidRDefault="00313D98" w:rsidP="00313D98">
      <w:pPr>
        <w:shd w:val="clear" w:color="auto" w:fill="FFFFFF"/>
        <w:jc w:val="center"/>
        <w:rPr>
          <w:rFonts w:ascii="Times New Roman" w:hAnsi="Times New Roman" w:cs="Times New Roman"/>
          <w:b/>
          <w:color w:val="000000"/>
          <w:spacing w:val="-1"/>
          <w:sz w:val="24"/>
          <w:szCs w:val="24"/>
        </w:rPr>
      </w:pPr>
    </w:p>
    <w:p w:rsidR="00313D98" w:rsidRPr="008B3C30" w:rsidRDefault="00313D98" w:rsidP="00313D98">
      <w:pPr>
        <w:widowControl/>
        <w:autoSpaceDE/>
        <w:autoSpaceDN/>
        <w:adjustRightInd/>
        <w:ind w:firstLine="708"/>
        <w:jc w:val="both"/>
        <w:rPr>
          <w:rFonts w:ascii="Times New Roman" w:eastAsia="Calibri" w:hAnsi="Times New Roman" w:cs="Times New Roman"/>
          <w:sz w:val="24"/>
          <w:szCs w:val="24"/>
          <w:lang w:eastAsia="en-US"/>
        </w:rPr>
      </w:pPr>
      <w:r w:rsidRPr="008B3C30">
        <w:rPr>
          <w:rFonts w:ascii="Times New Roman" w:eastAsia="Calibri" w:hAnsi="Times New Roman" w:cs="Times New Roman"/>
          <w:sz w:val="24"/>
          <w:szCs w:val="24"/>
          <w:lang w:eastAsia="en-US"/>
        </w:rPr>
        <w:t>Основно направление при предстоящите дейности в областта на защита</w:t>
      </w:r>
      <w:r w:rsidR="000B18BC" w:rsidRPr="008B3C30">
        <w:rPr>
          <w:rFonts w:ascii="Times New Roman" w:eastAsia="Calibri" w:hAnsi="Times New Roman" w:cs="Times New Roman"/>
          <w:sz w:val="24"/>
          <w:szCs w:val="24"/>
          <w:lang w:eastAsia="en-US"/>
        </w:rPr>
        <w:t>та</w:t>
      </w:r>
      <w:r w:rsidRPr="008B3C30">
        <w:rPr>
          <w:rFonts w:ascii="Times New Roman" w:eastAsia="Calibri" w:hAnsi="Times New Roman" w:cs="Times New Roman"/>
          <w:sz w:val="24"/>
          <w:szCs w:val="24"/>
          <w:lang w:eastAsia="en-US"/>
        </w:rPr>
        <w:t xml:space="preserve"> на потребителите на услуги в сектора на допълнителното пенсионно осигуряване, които  произтичат от развитието на европейското законодателство, регламентиращо общностния пазар на пенсионни продукти, е въвеждането в надзорната практика на КФН на принципите, средствата и инструментите за защита на потребителите, които ще бъдат конституирани с влизането в сила на Регламент</w:t>
      </w:r>
      <w:r w:rsidR="000B18BC" w:rsidRPr="008B3C30">
        <w:rPr>
          <w:rFonts w:ascii="Times New Roman" w:eastAsia="Calibri" w:hAnsi="Times New Roman" w:cs="Times New Roman"/>
          <w:sz w:val="24"/>
          <w:szCs w:val="24"/>
          <w:lang w:eastAsia="en-US"/>
        </w:rPr>
        <w:t>а</w:t>
      </w:r>
      <w:r w:rsidRPr="008B3C30">
        <w:rPr>
          <w:rFonts w:ascii="Times New Roman" w:eastAsia="Calibri" w:hAnsi="Times New Roman" w:cs="Times New Roman"/>
          <w:sz w:val="24"/>
          <w:szCs w:val="24"/>
          <w:lang w:eastAsia="en-US"/>
        </w:rPr>
        <w:t xml:space="preserve"> за създаване на Пан-европейски пенсионен продукт (PEPP).</w:t>
      </w:r>
    </w:p>
    <w:p w:rsidR="00313D98" w:rsidRPr="008B3C30" w:rsidRDefault="00313D98" w:rsidP="00313D98">
      <w:pPr>
        <w:widowControl/>
        <w:autoSpaceDE/>
        <w:autoSpaceDN/>
        <w:adjustRightInd/>
        <w:ind w:firstLine="708"/>
        <w:jc w:val="both"/>
        <w:rPr>
          <w:rFonts w:ascii="Times New Roman" w:eastAsia="Calibri" w:hAnsi="Times New Roman" w:cs="Times New Roman"/>
          <w:sz w:val="24"/>
          <w:szCs w:val="24"/>
          <w:lang w:eastAsia="en-US"/>
        </w:rPr>
      </w:pPr>
      <w:r w:rsidRPr="008B3C30">
        <w:rPr>
          <w:rFonts w:ascii="Times New Roman" w:eastAsia="Calibri" w:hAnsi="Times New Roman" w:cs="Times New Roman"/>
          <w:sz w:val="24"/>
          <w:szCs w:val="24"/>
          <w:lang w:eastAsia="en-US"/>
        </w:rPr>
        <w:t>Бъдещите ангажименти на националните надзорни органи във връзка с</w:t>
      </w:r>
      <w:r w:rsidR="000B18BC" w:rsidRPr="008B3C30">
        <w:rPr>
          <w:rFonts w:ascii="Times New Roman" w:eastAsia="Calibri" w:hAnsi="Times New Roman" w:cs="Times New Roman"/>
          <w:sz w:val="24"/>
          <w:szCs w:val="24"/>
          <w:lang w:eastAsia="en-US"/>
        </w:rPr>
        <w:t>ъс</w:t>
      </w:r>
      <w:r w:rsidRPr="008B3C30">
        <w:rPr>
          <w:rFonts w:ascii="Times New Roman" w:eastAsia="Calibri" w:hAnsi="Times New Roman" w:cs="Times New Roman"/>
          <w:sz w:val="24"/>
          <w:szCs w:val="24"/>
          <w:lang w:eastAsia="en-US"/>
        </w:rPr>
        <w:t xml:space="preserve"> защита на потребителите на PEPP ще произтичат от текстовете на Глава IV „Изисквания за разпространение и информиране“. Въпреки, че съдържанието на тази глава от предложението за Регламент за създаване на PEPP не е окончателно установено и все още се водят дискусии относно някои елементи на модела за дистрибуцията на PEPP и информационното осигуряване на неговите потребители, могат да бъдат извлечени основните елементи на базисната концепция на модела за защита на потребителите на PEPP, които се свеждат до:</w:t>
      </w:r>
    </w:p>
    <w:p w:rsidR="00313D98" w:rsidRPr="008B3C30" w:rsidRDefault="00313D98" w:rsidP="00313D98">
      <w:pPr>
        <w:widowControl/>
        <w:autoSpaceDE/>
        <w:autoSpaceDN/>
        <w:adjustRightInd/>
        <w:ind w:firstLine="708"/>
        <w:jc w:val="both"/>
        <w:rPr>
          <w:rFonts w:ascii="Times New Roman" w:eastAsia="Calibri" w:hAnsi="Times New Roman" w:cs="Times New Roman"/>
          <w:sz w:val="24"/>
          <w:szCs w:val="24"/>
          <w:lang w:eastAsia="en-US"/>
        </w:rPr>
      </w:pPr>
      <w:r w:rsidRPr="008B3C30">
        <w:rPr>
          <w:rFonts w:ascii="Times New Roman" w:eastAsia="Calibri" w:hAnsi="Times New Roman" w:cs="Times New Roman"/>
          <w:b/>
          <w:bCs/>
          <w:sz w:val="24"/>
          <w:szCs w:val="24"/>
          <w:lang w:eastAsia="en-US"/>
        </w:rPr>
        <w:t>Предоставяне на информация преди сключването на договор за PEPP</w:t>
      </w:r>
      <w:r w:rsidRPr="008B3C30">
        <w:rPr>
          <w:rFonts w:ascii="Times New Roman" w:eastAsia="Calibri" w:hAnsi="Times New Roman" w:cs="Times New Roman"/>
          <w:sz w:val="24"/>
          <w:szCs w:val="24"/>
          <w:lang w:eastAsia="en-US"/>
        </w:rPr>
        <w:t xml:space="preserve">: Подробностите относно данните, които трябва да се включат в основния информационен документ за PEPP, в допълнение към елементите, които вече са предвидени в основния информационен документ за пакети с инвестиционни продукти на дребно и основаващи се на застраховане инвестиционни продукти съгласно </w:t>
      </w:r>
      <w:r w:rsidRPr="008B3C30">
        <w:rPr>
          <w:rFonts w:ascii="Times New Roman" w:eastAsia="Calibri" w:hAnsi="Times New Roman" w:cs="Times New Roman"/>
          <w:b/>
          <w:sz w:val="24"/>
          <w:szCs w:val="24"/>
          <w:lang w:eastAsia="en-US"/>
        </w:rPr>
        <w:t>Регламент (ЕС) № 1286/2014</w:t>
      </w:r>
      <w:r w:rsidRPr="008B3C30">
        <w:rPr>
          <w:rFonts w:ascii="Times New Roman" w:eastAsia="Calibri" w:hAnsi="Times New Roman" w:cs="Times New Roman"/>
          <w:sz w:val="24"/>
          <w:szCs w:val="24"/>
          <w:lang w:eastAsia="en-US"/>
        </w:rPr>
        <w:t>, както и представянето на тези данни, следва да се хармонизират допълнително чрез регулаторни технически стандарти, които допълват регулаторните технически стандарти, определени с Делегирания регламент на Комисията от 8 март 2017 г., като се вземат предвид резултатите от редица проучвания на потребителското поведение, включително резултати от изпитвания на ефективността на различните начини на представяне на информацията пред потребителите.</w:t>
      </w:r>
    </w:p>
    <w:p w:rsidR="00313D98" w:rsidRPr="008B3C30" w:rsidRDefault="00313D98" w:rsidP="00313D98">
      <w:pPr>
        <w:widowControl/>
        <w:autoSpaceDE/>
        <w:autoSpaceDN/>
        <w:adjustRightInd/>
        <w:ind w:firstLine="709"/>
        <w:jc w:val="both"/>
        <w:rPr>
          <w:rFonts w:ascii="Times New Roman" w:eastAsia="Calibri" w:hAnsi="Times New Roman" w:cs="Times New Roman"/>
          <w:sz w:val="24"/>
          <w:szCs w:val="24"/>
          <w:lang w:eastAsia="en-US"/>
        </w:rPr>
      </w:pPr>
      <w:r w:rsidRPr="008B3C30">
        <w:rPr>
          <w:rFonts w:ascii="Times New Roman" w:eastAsia="Calibri" w:hAnsi="Times New Roman" w:cs="Times New Roman"/>
          <w:b/>
          <w:bCs/>
          <w:sz w:val="24"/>
          <w:szCs w:val="24"/>
          <w:lang w:eastAsia="en-US"/>
        </w:rPr>
        <w:t>Предоставяне на информация по време на договора:</w:t>
      </w:r>
      <w:r w:rsidRPr="008B3C30">
        <w:rPr>
          <w:rFonts w:ascii="Times New Roman" w:eastAsia="Calibri" w:hAnsi="Times New Roman" w:cs="Times New Roman"/>
          <w:sz w:val="24"/>
          <w:szCs w:val="24"/>
          <w:lang w:eastAsia="en-US"/>
        </w:rPr>
        <w:t xml:space="preserve"> Доставчикът трябва да изготви „извлечение от индивидуалната партида за ОЕПЛПО“ по отношение на предоставената информация в рамките на времетраенето на договора за ОЕПЛПО. Това включва информация относно: а) натрупаните права или събрания капитал; б) пълните или частичните гаранции съгласно схемата за ОЕПЛПО; както и в) ако е приложимо, естеството на гаранцията и на механизмите за защита на натрупаните индивидуални права.</w:t>
      </w:r>
    </w:p>
    <w:p w:rsidR="00313D98" w:rsidRPr="008B3C30" w:rsidRDefault="00313D98" w:rsidP="00313D98">
      <w:pPr>
        <w:widowControl/>
        <w:autoSpaceDE/>
        <w:autoSpaceDN/>
        <w:adjustRightInd/>
        <w:ind w:firstLine="709"/>
        <w:jc w:val="both"/>
        <w:rPr>
          <w:rFonts w:ascii="Times New Roman" w:eastAsia="Calibri" w:hAnsi="Times New Roman" w:cs="Times New Roman"/>
          <w:sz w:val="24"/>
          <w:szCs w:val="24"/>
          <w:lang w:eastAsia="en-US"/>
        </w:rPr>
      </w:pPr>
      <w:r w:rsidRPr="008B3C30">
        <w:rPr>
          <w:rFonts w:ascii="Times New Roman" w:eastAsia="Calibri" w:hAnsi="Times New Roman" w:cs="Times New Roman"/>
          <w:b/>
          <w:bCs/>
          <w:sz w:val="24"/>
          <w:szCs w:val="24"/>
          <w:lang w:eastAsia="en-US"/>
        </w:rPr>
        <w:t>Подаване на жалби:</w:t>
      </w:r>
      <w:r w:rsidRPr="008B3C30">
        <w:rPr>
          <w:rFonts w:ascii="Times New Roman" w:eastAsia="Calibri" w:hAnsi="Times New Roman" w:cs="Times New Roman"/>
          <w:sz w:val="24"/>
          <w:szCs w:val="24"/>
          <w:lang w:eastAsia="en-US"/>
        </w:rPr>
        <w:t xml:space="preserve"> Съгласно предложения регламент</w:t>
      </w:r>
      <w:r w:rsidR="00FB490F" w:rsidRPr="008B3C30">
        <w:rPr>
          <w:rFonts w:ascii="Times New Roman" w:eastAsia="Calibri" w:hAnsi="Times New Roman" w:cs="Times New Roman"/>
          <w:sz w:val="24"/>
          <w:szCs w:val="24"/>
          <w:lang w:eastAsia="en-US"/>
        </w:rPr>
        <w:t>,</w:t>
      </w:r>
      <w:r w:rsidRPr="008B3C30">
        <w:rPr>
          <w:rFonts w:ascii="Times New Roman" w:eastAsia="Calibri" w:hAnsi="Times New Roman" w:cs="Times New Roman"/>
          <w:sz w:val="24"/>
          <w:szCs w:val="24"/>
          <w:lang w:eastAsia="en-US"/>
        </w:rPr>
        <w:t xml:space="preserve"> ще бъдат установени процедури, които позволяват на потребителите и други заинтересовани страни, по-специално на потребителски асоциации, да подават жалби до компетентните органи срещу доставчици и разпространители на PEPP. Жалбоподателите трябва да получават отговор във всички случаи. Освен това трябва да бъдат въведени подходящи механизми за безпристрастни и независими извънсъдебни процедури за подаване на жалби и решаване на спорове, насочени към уреждането на спорове между вложители в PEPP и доставчици или разпространители на PEPP.</w:t>
      </w:r>
    </w:p>
    <w:p w:rsidR="00313D98" w:rsidRPr="008B3C30" w:rsidRDefault="00313D98" w:rsidP="00313D98">
      <w:pPr>
        <w:shd w:val="clear" w:color="auto" w:fill="FFFFFF"/>
        <w:rPr>
          <w:rFonts w:ascii="Times New Roman" w:hAnsi="Times New Roman" w:cs="Times New Roman"/>
          <w:b/>
          <w:color w:val="000000"/>
          <w:spacing w:val="-1"/>
          <w:sz w:val="28"/>
          <w:szCs w:val="28"/>
        </w:rPr>
      </w:pPr>
    </w:p>
    <w:p w:rsidR="00313D98" w:rsidRPr="008B3C30" w:rsidRDefault="00313D98" w:rsidP="00313D98">
      <w:pPr>
        <w:shd w:val="clear" w:color="auto" w:fill="FFFFFF"/>
        <w:rPr>
          <w:rFonts w:ascii="Times New Roman" w:hAnsi="Times New Roman" w:cs="Times New Roman"/>
          <w:color w:val="000000"/>
          <w:spacing w:val="-1"/>
          <w:sz w:val="24"/>
          <w:szCs w:val="24"/>
        </w:rPr>
      </w:pPr>
    </w:p>
    <w:p w:rsidR="00313D98" w:rsidRPr="008B3C30" w:rsidRDefault="00313D98" w:rsidP="00313D98">
      <w:pPr>
        <w:shd w:val="clear" w:color="auto" w:fill="FFFFFF"/>
        <w:rPr>
          <w:rFonts w:ascii="Times New Roman" w:hAnsi="Times New Roman" w:cs="Times New Roman"/>
          <w:b/>
          <w:bCs/>
          <w:color w:val="000000"/>
          <w:spacing w:val="1"/>
          <w:sz w:val="24"/>
          <w:szCs w:val="24"/>
        </w:rPr>
      </w:pPr>
    </w:p>
    <w:p w:rsidR="00313D98" w:rsidRPr="008B3C30" w:rsidRDefault="00313D98" w:rsidP="00544152">
      <w:pPr>
        <w:shd w:val="clear" w:color="auto" w:fill="FFFFFF"/>
        <w:jc w:val="center"/>
        <w:rPr>
          <w:rFonts w:ascii="Times New Roman" w:hAnsi="Times New Roman" w:cs="Times New Roman"/>
          <w:b/>
          <w:bCs/>
          <w:color w:val="000000"/>
          <w:sz w:val="24"/>
          <w:szCs w:val="24"/>
        </w:rPr>
      </w:pPr>
      <w:r w:rsidRPr="008B3C30">
        <w:rPr>
          <w:rFonts w:ascii="Times New Roman" w:hAnsi="Times New Roman" w:cs="Times New Roman"/>
          <w:b/>
          <w:bCs/>
          <w:color w:val="000000"/>
          <w:spacing w:val="1"/>
          <w:sz w:val="24"/>
          <w:szCs w:val="24"/>
        </w:rPr>
        <w:lastRenderedPageBreak/>
        <w:t xml:space="preserve">III.   ФИНАНСОВА ГРАМОТНОСТ </w:t>
      </w:r>
      <w:r w:rsidR="00B46DBE" w:rsidRPr="008B3C30">
        <w:rPr>
          <w:rFonts w:ascii="Times New Roman" w:hAnsi="Times New Roman" w:cs="Times New Roman"/>
        </w:rPr>
        <w:t>–</w:t>
      </w:r>
      <w:r w:rsidRPr="008B3C30">
        <w:rPr>
          <w:rFonts w:ascii="Times New Roman" w:hAnsi="Times New Roman" w:cs="Times New Roman"/>
          <w:b/>
          <w:bCs/>
          <w:color w:val="000000"/>
          <w:spacing w:val="1"/>
          <w:sz w:val="24"/>
          <w:szCs w:val="24"/>
        </w:rPr>
        <w:t xml:space="preserve"> СЪЩЕСТВЕНО УСЛОВИЕ ЗА</w:t>
      </w:r>
      <w:r w:rsidR="00544152">
        <w:rPr>
          <w:rFonts w:ascii="Times New Roman" w:hAnsi="Times New Roman" w:cs="Times New Roman"/>
          <w:b/>
          <w:bCs/>
          <w:color w:val="000000"/>
          <w:spacing w:val="1"/>
          <w:sz w:val="24"/>
          <w:szCs w:val="24"/>
        </w:rPr>
        <w:t xml:space="preserve"> </w:t>
      </w:r>
      <w:r w:rsidRPr="008B3C30">
        <w:rPr>
          <w:rFonts w:ascii="Times New Roman" w:hAnsi="Times New Roman" w:cs="Times New Roman"/>
          <w:b/>
          <w:bCs/>
          <w:color w:val="000000"/>
          <w:sz w:val="24"/>
          <w:szCs w:val="24"/>
        </w:rPr>
        <w:t>ПОВИШАВАНЕ НИВОТО НА ЕФЕКТИВНА ЗАЩИТА НА ПОТРЕБИТЕЛЯ</w:t>
      </w:r>
    </w:p>
    <w:p w:rsidR="00313D98" w:rsidRPr="008B3C30" w:rsidRDefault="00313D98" w:rsidP="00313D98">
      <w:pPr>
        <w:shd w:val="clear" w:color="auto" w:fill="FFFFFF"/>
        <w:ind w:left="427"/>
        <w:rPr>
          <w:rFonts w:ascii="Times New Roman" w:hAnsi="Times New Roman" w:cs="Times New Roman"/>
        </w:rPr>
      </w:pPr>
    </w:p>
    <w:p w:rsidR="00313D98" w:rsidRPr="008B3C30" w:rsidRDefault="00313D98" w:rsidP="00313D98">
      <w:pPr>
        <w:shd w:val="clear" w:color="auto" w:fill="FFFFFF"/>
        <w:spacing w:line="274" w:lineRule="exact"/>
        <w:ind w:right="5" w:firstLine="708"/>
        <w:jc w:val="both"/>
        <w:rPr>
          <w:rFonts w:ascii="Times New Roman" w:hAnsi="Times New Roman" w:cs="Times New Roman"/>
          <w:sz w:val="24"/>
          <w:szCs w:val="24"/>
        </w:rPr>
      </w:pPr>
      <w:r w:rsidRPr="008B3C30">
        <w:rPr>
          <w:rFonts w:ascii="Times New Roman" w:hAnsi="Times New Roman" w:cs="Times New Roman"/>
          <w:sz w:val="24"/>
          <w:szCs w:val="24"/>
        </w:rPr>
        <w:t xml:space="preserve">Друго направление на действията на КФН за защита на потребителите </w:t>
      </w:r>
      <w:r w:rsidR="00B46DBE" w:rsidRPr="008B3C30">
        <w:rPr>
          <w:rFonts w:ascii="Times New Roman" w:hAnsi="Times New Roman" w:cs="Times New Roman"/>
          <w:sz w:val="24"/>
          <w:szCs w:val="24"/>
        </w:rPr>
        <w:t xml:space="preserve">е </w:t>
      </w:r>
      <w:r w:rsidRPr="008B3C30">
        <w:rPr>
          <w:rFonts w:ascii="Times New Roman" w:hAnsi="Times New Roman" w:cs="Times New Roman"/>
          <w:sz w:val="24"/>
          <w:szCs w:val="24"/>
        </w:rPr>
        <w:t>свързан</w:t>
      </w:r>
      <w:r w:rsidR="00B46DBE" w:rsidRPr="008B3C30">
        <w:rPr>
          <w:rFonts w:ascii="Times New Roman" w:hAnsi="Times New Roman" w:cs="Times New Roman"/>
          <w:sz w:val="24"/>
          <w:szCs w:val="24"/>
        </w:rPr>
        <w:t>о</w:t>
      </w:r>
      <w:r w:rsidRPr="008B3C30">
        <w:rPr>
          <w:rFonts w:ascii="Times New Roman" w:hAnsi="Times New Roman" w:cs="Times New Roman"/>
          <w:sz w:val="24"/>
          <w:szCs w:val="24"/>
        </w:rPr>
        <w:t xml:space="preserve"> предимно с повишаване на финансовата грамотност и култура на потребителите на услуги, предлагани на инвестиционния, осигурителния и застрахователн</w:t>
      </w:r>
      <w:r w:rsidR="00B46DBE" w:rsidRPr="008B3C30">
        <w:rPr>
          <w:rFonts w:ascii="Times New Roman" w:hAnsi="Times New Roman" w:cs="Times New Roman"/>
          <w:sz w:val="24"/>
          <w:szCs w:val="24"/>
        </w:rPr>
        <w:t>ия</w:t>
      </w:r>
      <w:r w:rsidRPr="008B3C30">
        <w:rPr>
          <w:rFonts w:ascii="Times New Roman" w:hAnsi="Times New Roman" w:cs="Times New Roman"/>
          <w:sz w:val="24"/>
          <w:szCs w:val="24"/>
        </w:rPr>
        <w:t xml:space="preserve"> пазар чрез предоставяне на информация и обучение на широк кръг от потребители.</w:t>
      </w:r>
    </w:p>
    <w:p w:rsidR="00313D98" w:rsidRPr="008B3C30" w:rsidRDefault="00313D98" w:rsidP="00B454F4">
      <w:pPr>
        <w:widowControl/>
        <w:autoSpaceDE/>
        <w:autoSpaceDN/>
        <w:adjustRightInd/>
        <w:ind w:firstLine="709"/>
        <w:jc w:val="both"/>
        <w:rPr>
          <w:rFonts w:ascii="Times New Roman" w:eastAsia="Calibri" w:hAnsi="Times New Roman" w:cs="Times New Roman"/>
          <w:sz w:val="24"/>
          <w:szCs w:val="24"/>
          <w:lang w:eastAsia="en-US"/>
        </w:rPr>
      </w:pPr>
      <w:r w:rsidRPr="008B3C30">
        <w:rPr>
          <w:rFonts w:ascii="Times New Roman" w:eastAsia="Calibri" w:hAnsi="Times New Roman" w:cs="Times New Roman"/>
          <w:sz w:val="24"/>
          <w:szCs w:val="24"/>
          <w:lang w:eastAsia="en-US"/>
        </w:rPr>
        <w:t>Финансовата грамотност представлява процес, чрез който едно лице или група лица подобряват познанията си относно финансовите продукти чрез предоставената им информация, инструкции, съвети и умения. По този начин тези лица имат обективната възможност да преценят по-добре предприетите от тях финансови рискове, да вземат най-добрия избор, базиран на събраната информация, да предприемат мерки за повишаване на собственото си финансово благосъстояние, както и да знаят към кого да се обърнат за помощ във връзка с консултация и/или защита на техните права.</w:t>
      </w:r>
    </w:p>
    <w:p w:rsidR="00313D98" w:rsidRPr="008B3C30" w:rsidRDefault="00313D98" w:rsidP="008212B7">
      <w:pPr>
        <w:pStyle w:val="BodyText"/>
        <w:shd w:val="clear" w:color="auto" w:fill="auto"/>
        <w:tabs>
          <w:tab w:val="left" w:pos="709"/>
        </w:tabs>
        <w:ind w:firstLine="0"/>
        <w:rPr>
          <w:rFonts w:cs="Times New Roman"/>
          <w:b/>
          <w:sz w:val="24"/>
          <w:szCs w:val="24"/>
        </w:rPr>
      </w:pPr>
      <w:r w:rsidRPr="008B3C30">
        <w:rPr>
          <w:rFonts w:cs="Times New Roman"/>
          <w:sz w:val="24"/>
          <w:szCs w:val="24"/>
        </w:rPr>
        <w:tab/>
        <w:t xml:space="preserve">Финансовата грамотност помага на потребителите да разберат по-добре предоставената публична информация и да направят съпоставяне </w:t>
      </w:r>
      <w:r w:rsidR="00B454F4" w:rsidRPr="008B3C30">
        <w:rPr>
          <w:rFonts w:cs="Times New Roman"/>
          <w:sz w:val="24"/>
          <w:szCs w:val="24"/>
        </w:rPr>
        <w:t xml:space="preserve">между продуктите и услугите с цел </w:t>
      </w:r>
      <w:r w:rsidRPr="008B3C30">
        <w:rPr>
          <w:rFonts w:cs="Times New Roman"/>
          <w:sz w:val="24"/>
          <w:szCs w:val="24"/>
        </w:rPr>
        <w:t>на</w:t>
      </w:r>
      <w:r w:rsidR="00B454F4" w:rsidRPr="008B3C30">
        <w:rPr>
          <w:rFonts w:cs="Times New Roman"/>
          <w:sz w:val="24"/>
          <w:szCs w:val="24"/>
        </w:rPr>
        <w:t>маляване на</w:t>
      </w:r>
      <w:r w:rsidRPr="008B3C30">
        <w:rPr>
          <w:rFonts w:cs="Times New Roman"/>
          <w:sz w:val="24"/>
          <w:szCs w:val="24"/>
        </w:rPr>
        <w:t xml:space="preserve"> риска </w:t>
      </w:r>
      <w:r w:rsidR="00B454F4" w:rsidRPr="008B3C30">
        <w:rPr>
          <w:rFonts w:cs="Times New Roman"/>
          <w:sz w:val="24"/>
          <w:szCs w:val="24"/>
        </w:rPr>
        <w:t xml:space="preserve">от некачествен продукт или услуга. </w:t>
      </w:r>
      <w:r w:rsidRPr="008B3C30">
        <w:rPr>
          <w:rFonts w:cs="Times New Roman"/>
          <w:sz w:val="24"/>
          <w:szCs w:val="24"/>
        </w:rPr>
        <w:t>Потребителите, които разполагат с информация за финансовите продукти и услуги</w:t>
      </w:r>
      <w:r w:rsidR="00B454F4" w:rsidRPr="008B3C30">
        <w:rPr>
          <w:rFonts w:cs="Times New Roman"/>
          <w:sz w:val="24"/>
          <w:szCs w:val="24"/>
        </w:rPr>
        <w:t xml:space="preserve">, </w:t>
      </w:r>
      <w:r w:rsidRPr="008B3C30">
        <w:rPr>
          <w:rFonts w:cs="Times New Roman"/>
          <w:sz w:val="24"/>
          <w:szCs w:val="24"/>
        </w:rPr>
        <w:t xml:space="preserve">са важен фактор </w:t>
      </w:r>
      <w:r w:rsidR="009A0F67" w:rsidRPr="008B3C30">
        <w:rPr>
          <w:rFonts w:cs="Times New Roman"/>
          <w:sz w:val="24"/>
          <w:szCs w:val="24"/>
        </w:rPr>
        <w:t>з</w:t>
      </w:r>
      <w:r w:rsidRPr="008B3C30">
        <w:rPr>
          <w:rFonts w:cs="Times New Roman"/>
          <w:sz w:val="24"/>
          <w:szCs w:val="24"/>
        </w:rPr>
        <w:t>а пазарна дисциплина за финансовия сектор, който насърчава поднадзорните на КФН лица да се конкурират чрез предлагане на по-добри продукти и услуги, на по-добро качеств</w:t>
      </w:r>
      <w:r w:rsidR="00B454F4" w:rsidRPr="008B3C30">
        <w:rPr>
          <w:rFonts w:cs="Times New Roman"/>
          <w:sz w:val="24"/>
          <w:szCs w:val="24"/>
        </w:rPr>
        <w:t>ен</w:t>
      </w:r>
      <w:r w:rsidRPr="008B3C30">
        <w:rPr>
          <w:rFonts w:cs="Times New Roman"/>
          <w:sz w:val="24"/>
          <w:szCs w:val="24"/>
        </w:rPr>
        <w:t xml:space="preserve">о </w:t>
      </w:r>
      <w:r w:rsidR="00B454F4" w:rsidRPr="008B3C30">
        <w:rPr>
          <w:rFonts w:cs="Times New Roman"/>
          <w:sz w:val="24"/>
          <w:szCs w:val="24"/>
        </w:rPr>
        <w:t xml:space="preserve">ниво </w:t>
      </w:r>
      <w:r w:rsidRPr="008B3C30">
        <w:rPr>
          <w:rFonts w:cs="Times New Roman"/>
          <w:sz w:val="24"/>
          <w:szCs w:val="24"/>
        </w:rPr>
        <w:t>, както и да предоставят достатъчно информация за тях.</w:t>
      </w:r>
    </w:p>
    <w:p w:rsidR="00313D98" w:rsidRPr="008B3C30" w:rsidRDefault="00313D98" w:rsidP="00313D98">
      <w:pPr>
        <w:pStyle w:val="BodyText"/>
        <w:tabs>
          <w:tab w:val="center" w:pos="426"/>
        </w:tabs>
        <w:ind w:firstLine="0"/>
        <w:rPr>
          <w:rFonts w:cs="Times New Roman"/>
          <w:b/>
          <w:sz w:val="24"/>
          <w:szCs w:val="24"/>
        </w:rPr>
      </w:pPr>
      <w:r w:rsidRPr="008B3C30">
        <w:rPr>
          <w:rFonts w:cs="Times New Roman"/>
          <w:sz w:val="24"/>
          <w:szCs w:val="24"/>
        </w:rPr>
        <w:tab/>
      </w:r>
      <w:r w:rsidRPr="008B3C30">
        <w:rPr>
          <w:rFonts w:cs="Times New Roman"/>
          <w:sz w:val="24"/>
          <w:szCs w:val="24"/>
        </w:rPr>
        <w:tab/>
        <w:t>Един от съществените проблеми, констатирани при обработката на жалбите</w:t>
      </w:r>
      <w:r w:rsidR="009A0F67" w:rsidRPr="008B3C30">
        <w:rPr>
          <w:rFonts w:cs="Times New Roman"/>
          <w:sz w:val="24"/>
          <w:szCs w:val="24"/>
        </w:rPr>
        <w:t>,</w:t>
      </w:r>
      <w:r w:rsidRPr="008B3C30">
        <w:rPr>
          <w:rFonts w:cs="Times New Roman"/>
          <w:sz w:val="24"/>
          <w:szCs w:val="24"/>
        </w:rPr>
        <w:t xml:space="preserve"> е недостатъчната финансова грамотност и познания на потребителите на финансови продукти и услуги. Слабата финансова грамотност излага потребителите на необосновано висок риск, свързан с покупката на финансови продукти и услуги, както и често ги прави потърпевши на нечестни или некоректни практики</w:t>
      </w:r>
      <w:r w:rsidR="00B454F4" w:rsidRPr="008B3C30">
        <w:rPr>
          <w:rFonts w:cs="Times New Roman"/>
          <w:sz w:val="24"/>
          <w:szCs w:val="24"/>
        </w:rPr>
        <w:t>.</w:t>
      </w:r>
      <w:r w:rsidRPr="008B3C30">
        <w:rPr>
          <w:rFonts w:cs="Times New Roman"/>
          <w:sz w:val="24"/>
          <w:szCs w:val="24"/>
        </w:rPr>
        <w:t xml:space="preserve"> </w:t>
      </w:r>
    </w:p>
    <w:p w:rsidR="00313D98" w:rsidRPr="008B3C30" w:rsidRDefault="00313D98" w:rsidP="00313D98">
      <w:pPr>
        <w:widowControl/>
        <w:autoSpaceDE/>
        <w:autoSpaceDN/>
        <w:adjustRightInd/>
        <w:ind w:firstLine="709"/>
        <w:jc w:val="both"/>
        <w:rPr>
          <w:rFonts w:ascii="Times New Roman" w:eastAsia="Times New Roman" w:hAnsi="Times New Roman" w:cs="Times New Roman"/>
          <w:color w:val="000000"/>
          <w:sz w:val="24"/>
          <w:szCs w:val="24"/>
        </w:rPr>
      </w:pPr>
      <w:r w:rsidRPr="008B3C30">
        <w:rPr>
          <w:rFonts w:ascii="Times New Roman" w:eastAsia="Times New Roman" w:hAnsi="Times New Roman" w:cs="Times New Roman"/>
          <w:color w:val="000000"/>
          <w:sz w:val="24"/>
          <w:szCs w:val="24"/>
        </w:rPr>
        <w:t xml:space="preserve">В своята дейност застрахователите и застрахователните посредници, инвестиционните посредници, управляващите дружества, пенсионноосигурителните дружества, осигурителните посредници следва да разясняват правата и задълженията на ползвателите на общодостъпен и разбираем език, така че представената от тях информация да е ясна, недвусмислена и </w:t>
      </w:r>
      <w:proofErr w:type="spellStart"/>
      <w:r w:rsidRPr="008B3C30">
        <w:rPr>
          <w:rFonts w:ascii="Times New Roman" w:eastAsia="Times New Roman" w:hAnsi="Times New Roman" w:cs="Times New Roman"/>
          <w:color w:val="000000"/>
          <w:sz w:val="24"/>
          <w:szCs w:val="24"/>
        </w:rPr>
        <w:t>неподвеждаща</w:t>
      </w:r>
      <w:proofErr w:type="spellEnd"/>
      <w:r w:rsidRPr="008B3C30">
        <w:rPr>
          <w:rFonts w:ascii="Times New Roman" w:eastAsia="Times New Roman" w:hAnsi="Times New Roman" w:cs="Times New Roman"/>
          <w:color w:val="000000"/>
          <w:sz w:val="24"/>
          <w:szCs w:val="24"/>
        </w:rPr>
        <w:t>. В тази връзка следва да се предприемат мерки за ограничаване на предоставянето на информация с „малък шрифт“, на труднодостъпен и неразбираем език или предоставянето на огромно количество информация на потребителя, което може да доведе до неговото объркване за предлаганите му продукти и услуги. Информацията относно предлагания продукт следва да даде възможност на ползвателя сам да прецени дали този продукт или услуга отговарят на неговите нужди или потребности преди влизане в сила на застрахователния договор. Общодостъпният език и ясно предоставената информация ще допринес</w:t>
      </w:r>
      <w:r w:rsidR="00DB3F2E" w:rsidRPr="008B3C30">
        <w:rPr>
          <w:rFonts w:ascii="Times New Roman" w:eastAsia="Times New Roman" w:hAnsi="Times New Roman" w:cs="Times New Roman"/>
          <w:color w:val="000000"/>
          <w:sz w:val="24"/>
          <w:szCs w:val="24"/>
        </w:rPr>
        <w:t>ат</w:t>
      </w:r>
      <w:r w:rsidRPr="008B3C30">
        <w:rPr>
          <w:rFonts w:ascii="Times New Roman" w:eastAsia="Times New Roman" w:hAnsi="Times New Roman" w:cs="Times New Roman"/>
          <w:color w:val="000000"/>
          <w:sz w:val="24"/>
          <w:szCs w:val="24"/>
        </w:rPr>
        <w:t xml:space="preserve"> за повишаване доверието на потребителите в предлаганите </w:t>
      </w:r>
      <w:r w:rsidR="00DB3F2E" w:rsidRPr="008B3C30">
        <w:rPr>
          <w:rFonts w:ascii="Times New Roman" w:eastAsia="Times New Roman" w:hAnsi="Times New Roman" w:cs="Times New Roman"/>
          <w:color w:val="000000"/>
          <w:sz w:val="24"/>
          <w:szCs w:val="24"/>
        </w:rPr>
        <w:t xml:space="preserve">им </w:t>
      </w:r>
      <w:r w:rsidRPr="008B3C30">
        <w:rPr>
          <w:rFonts w:ascii="Times New Roman" w:eastAsia="Times New Roman" w:hAnsi="Times New Roman" w:cs="Times New Roman"/>
          <w:color w:val="000000"/>
          <w:sz w:val="24"/>
          <w:szCs w:val="24"/>
        </w:rPr>
        <w:t>продукти и услуги.</w:t>
      </w:r>
    </w:p>
    <w:p w:rsidR="00313D98" w:rsidRPr="008B3C30" w:rsidRDefault="00313D98" w:rsidP="00313D98">
      <w:pPr>
        <w:widowControl/>
        <w:autoSpaceDE/>
        <w:autoSpaceDN/>
        <w:adjustRightInd/>
        <w:ind w:firstLine="709"/>
        <w:jc w:val="both"/>
        <w:rPr>
          <w:rFonts w:ascii="Times New Roman" w:eastAsia="Times New Roman" w:hAnsi="Times New Roman" w:cs="Times New Roman"/>
          <w:sz w:val="24"/>
          <w:szCs w:val="24"/>
        </w:rPr>
      </w:pPr>
      <w:r w:rsidRPr="008B3C30">
        <w:rPr>
          <w:rFonts w:ascii="Times New Roman" w:eastAsia="Times New Roman" w:hAnsi="Times New Roman" w:cs="Times New Roman"/>
          <w:sz w:val="24"/>
          <w:szCs w:val="24"/>
        </w:rPr>
        <w:t xml:space="preserve">В много случаи поради огромния обем от информация, характеризираща се с особена степен на сложност и изисквания за специални познания, както и поради липсата на достатъчно време за потребителя да я осмисли и възприеме, може да </w:t>
      </w:r>
      <w:r w:rsidR="00DB3F2E" w:rsidRPr="008B3C30">
        <w:rPr>
          <w:rFonts w:ascii="Times New Roman" w:eastAsia="Times New Roman" w:hAnsi="Times New Roman" w:cs="Times New Roman"/>
          <w:sz w:val="24"/>
          <w:szCs w:val="24"/>
        </w:rPr>
        <w:t xml:space="preserve">се стигне </w:t>
      </w:r>
      <w:r w:rsidRPr="008B3C30">
        <w:rPr>
          <w:rFonts w:ascii="Times New Roman" w:eastAsia="Times New Roman" w:hAnsi="Times New Roman" w:cs="Times New Roman"/>
          <w:sz w:val="24"/>
          <w:szCs w:val="24"/>
        </w:rPr>
        <w:t>до объркване и невъзможност да бъде направена правилна и разумна преценка дали характеристиките на продукта отговарят на нуждите на потребителя.</w:t>
      </w:r>
    </w:p>
    <w:p w:rsidR="00313D98" w:rsidRPr="008B3C30" w:rsidRDefault="00313D98" w:rsidP="00313D98">
      <w:pPr>
        <w:widowControl/>
        <w:autoSpaceDE/>
        <w:autoSpaceDN/>
        <w:adjustRightInd/>
        <w:ind w:firstLine="709"/>
        <w:jc w:val="both"/>
        <w:rPr>
          <w:rFonts w:ascii="Times New Roman" w:eastAsia="Calibri" w:hAnsi="Times New Roman" w:cs="Times New Roman"/>
          <w:sz w:val="24"/>
          <w:szCs w:val="24"/>
          <w:lang w:eastAsia="en-US"/>
        </w:rPr>
      </w:pPr>
      <w:r w:rsidRPr="008B3C30">
        <w:rPr>
          <w:rFonts w:ascii="Times New Roman" w:eastAsia="Calibri" w:hAnsi="Times New Roman" w:cs="Times New Roman"/>
          <w:sz w:val="24"/>
          <w:szCs w:val="24"/>
          <w:lang w:eastAsia="en-US"/>
        </w:rPr>
        <w:t>Като се има предвид предстоящото излизане на Обединеното кралство от ЕС, следва да се предвидят последиците от това в областта на защитата на потребителите. В областта на застраховането последиците от това ще са, че застрахователите, получили лиценз за извършване на застрахователна дейност от съответния компетентен орган в Обединеното кралство, вече не мо</w:t>
      </w:r>
      <w:r w:rsidR="00B60BFB" w:rsidRPr="008B3C30">
        <w:rPr>
          <w:rFonts w:ascii="Times New Roman" w:eastAsia="Calibri" w:hAnsi="Times New Roman" w:cs="Times New Roman"/>
          <w:sz w:val="24"/>
          <w:szCs w:val="24"/>
          <w:lang w:eastAsia="en-US"/>
        </w:rPr>
        <w:t>гат</w:t>
      </w:r>
      <w:r w:rsidRPr="008B3C30">
        <w:rPr>
          <w:rFonts w:ascii="Times New Roman" w:eastAsia="Calibri" w:hAnsi="Times New Roman" w:cs="Times New Roman"/>
          <w:sz w:val="24"/>
          <w:szCs w:val="24"/>
          <w:lang w:eastAsia="en-US"/>
        </w:rPr>
        <w:t xml:space="preserve"> да извършва</w:t>
      </w:r>
      <w:r w:rsidR="00DB3F2E" w:rsidRPr="008B3C30">
        <w:rPr>
          <w:rFonts w:ascii="Times New Roman" w:eastAsia="Calibri" w:hAnsi="Times New Roman" w:cs="Times New Roman"/>
          <w:sz w:val="24"/>
          <w:szCs w:val="24"/>
          <w:lang w:eastAsia="en-US"/>
        </w:rPr>
        <w:t>т</w:t>
      </w:r>
      <w:r w:rsidRPr="008B3C30">
        <w:rPr>
          <w:rFonts w:ascii="Times New Roman" w:eastAsia="Calibri" w:hAnsi="Times New Roman" w:cs="Times New Roman"/>
          <w:sz w:val="24"/>
          <w:szCs w:val="24"/>
          <w:lang w:eastAsia="en-US"/>
        </w:rPr>
        <w:t xml:space="preserve"> дейност на територията на РБ при правото на установяване и свободата на предоставяне на услуги. Застрахователи, </w:t>
      </w:r>
      <w:r w:rsidRPr="008B3C30">
        <w:rPr>
          <w:rFonts w:ascii="Times New Roman" w:eastAsia="Calibri" w:hAnsi="Times New Roman" w:cs="Times New Roman"/>
          <w:sz w:val="24"/>
          <w:szCs w:val="24"/>
          <w:lang w:eastAsia="en-US"/>
        </w:rPr>
        <w:lastRenderedPageBreak/>
        <w:t xml:space="preserve">получили лиценз от компетентния орган на Обединеното кралство, ще </w:t>
      </w:r>
      <w:r w:rsidR="00DB3F2E" w:rsidRPr="008B3C30">
        <w:rPr>
          <w:rFonts w:ascii="Times New Roman" w:eastAsia="Calibri" w:hAnsi="Times New Roman" w:cs="Times New Roman"/>
          <w:sz w:val="24"/>
          <w:szCs w:val="24"/>
          <w:lang w:eastAsia="en-US"/>
        </w:rPr>
        <w:t xml:space="preserve">могат </w:t>
      </w:r>
      <w:r w:rsidRPr="008B3C30">
        <w:rPr>
          <w:rFonts w:ascii="Times New Roman" w:eastAsia="Calibri" w:hAnsi="Times New Roman" w:cs="Times New Roman"/>
          <w:sz w:val="24"/>
          <w:szCs w:val="24"/>
          <w:lang w:eastAsia="en-US"/>
        </w:rPr>
        <w:t>да извършва</w:t>
      </w:r>
      <w:r w:rsidR="00DB3F2E" w:rsidRPr="008B3C30">
        <w:rPr>
          <w:rFonts w:ascii="Times New Roman" w:eastAsia="Calibri" w:hAnsi="Times New Roman" w:cs="Times New Roman"/>
          <w:sz w:val="24"/>
          <w:szCs w:val="24"/>
          <w:lang w:eastAsia="en-US"/>
        </w:rPr>
        <w:t>т</w:t>
      </w:r>
      <w:r w:rsidRPr="008B3C30">
        <w:rPr>
          <w:rFonts w:ascii="Times New Roman" w:eastAsia="Calibri" w:hAnsi="Times New Roman" w:cs="Times New Roman"/>
          <w:sz w:val="24"/>
          <w:szCs w:val="24"/>
          <w:lang w:eastAsia="en-US"/>
        </w:rPr>
        <w:t xml:space="preserve"> дейност в РБ чрез клон, регистриран по Търговския закон, след получаване на лиценз от КФН.</w:t>
      </w:r>
    </w:p>
    <w:p w:rsidR="00313D98" w:rsidRPr="008B3C30" w:rsidRDefault="00313D98" w:rsidP="00313D98">
      <w:pPr>
        <w:widowControl/>
        <w:autoSpaceDE/>
        <w:autoSpaceDN/>
        <w:adjustRightInd/>
        <w:ind w:firstLine="709"/>
        <w:jc w:val="both"/>
        <w:rPr>
          <w:rFonts w:ascii="Times New Roman" w:eastAsia="Calibri" w:hAnsi="Times New Roman" w:cs="Times New Roman"/>
          <w:sz w:val="24"/>
          <w:szCs w:val="24"/>
          <w:lang w:eastAsia="en-US"/>
        </w:rPr>
      </w:pPr>
      <w:r w:rsidRPr="008B3C30">
        <w:rPr>
          <w:rFonts w:ascii="Times New Roman" w:eastAsia="Calibri" w:hAnsi="Times New Roman" w:cs="Times New Roman"/>
          <w:sz w:val="24"/>
          <w:szCs w:val="24"/>
          <w:lang w:eastAsia="en-US"/>
        </w:rPr>
        <w:t>Друго, което е необходимо да се посочи, е че след излизането на Обединеното кралство от ЕС</w:t>
      </w:r>
      <w:r w:rsidR="00DB3F2E" w:rsidRPr="008B3C30">
        <w:rPr>
          <w:rFonts w:ascii="Times New Roman" w:eastAsia="Calibri" w:hAnsi="Times New Roman" w:cs="Times New Roman"/>
          <w:sz w:val="24"/>
          <w:szCs w:val="24"/>
          <w:lang w:eastAsia="en-US"/>
        </w:rPr>
        <w:t>,</w:t>
      </w:r>
      <w:r w:rsidRPr="008B3C30">
        <w:rPr>
          <w:rFonts w:ascii="Times New Roman" w:eastAsia="Calibri" w:hAnsi="Times New Roman" w:cs="Times New Roman"/>
          <w:sz w:val="24"/>
          <w:szCs w:val="24"/>
          <w:lang w:eastAsia="en-US"/>
        </w:rPr>
        <w:t xml:space="preserve"> Европейската здравноосигурителна карта няма да може да бъде използвана на територията на тази държава.</w:t>
      </w:r>
    </w:p>
    <w:p w:rsidR="00B60BFB" w:rsidRPr="008B3C30" w:rsidRDefault="00313D98" w:rsidP="00313D98">
      <w:pPr>
        <w:pStyle w:val="Heading10"/>
        <w:keepNext/>
        <w:keepLines/>
        <w:shd w:val="clear" w:color="auto" w:fill="auto"/>
        <w:spacing w:after="0"/>
        <w:ind w:left="0" w:firstLine="708"/>
        <w:rPr>
          <w:sz w:val="24"/>
          <w:szCs w:val="24"/>
        </w:rPr>
      </w:pPr>
      <w:bookmarkStart w:id="1" w:name="bookmark20"/>
      <w:r w:rsidRPr="008B3C30">
        <w:rPr>
          <w:b w:val="0"/>
          <w:color w:val="000000"/>
          <w:spacing w:val="4"/>
          <w:sz w:val="24"/>
          <w:szCs w:val="24"/>
        </w:rPr>
        <w:t xml:space="preserve">Темата за финансовата грамотност придобива особено актуално звучене в </w:t>
      </w:r>
      <w:r w:rsidRPr="008B3C30">
        <w:rPr>
          <w:b w:val="0"/>
          <w:color w:val="000000"/>
          <w:sz w:val="24"/>
          <w:szCs w:val="24"/>
        </w:rPr>
        <w:t>международен мащаб поради финансовата криза</w:t>
      </w:r>
    </w:p>
    <w:p w:rsidR="00313D98" w:rsidRPr="008B3C30" w:rsidRDefault="00B60BFB" w:rsidP="00B60BFB">
      <w:pPr>
        <w:pStyle w:val="Heading10"/>
        <w:keepNext/>
        <w:keepLines/>
        <w:shd w:val="clear" w:color="auto" w:fill="auto"/>
        <w:spacing w:after="0"/>
        <w:ind w:left="0" w:firstLine="708"/>
        <w:rPr>
          <w:b w:val="0"/>
          <w:sz w:val="24"/>
          <w:szCs w:val="24"/>
        </w:rPr>
      </w:pPr>
      <w:r w:rsidRPr="008B3C30">
        <w:rPr>
          <w:sz w:val="24"/>
          <w:szCs w:val="24"/>
        </w:rPr>
        <w:t xml:space="preserve">Определение на финансова грамотност: </w:t>
      </w:r>
      <w:r w:rsidR="00313D98" w:rsidRPr="008B3C30">
        <w:rPr>
          <w:b w:val="0"/>
          <w:sz w:val="24"/>
          <w:szCs w:val="24"/>
        </w:rPr>
        <w:t>Финансовата грамотност представлява съвкупност от умения и знания, които позволяват на всеки човек да вземе информирани и ефективни решения по отношение на всички притежавани от него финансови ресурси. Разбирането на основните финансови понятия, техники, инструменти позволява на хората да боравят в рамките на финансовата система. Хората с подходяща финансова грамотност взимат по-добри решения и управляват парите си по-добре от тези, които не притежават тези познания.</w:t>
      </w:r>
      <w:r w:rsidRPr="008B3C30">
        <w:rPr>
          <w:b w:val="0"/>
          <w:sz w:val="24"/>
          <w:szCs w:val="24"/>
        </w:rPr>
        <w:t xml:space="preserve"> Финансовата грамотност е важна предпоставка за рационалното и отговорно поведение на всеки човек при вземането на финансови решения и е пряко обвързана със способността на всеки отделен човек да се грижи за финансовото си състояние.</w:t>
      </w:r>
      <w:r w:rsidRPr="008B3C30">
        <w:rPr>
          <w:sz w:val="24"/>
          <w:szCs w:val="24"/>
        </w:rPr>
        <w:t xml:space="preserve">  </w:t>
      </w:r>
    </w:p>
    <w:p w:rsidR="00313D98" w:rsidRPr="008B3C30" w:rsidRDefault="00313D98" w:rsidP="00313D98">
      <w:pPr>
        <w:pStyle w:val="BodyText"/>
        <w:shd w:val="clear" w:color="auto" w:fill="auto"/>
        <w:ind w:firstLine="709"/>
        <w:rPr>
          <w:rFonts w:cs="Times New Roman"/>
          <w:sz w:val="24"/>
          <w:szCs w:val="24"/>
        </w:rPr>
      </w:pPr>
      <w:r w:rsidRPr="008B3C30">
        <w:rPr>
          <w:rFonts w:cs="Times New Roman"/>
          <w:sz w:val="24"/>
          <w:szCs w:val="24"/>
        </w:rPr>
        <w:t>Финансовата грамотност действа стимулиращо върху търсенето на финансови продукти поради осъзнаването на ползите от инвестиране във финансови инструменти и по този начин непряко въздействат на икономическото развитие. Финансовото обучение (образование) е инструментът, който има положително въздействие върху нивото на финансова грамотност.</w:t>
      </w:r>
    </w:p>
    <w:p w:rsidR="00313D98" w:rsidRPr="008B3C30" w:rsidRDefault="00313D98" w:rsidP="00313D98">
      <w:pPr>
        <w:pStyle w:val="BodyText"/>
        <w:shd w:val="clear" w:color="auto" w:fill="auto"/>
        <w:ind w:firstLine="709"/>
        <w:rPr>
          <w:rFonts w:cs="Times New Roman"/>
          <w:sz w:val="24"/>
          <w:szCs w:val="24"/>
        </w:rPr>
      </w:pPr>
      <w:r w:rsidRPr="008B3C30">
        <w:rPr>
          <w:rFonts w:cs="Times New Roman"/>
          <w:sz w:val="24"/>
          <w:szCs w:val="24"/>
        </w:rPr>
        <w:t>Финансовото обучение може да се дефинира като „процес, посредством който потребителите повишават познанията си за финансовите продукти и основните финансови концепции</w:t>
      </w:r>
      <w:r w:rsidRPr="008B3C30">
        <w:rPr>
          <w:rFonts w:cs="Times New Roman"/>
          <w:b/>
          <w:sz w:val="24"/>
          <w:szCs w:val="24"/>
        </w:rPr>
        <w:t xml:space="preserve"> </w:t>
      </w:r>
      <w:r w:rsidRPr="008B3C30">
        <w:rPr>
          <w:rFonts w:cs="Times New Roman"/>
          <w:sz w:val="24"/>
          <w:szCs w:val="24"/>
        </w:rPr>
        <w:t xml:space="preserve">и чрез </w:t>
      </w:r>
      <w:r w:rsidR="00853D73" w:rsidRPr="008B3C30">
        <w:rPr>
          <w:rFonts w:cs="Times New Roman"/>
          <w:sz w:val="24"/>
          <w:szCs w:val="24"/>
        </w:rPr>
        <w:t xml:space="preserve">получаването на </w:t>
      </w:r>
      <w:r w:rsidRPr="008B3C30">
        <w:rPr>
          <w:rFonts w:cs="Times New Roman"/>
          <w:sz w:val="24"/>
          <w:szCs w:val="24"/>
        </w:rPr>
        <w:t>информация, инструкции и обективни съвети развиват уменията си и увереността си, така че да разбират финансовите рискове и възможности, да вземат рационални и информирани решения, да са наясно къде могат да получат помощ и да са в състояние да предприемат други ефективни действия за повишаване на благосъстоянието си.” (съгласно дефиниция на ОИСР).</w:t>
      </w:r>
    </w:p>
    <w:p w:rsidR="00313D98" w:rsidRDefault="00313D98" w:rsidP="00313D98">
      <w:pPr>
        <w:pStyle w:val="BodyText"/>
        <w:shd w:val="clear" w:color="auto" w:fill="auto"/>
        <w:ind w:firstLine="709"/>
        <w:rPr>
          <w:rFonts w:cs="Times New Roman"/>
          <w:sz w:val="24"/>
          <w:szCs w:val="24"/>
        </w:rPr>
      </w:pPr>
      <w:r w:rsidRPr="008B3C30">
        <w:rPr>
          <w:rFonts w:cs="Times New Roman"/>
          <w:sz w:val="24"/>
          <w:szCs w:val="24"/>
        </w:rPr>
        <w:t>Финансовото обучение има за цел не само да подпомогне потребителя в ориентирането му сред множество предложения, но и да развие чувството му за отговорност във връзка с избора и използването на финансови продукти и услуги, както и по отношение на планирането на бъдещото му финансовото състояние. Повишаването на финансовата грамотност е допълнителна непряка мярка, която регулаторите предприемат с оглед осигуряване на защитата на потребителите на финансови продукти и услуги, в която основно значение имат преките действия по въвеждане на регулации и упражняването на ефективен надзор за спазването на регулациите.</w:t>
      </w:r>
    </w:p>
    <w:p w:rsidR="00313D98" w:rsidRPr="008B3C30" w:rsidRDefault="00CF4838" w:rsidP="00313D98">
      <w:pPr>
        <w:pStyle w:val="BodyText"/>
        <w:shd w:val="clear" w:color="auto" w:fill="auto"/>
        <w:ind w:firstLine="709"/>
        <w:rPr>
          <w:rFonts w:cs="Times New Roman"/>
          <w:sz w:val="24"/>
          <w:szCs w:val="24"/>
        </w:rPr>
      </w:pPr>
      <w:r>
        <w:rPr>
          <w:rFonts w:cs="Times New Roman"/>
          <w:sz w:val="24"/>
          <w:szCs w:val="24"/>
        </w:rPr>
        <w:t xml:space="preserve">Съвременният потребител на финансови продукти и услуги е изправен пред редица предизвикателства, за справянето с които много често не е достатъчно подготвен. </w:t>
      </w:r>
      <w:r w:rsidR="00313D98" w:rsidRPr="008B3C30">
        <w:rPr>
          <w:rFonts w:cs="Times New Roman"/>
          <w:sz w:val="24"/>
          <w:szCs w:val="24"/>
        </w:rPr>
        <w:t>Необходимостта от адекватни финансови познания се обуславя от новата среда на финансовите пазари, свързана с високи нива на риск, повишено ниво на персонална отговорност за собствените финанси.</w:t>
      </w:r>
    </w:p>
    <w:p w:rsidR="00313D98" w:rsidRPr="008B3C30" w:rsidRDefault="00313D98" w:rsidP="00313D98">
      <w:pPr>
        <w:shd w:val="clear" w:color="auto" w:fill="FFFFFF"/>
        <w:spacing w:line="274" w:lineRule="exact"/>
        <w:ind w:right="-32" w:firstLine="708"/>
        <w:jc w:val="both"/>
        <w:rPr>
          <w:rFonts w:ascii="Times New Roman" w:hAnsi="Times New Roman" w:cs="Times New Roman"/>
          <w:sz w:val="24"/>
          <w:szCs w:val="24"/>
        </w:rPr>
      </w:pPr>
      <w:r w:rsidRPr="008B3C30">
        <w:rPr>
          <w:rFonts w:ascii="Times New Roman" w:hAnsi="Times New Roman" w:cs="Times New Roman"/>
          <w:color w:val="000000"/>
          <w:spacing w:val="6"/>
          <w:sz w:val="24"/>
          <w:szCs w:val="24"/>
        </w:rPr>
        <w:t xml:space="preserve">В Европейския съюз темата за финансовата грамотност също е сред </w:t>
      </w:r>
      <w:r w:rsidRPr="008B3C30">
        <w:rPr>
          <w:rFonts w:ascii="Times New Roman" w:hAnsi="Times New Roman" w:cs="Times New Roman"/>
          <w:color w:val="000000"/>
          <w:spacing w:val="-1"/>
          <w:sz w:val="24"/>
          <w:szCs w:val="24"/>
        </w:rPr>
        <w:t xml:space="preserve">важните </w:t>
      </w:r>
      <w:r w:rsidR="00B60BFB" w:rsidRPr="008B3C30">
        <w:rPr>
          <w:rFonts w:ascii="Times New Roman" w:hAnsi="Times New Roman" w:cs="Times New Roman"/>
          <w:color w:val="000000"/>
          <w:spacing w:val="-1"/>
          <w:sz w:val="24"/>
          <w:szCs w:val="24"/>
        </w:rPr>
        <w:t xml:space="preserve"> приоритети</w:t>
      </w:r>
      <w:r w:rsidRPr="008B3C30">
        <w:rPr>
          <w:rFonts w:ascii="Times New Roman" w:hAnsi="Times New Roman" w:cs="Times New Roman"/>
          <w:color w:val="000000"/>
          <w:spacing w:val="-1"/>
          <w:sz w:val="24"/>
          <w:szCs w:val="24"/>
        </w:rPr>
        <w:t>.</w:t>
      </w:r>
      <w:r w:rsidRPr="008B3C30">
        <w:rPr>
          <w:rFonts w:ascii="Times New Roman" w:hAnsi="Times New Roman" w:cs="Times New Roman"/>
          <w:color w:val="000000"/>
          <w:spacing w:val="8"/>
          <w:sz w:val="24"/>
          <w:szCs w:val="24"/>
        </w:rPr>
        <w:t xml:space="preserve"> Още през 2008 г. към Европейската комисия е създадена Експертна група по </w:t>
      </w:r>
      <w:r w:rsidRPr="008B3C30">
        <w:rPr>
          <w:rFonts w:ascii="Times New Roman" w:hAnsi="Times New Roman" w:cs="Times New Roman"/>
          <w:color w:val="000000"/>
          <w:spacing w:val="1"/>
          <w:sz w:val="24"/>
          <w:szCs w:val="24"/>
        </w:rPr>
        <w:t>въпросите на финансовото образование</w:t>
      </w:r>
      <w:r w:rsidR="00D56E51" w:rsidRPr="008B3C30">
        <w:rPr>
          <w:rFonts w:ascii="Times New Roman" w:hAnsi="Times New Roman" w:cs="Times New Roman"/>
          <w:color w:val="000000"/>
          <w:spacing w:val="1"/>
          <w:sz w:val="24"/>
          <w:szCs w:val="24"/>
        </w:rPr>
        <w:t>,</w:t>
      </w:r>
      <w:r w:rsidRPr="008B3C30">
        <w:rPr>
          <w:rFonts w:ascii="Times New Roman" w:hAnsi="Times New Roman" w:cs="Times New Roman"/>
          <w:color w:val="000000"/>
          <w:spacing w:val="1"/>
          <w:sz w:val="24"/>
          <w:szCs w:val="24"/>
        </w:rPr>
        <w:t xml:space="preserve"> с основна цел да съдейства </w:t>
      </w:r>
      <w:r w:rsidR="00D56E51" w:rsidRPr="008B3C30">
        <w:rPr>
          <w:rFonts w:ascii="Times New Roman" w:hAnsi="Times New Roman" w:cs="Times New Roman"/>
          <w:color w:val="000000"/>
          <w:spacing w:val="1"/>
          <w:sz w:val="24"/>
          <w:szCs w:val="24"/>
        </w:rPr>
        <w:t xml:space="preserve">за </w:t>
      </w:r>
      <w:r w:rsidRPr="008B3C30">
        <w:rPr>
          <w:rFonts w:ascii="Times New Roman" w:hAnsi="Times New Roman" w:cs="Times New Roman"/>
          <w:color w:val="000000"/>
          <w:spacing w:val="1"/>
          <w:sz w:val="24"/>
          <w:szCs w:val="24"/>
        </w:rPr>
        <w:t xml:space="preserve">разработването </w:t>
      </w:r>
      <w:r w:rsidRPr="008B3C30">
        <w:rPr>
          <w:rFonts w:ascii="Times New Roman" w:hAnsi="Times New Roman" w:cs="Times New Roman"/>
          <w:color w:val="000000"/>
          <w:spacing w:val="-1"/>
          <w:sz w:val="24"/>
          <w:szCs w:val="24"/>
        </w:rPr>
        <w:t>на национални стратегии в областта.</w:t>
      </w:r>
    </w:p>
    <w:p w:rsidR="00313D98" w:rsidRPr="008B3C30" w:rsidRDefault="00313D98" w:rsidP="00313D98">
      <w:pPr>
        <w:shd w:val="clear" w:color="auto" w:fill="FFFFFF"/>
        <w:spacing w:line="274" w:lineRule="exact"/>
        <w:ind w:right="-32" w:firstLine="708"/>
        <w:jc w:val="both"/>
        <w:rPr>
          <w:rFonts w:ascii="Times New Roman" w:hAnsi="Times New Roman" w:cs="Times New Roman"/>
          <w:color w:val="000000"/>
          <w:spacing w:val="4"/>
          <w:sz w:val="24"/>
          <w:szCs w:val="24"/>
        </w:rPr>
      </w:pPr>
      <w:r w:rsidRPr="008B3C30">
        <w:rPr>
          <w:rFonts w:ascii="Times New Roman" w:hAnsi="Times New Roman" w:cs="Times New Roman"/>
          <w:color w:val="000000"/>
          <w:spacing w:val="9"/>
          <w:sz w:val="24"/>
          <w:szCs w:val="24"/>
        </w:rPr>
        <w:t xml:space="preserve">През октомври 2008 г. Европейската комисия представя пред Европейския </w:t>
      </w:r>
      <w:r w:rsidRPr="008B3C30">
        <w:rPr>
          <w:rFonts w:ascii="Times New Roman" w:hAnsi="Times New Roman" w:cs="Times New Roman"/>
          <w:color w:val="000000"/>
          <w:sz w:val="24"/>
          <w:szCs w:val="24"/>
        </w:rPr>
        <w:t xml:space="preserve">парламент доклад, в който акцентира върху значимостта на финансовото обучение и </w:t>
      </w:r>
      <w:r w:rsidRPr="008B3C30">
        <w:rPr>
          <w:rFonts w:ascii="Times New Roman" w:hAnsi="Times New Roman" w:cs="Times New Roman"/>
          <w:color w:val="000000"/>
          <w:spacing w:val="-1"/>
          <w:sz w:val="24"/>
          <w:szCs w:val="24"/>
        </w:rPr>
        <w:t xml:space="preserve">предлага мерки за повишаване на ефективността на дейността в тази област. Изведени са </w:t>
      </w:r>
      <w:r w:rsidRPr="008B3C30">
        <w:rPr>
          <w:rFonts w:ascii="Times New Roman" w:hAnsi="Times New Roman" w:cs="Times New Roman"/>
          <w:color w:val="000000"/>
          <w:sz w:val="24"/>
          <w:szCs w:val="24"/>
        </w:rPr>
        <w:lastRenderedPageBreak/>
        <w:t>основните принципи за създаване и реализация на програми за финансово обучение, между които са:</w:t>
      </w:r>
      <w:r w:rsidRPr="008B3C30">
        <w:rPr>
          <w:rFonts w:ascii="Times New Roman" w:hAnsi="Times New Roman" w:cs="Times New Roman"/>
          <w:color w:val="000000"/>
          <w:spacing w:val="4"/>
          <w:sz w:val="24"/>
          <w:szCs w:val="24"/>
        </w:rPr>
        <w:t xml:space="preserve">    </w:t>
      </w:r>
    </w:p>
    <w:p w:rsidR="00313D98" w:rsidRPr="008B3C30" w:rsidRDefault="00313D98" w:rsidP="00313D98">
      <w:pPr>
        <w:shd w:val="clear" w:color="auto" w:fill="FFFFFF"/>
        <w:spacing w:line="274" w:lineRule="exact"/>
        <w:ind w:right="-32" w:firstLine="708"/>
        <w:jc w:val="both"/>
        <w:rPr>
          <w:rFonts w:ascii="Times New Roman" w:hAnsi="Times New Roman" w:cs="Times New Roman"/>
          <w:color w:val="000000"/>
          <w:sz w:val="24"/>
          <w:szCs w:val="24"/>
        </w:rPr>
      </w:pPr>
      <w:r w:rsidRPr="008B3C30">
        <w:rPr>
          <w:rFonts w:ascii="Times New Roman" w:hAnsi="Times New Roman" w:cs="Times New Roman"/>
          <w:color w:val="000000"/>
          <w:spacing w:val="4"/>
          <w:sz w:val="24"/>
          <w:szCs w:val="24"/>
        </w:rPr>
        <w:t xml:space="preserve">Обучението  по  финансови  въпроси  трябва  да  е  налично  и  активно  да  се </w:t>
      </w:r>
      <w:r w:rsidRPr="008B3C30">
        <w:rPr>
          <w:rFonts w:ascii="Times New Roman" w:hAnsi="Times New Roman" w:cs="Times New Roman"/>
          <w:color w:val="000000"/>
          <w:sz w:val="24"/>
          <w:szCs w:val="24"/>
        </w:rPr>
        <w:t xml:space="preserve">представя сред потребителите </w:t>
      </w:r>
      <w:r w:rsidR="00D56E51" w:rsidRPr="008B3C30">
        <w:rPr>
          <w:rFonts w:ascii="Times New Roman" w:hAnsi="Times New Roman" w:cs="Times New Roman"/>
          <w:color w:val="000000"/>
          <w:sz w:val="24"/>
          <w:szCs w:val="24"/>
        </w:rPr>
        <w:t xml:space="preserve">на </w:t>
      </w:r>
      <w:r w:rsidRPr="008B3C30">
        <w:rPr>
          <w:rFonts w:ascii="Times New Roman" w:hAnsi="Times New Roman" w:cs="Times New Roman"/>
          <w:color w:val="000000"/>
          <w:sz w:val="24"/>
          <w:szCs w:val="24"/>
        </w:rPr>
        <w:t xml:space="preserve">всеки етап от живота им. </w:t>
      </w:r>
    </w:p>
    <w:p w:rsidR="00313D98" w:rsidRPr="008B3C30" w:rsidRDefault="00313D98" w:rsidP="00313D98">
      <w:pPr>
        <w:shd w:val="clear" w:color="auto" w:fill="FFFFFF"/>
        <w:spacing w:line="274" w:lineRule="exact"/>
        <w:ind w:right="-32" w:firstLine="708"/>
        <w:jc w:val="both"/>
        <w:rPr>
          <w:rFonts w:ascii="Times New Roman" w:hAnsi="Times New Roman" w:cs="Times New Roman"/>
          <w:sz w:val="24"/>
          <w:szCs w:val="24"/>
        </w:rPr>
      </w:pPr>
      <w:r w:rsidRPr="008B3C30">
        <w:rPr>
          <w:rFonts w:ascii="Times New Roman" w:hAnsi="Times New Roman" w:cs="Times New Roman"/>
          <w:color w:val="000000"/>
          <w:spacing w:val="7"/>
          <w:sz w:val="24"/>
          <w:szCs w:val="24"/>
        </w:rPr>
        <w:t>Програмите трябва да се разработени така, че да отговарят на специфичните</w:t>
      </w:r>
    </w:p>
    <w:p w:rsidR="00313D98" w:rsidRPr="008B3C30" w:rsidRDefault="00313D98" w:rsidP="00313D98">
      <w:pPr>
        <w:shd w:val="clear" w:color="auto" w:fill="FFFFFF"/>
        <w:spacing w:line="274" w:lineRule="exact"/>
        <w:ind w:right="-32"/>
        <w:jc w:val="both"/>
        <w:rPr>
          <w:rFonts w:ascii="Times New Roman" w:hAnsi="Times New Roman" w:cs="Times New Roman"/>
          <w:color w:val="000000"/>
          <w:spacing w:val="-1"/>
          <w:sz w:val="24"/>
          <w:szCs w:val="24"/>
        </w:rPr>
      </w:pPr>
      <w:r w:rsidRPr="008B3C30">
        <w:rPr>
          <w:rFonts w:ascii="Times New Roman" w:hAnsi="Times New Roman" w:cs="Times New Roman"/>
          <w:color w:val="000000"/>
          <w:spacing w:val="8"/>
          <w:sz w:val="24"/>
          <w:szCs w:val="24"/>
        </w:rPr>
        <w:t xml:space="preserve">нужди на определени групи от населението. Те трябва да са своевременни и </w:t>
      </w:r>
      <w:r w:rsidRPr="008B3C30">
        <w:rPr>
          <w:rFonts w:ascii="Times New Roman" w:hAnsi="Times New Roman" w:cs="Times New Roman"/>
          <w:color w:val="000000"/>
          <w:spacing w:val="-1"/>
          <w:sz w:val="24"/>
          <w:szCs w:val="24"/>
        </w:rPr>
        <w:t>леснодостъпни.</w:t>
      </w:r>
    </w:p>
    <w:p w:rsidR="00313D98" w:rsidRPr="008B3C30" w:rsidRDefault="00313D98" w:rsidP="00313D98">
      <w:pPr>
        <w:shd w:val="clear" w:color="auto" w:fill="FFFFFF"/>
        <w:spacing w:line="274" w:lineRule="exact"/>
        <w:ind w:right="-32" w:firstLine="708"/>
        <w:jc w:val="both"/>
        <w:rPr>
          <w:rFonts w:ascii="Times New Roman" w:hAnsi="Times New Roman" w:cs="Times New Roman"/>
          <w:color w:val="000000"/>
          <w:spacing w:val="-1"/>
          <w:sz w:val="24"/>
          <w:szCs w:val="24"/>
        </w:rPr>
      </w:pPr>
      <w:r w:rsidRPr="008B3C30">
        <w:rPr>
          <w:rFonts w:ascii="Times New Roman" w:hAnsi="Times New Roman" w:cs="Times New Roman"/>
          <w:color w:val="000000"/>
          <w:spacing w:val="1"/>
          <w:sz w:val="24"/>
          <w:szCs w:val="24"/>
        </w:rPr>
        <w:t xml:space="preserve">Финансовото обучение трябва да започне във възможно най-ранна възраст, като </w:t>
      </w:r>
      <w:r w:rsidRPr="008B3C30">
        <w:rPr>
          <w:rFonts w:ascii="Times New Roman" w:hAnsi="Times New Roman" w:cs="Times New Roman"/>
          <w:color w:val="000000"/>
          <w:spacing w:val="5"/>
          <w:sz w:val="24"/>
          <w:szCs w:val="24"/>
        </w:rPr>
        <w:t xml:space="preserve">съответните  власти трябва да  обмислят въвеждането  му  като задължителен </w:t>
      </w:r>
      <w:r w:rsidRPr="008B3C30">
        <w:rPr>
          <w:rFonts w:ascii="Times New Roman" w:hAnsi="Times New Roman" w:cs="Times New Roman"/>
          <w:color w:val="000000"/>
          <w:spacing w:val="-1"/>
          <w:sz w:val="24"/>
          <w:szCs w:val="24"/>
        </w:rPr>
        <w:t>предмет в училищата.</w:t>
      </w:r>
    </w:p>
    <w:p w:rsidR="00313D98" w:rsidRPr="008B3C30" w:rsidRDefault="00313D98" w:rsidP="00313D98">
      <w:pPr>
        <w:shd w:val="clear" w:color="auto" w:fill="FFFFFF"/>
        <w:spacing w:line="274" w:lineRule="exact"/>
        <w:ind w:right="-32" w:firstLine="708"/>
        <w:jc w:val="both"/>
        <w:rPr>
          <w:rFonts w:ascii="Times New Roman" w:hAnsi="Times New Roman" w:cs="Times New Roman"/>
          <w:color w:val="000000"/>
          <w:spacing w:val="-1"/>
          <w:sz w:val="24"/>
          <w:szCs w:val="24"/>
        </w:rPr>
      </w:pPr>
      <w:r w:rsidRPr="008B3C30">
        <w:rPr>
          <w:rFonts w:ascii="Times New Roman" w:hAnsi="Times New Roman" w:cs="Times New Roman"/>
          <w:color w:val="000000"/>
          <w:spacing w:val="3"/>
          <w:sz w:val="24"/>
          <w:szCs w:val="24"/>
        </w:rPr>
        <w:t xml:space="preserve">Финансовото обучение има за цел да повиши общественото разбиране относно </w:t>
      </w:r>
      <w:r w:rsidRPr="008B3C30">
        <w:rPr>
          <w:rFonts w:ascii="Times New Roman" w:hAnsi="Times New Roman" w:cs="Times New Roman"/>
          <w:color w:val="000000"/>
          <w:sz w:val="24"/>
          <w:szCs w:val="24"/>
        </w:rPr>
        <w:t xml:space="preserve">необходимостта от познания върху финансовата материя. Програмите   за   финансово   обучение,   осъществявани   от   частни   финансови </w:t>
      </w:r>
      <w:r w:rsidRPr="008B3C30">
        <w:rPr>
          <w:rFonts w:ascii="Times New Roman" w:hAnsi="Times New Roman" w:cs="Times New Roman"/>
          <w:color w:val="000000"/>
          <w:spacing w:val="-1"/>
          <w:sz w:val="24"/>
          <w:szCs w:val="24"/>
        </w:rPr>
        <w:t>институции,    трябва    да    представят    материята    по    честен,    прозрачен    и безпристрастен начин.</w:t>
      </w:r>
    </w:p>
    <w:p w:rsidR="00313D98" w:rsidRPr="008B3C30" w:rsidRDefault="00313D98" w:rsidP="00313D98">
      <w:pPr>
        <w:shd w:val="clear" w:color="auto" w:fill="FFFFFF"/>
        <w:spacing w:line="274" w:lineRule="exact"/>
        <w:ind w:right="-32" w:firstLine="708"/>
        <w:jc w:val="both"/>
        <w:rPr>
          <w:rFonts w:ascii="Times New Roman" w:hAnsi="Times New Roman" w:cs="Times New Roman"/>
          <w:color w:val="000000"/>
          <w:spacing w:val="-2"/>
          <w:sz w:val="24"/>
          <w:szCs w:val="24"/>
        </w:rPr>
      </w:pPr>
      <w:r w:rsidRPr="008B3C30">
        <w:rPr>
          <w:rFonts w:ascii="Times New Roman" w:hAnsi="Times New Roman" w:cs="Times New Roman"/>
          <w:color w:val="000000"/>
          <w:spacing w:val="2"/>
          <w:sz w:val="24"/>
          <w:szCs w:val="24"/>
        </w:rPr>
        <w:t xml:space="preserve">Сътрудничеството между всички заинтересовани лица трябва са се насърчава и </w:t>
      </w:r>
      <w:r w:rsidRPr="008B3C30">
        <w:rPr>
          <w:rFonts w:ascii="Times New Roman" w:hAnsi="Times New Roman" w:cs="Times New Roman"/>
          <w:color w:val="000000"/>
          <w:spacing w:val="3"/>
          <w:sz w:val="24"/>
          <w:szCs w:val="24"/>
        </w:rPr>
        <w:t xml:space="preserve">да  се   осъществява  на  национално  ниво   с  оглед   постигане   на  по-добра </w:t>
      </w:r>
      <w:r w:rsidRPr="008B3C30">
        <w:rPr>
          <w:rFonts w:ascii="Times New Roman" w:hAnsi="Times New Roman" w:cs="Times New Roman"/>
          <w:color w:val="000000"/>
          <w:sz w:val="24"/>
          <w:szCs w:val="24"/>
        </w:rPr>
        <w:t xml:space="preserve">координация   и  общо разбиране   за   приоритетите,   по-пълноценно   използване   на </w:t>
      </w:r>
      <w:r w:rsidRPr="008B3C30">
        <w:rPr>
          <w:rFonts w:ascii="Times New Roman" w:hAnsi="Times New Roman" w:cs="Times New Roman"/>
          <w:color w:val="000000"/>
          <w:spacing w:val="-2"/>
          <w:sz w:val="24"/>
          <w:szCs w:val="24"/>
        </w:rPr>
        <w:t>ресурсите.</w:t>
      </w:r>
    </w:p>
    <w:p w:rsidR="00313D98" w:rsidRPr="008B3C30" w:rsidRDefault="00313D98" w:rsidP="00313D98">
      <w:pPr>
        <w:shd w:val="clear" w:color="auto" w:fill="FFFFFF"/>
        <w:spacing w:line="274" w:lineRule="exact"/>
        <w:ind w:right="-32" w:firstLine="708"/>
        <w:jc w:val="both"/>
        <w:rPr>
          <w:rFonts w:ascii="Times New Roman" w:hAnsi="Times New Roman" w:cs="Times New Roman"/>
          <w:sz w:val="24"/>
          <w:szCs w:val="24"/>
        </w:rPr>
      </w:pPr>
      <w:r w:rsidRPr="008B3C30">
        <w:rPr>
          <w:rFonts w:ascii="Times New Roman" w:hAnsi="Times New Roman" w:cs="Times New Roman"/>
          <w:color w:val="000000"/>
          <w:sz w:val="24"/>
          <w:szCs w:val="24"/>
        </w:rPr>
        <w:t xml:space="preserve">Този доклад обръща внимание на необходимостта от създаване на национални стратегии за финансово </w:t>
      </w:r>
      <w:r w:rsidRPr="008B3C30">
        <w:rPr>
          <w:rFonts w:ascii="Times New Roman" w:hAnsi="Times New Roman" w:cs="Times New Roman"/>
          <w:color w:val="000000"/>
          <w:spacing w:val="1"/>
          <w:sz w:val="24"/>
          <w:szCs w:val="24"/>
        </w:rPr>
        <w:t xml:space="preserve">обучение в страните-членки, </w:t>
      </w:r>
      <w:r w:rsidRPr="008B3C30">
        <w:rPr>
          <w:rFonts w:ascii="Times New Roman" w:hAnsi="Times New Roman" w:cs="Times New Roman"/>
          <w:color w:val="000000"/>
          <w:spacing w:val="9"/>
          <w:sz w:val="24"/>
          <w:szCs w:val="24"/>
        </w:rPr>
        <w:t xml:space="preserve">както и тяхната редовна оценка и актуализиране </w:t>
      </w:r>
      <w:r w:rsidRPr="008B3C30">
        <w:rPr>
          <w:rFonts w:ascii="Times New Roman" w:hAnsi="Times New Roman" w:cs="Times New Roman"/>
          <w:color w:val="000000"/>
          <w:sz w:val="24"/>
          <w:szCs w:val="24"/>
        </w:rPr>
        <w:t xml:space="preserve">в съответствие </w:t>
      </w:r>
      <w:r w:rsidRPr="008B3C30">
        <w:rPr>
          <w:rFonts w:ascii="Times New Roman" w:hAnsi="Times New Roman" w:cs="Times New Roman"/>
          <w:color w:val="000000"/>
          <w:spacing w:val="-1"/>
          <w:sz w:val="24"/>
          <w:szCs w:val="24"/>
        </w:rPr>
        <w:t>с най-добрите практики в областта.</w:t>
      </w:r>
    </w:p>
    <w:bookmarkEnd w:id="1"/>
    <w:p w:rsidR="00313D98" w:rsidRPr="008B3C30" w:rsidRDefault="00313D98" w:rsidP="00313D98">
      <w:pPr>
        <w:widowControl/>
        <w:autoSpaceDE/>
        <w:autoSpaceDN/>
        <w:adjustRightInd/>
        <w:ind w:firstLine="709"/>
        <w:jc w:val="both"/>
        <w:rPr>
          <w:rFonts w:ascii="Times New Roman" w:eastAsia="Times New Roman" w:hAnsi="Times New Roman" w:cs="Times New Roman"/>
          <w:color w:val="000000"/>
          <w:sz w:val="24"/>
          <w:szCs w:val="24"/>
        </w:rPr>
      </w:pPr>
      <w:r w:rsidRPr="008B3C30">
        <w:rPr>
          <w:rFonts w:ascii="Times New Roman" w:eastAsia="Times New Roman" w:hAnsi="Times New Roman" w:cs="Times New Roman"/>
          <w:sz w:val="24"/>
          <w:szCs w:val="24"/>
        </w:rPr>
        <w:t xml:space="preserve">През </w:t>
      </w:r>
      <w:r w:rsidRPr="008B3C30">
        <w:rPr>
          <w:rFonts w:ascii="Times New Roman" w:eastAsia="Times New Roman" w:hAnsi="Times New Roman" w:cs="Times New Roman"/>
          <w:color w:val="000000"/>
          <w:sz w:val="24"/>
          <w:szCs w:val="24"/>
        </w:rPr>
        <w:t xml:space="preserve">2017 г. е подписан </w:t>
      </w:r>
      <w:r w:rsidR="00F62C75" w:rsidRPr="008B3C30">
        <w:rPr>
          <w:rFonts w:ascii="Times New Roman" w:eastAsia="Times New Roman" w:hAnsi="Times New Roman" w:cs="Times New Roman"/>
          <w:color w:val="000000"/>
          <w:sz w:val="24"/>
          <w:szCs w:val="24"/>
        </w:rPr>
        <w:t xml:space="preserve">Меморандум с цел установяване на устойчиво партньорство в инициативи за повишаване на финансовата и икономическа грамотност на учащите </w:t>
      </w:r>
      <w:r w:rsidRPr="008B3C30">
        <w:rPr>
          <w:rFonts w:ascii="Times New Roman" w:eastAsia="Times New Roman" w:hAnsi="Times New Roman" w:cs="Times New Roman"/>
          <w:color w:val="000000"/>
          <w:sz w:val="24"/>
          <w:szCs w:val="24"/>
        </w:rPr>
        <w:t xml:space="preserve">от страна на осемте водещи браншови асоциации от финансовия сектор </w:t>
      </w:r>
      <w:r w:rsidR="00DF008E" w:rsidRPr="008B3C30">
        <w:rPr>
          <w:rFonts w:ascii="Times New Roman" w:hAnsi="Times New Roman" w:cs="Times New Roman"/>
        </w:rPr>
        <w:t>–</w:t>
      </w:r>
      <w:r w:rsidRPr="008B3C30">
        <w:rPr>
          <w:rFonts w:ascii="Times New Roman" w:eastAsia="Times New Roman" w:hAnsi="Times New Roman" w:cs="Times New Roman"/>
          <w:color w:val="000000"/>
          <w:sz w:val="24"/>
          <w:szCs w:val="24"/>
        </w:rPr>
        <w:t xml:space="preserve"> Асоциация на банките в България (АББ), Асоциация на българските застрахователи (АБЗ), Българска асоциация за лизинг (БАЛ), Българска асоциация за потребителско кредитиране (БАПК), Българска асоциация на дружествата за допълнително пенсионно осигуряване (БАДДПО), Българска асоциация на застрахователните брокери (БАЗБ), Българска асоциация на лицензираните инвестиционни посредници (БАЛИП), Българска асоциация на управляващите дружества (БАУД). Целите, залегнали в меморандума, са постигането на устойчиви резултати посредством мащабна инициатива за повишаване на финансовата грамотност на завършващите гимназисти и чрез дълготрайно залагане на съответния предмет в учебната програма.</w:t>
      </w:r>
    </w:p>
    <w:p w:rsidR="00313D98" w:rsidRPr="008B3C30" w:rsidRDefault="00313D98" w:rsidP="00313D98">
      <w:pPr>
        <w:widowControl/>
        <w:autoSpaceDE/>
        <w:autoSpaceDN/>
        <w:adjustRightInd/>
        <w:ind w:firstLine="709"/>
        <w:jc w:val="both"/>
        <w:rPr>
          <w:rFonts w:ascii="Times New Roman" w:eastAsia="Calibri" w:hAnsi="Times New Roman" w:cs="Times New Roman"/>
          <w:sz w:val="24"/>
          <w:szCs w:val="24"/>
          <w:lang w:eastAsia="en-US"/>
        </w:rPr>
      </w:pPr>
    </w:p>
    <w:p w:rsidR="00744BA1" w:rsidRDefault="00744BA1" w:rsidP="00544152">
      <w:pPr>
        <w:shd w:val="clear" w:color="auto" w:fill="FFFFFF"/>
        <w:tabs>
          <w:tab w:val="left" w:pos="709"/>
        </w:tabs>
        <w:spacing w:before="278" w:after="240" w:line="274" w:lineRule="exact"/>
        <w:ind w:right="3"/>
        <w:jc w:val="center"/>
        <w:rPr>
          <w:rFonts w:ascii="Times New Roman" w:hAnsi="Times New Roman" w:cs="Times New Roman"/>
          <w:b/>
          <w:bCs/>
          <w:color w:val="000000"/>
          <w:spacing w:val="-1"/>
          <w:sz w:val="24"/>
          <w:szCs w:val="24"/>
        </w:rPr>
      </w:pPr>
      <w:r w:rsidRPr="008B3C30">
        <w:rPr>
          <w:rFonts w:ascii="Times New Roman" w:hAnsi="Times New Roman" w:cs="Times New Roman"/>
          <w:b/>
          <w:bCs/>
          <w:color w:val="000000"/>
          <w:sz w:val="24"/>
          <w:szCs w:val="24"/>
        </w:rPr>
        <w:t xml:space="preserve">IV. ЦЕЛИ, МЕРКИ И ДЕЙСТВИЯ ЗА ЗАЩИТА НА ПОТРЕБИТЕЛИТЕ НА </w:t>
      </w:r>
      <w:r w:rsidRPr="008B3C30">
        <w:rPr>
          <w:rFonts w:ascii="Times New Roman" w:hAnsi="Times New Roman" w:cs="Times New Roman"/>
          <w:b/>
          <w:bCs/>
          <w:color w:val="000000"/>
          <w:spacing w:val="-2"/>
          <w:sz w:val="24"/>
          <w:szCs w:val="24"/>
        </w:rPr>
        <w:t xml:space="preserve">НЕБАНКОВИ ФИНАНСОВИ УСЛУГИ И ПОВИШАВАНЕ НИВОТО НА </w:t>
      </w:r>
      <w:r w:rsidRPr="008B3C30">
        <w:rPr>
          <w:rFonts w:ascii="Times New Roman" w:hAnsi="Times New Roman" w:cs="Times New Roman"/>
          <w:b/>
          <w:bCs/>
          <w:color w:val="000000"/>
          <w:spacing w:val="-1"/>
          <w:sz w:val="24"/>
          <w:szCs w:val="24"/>
        </w:rPr>
        <w:t>ФИНАНСОВА ГРАМОТНОСТ</w:t>
      </w:r>
    </w:p>
    <w:p w:rsidR="00744BA1" w:rsidRPr="008B3C30" w:rsidRDefault="00744BA1" w:rsidP="00544152">
      <w:pPr>
        <w:shd w:val="clear" w:color="auto" w:fill="FFFFFF"/>
        <w:spacing w:before="120"/>
        <w:ind w:firstLine="708"/>
        <w:jc w:val="both"/>
        <w:rPr>
          <w:rFonts w:ascii="Times New Roman" w:hAnsi="Times New Roman" w:cs="Times New Roman"/>
          <w:color w:val="000000"/>
          <w:sz w:val="24"/>
          <w:szCs w:val="24"/>
        </w:rPr>
      </w:pPr>
      <w:r w:rsidRPr="008B3C30">
        <w:rPr>
          <w:rFonts w:ascii="Times New Roman" w:hAnsi="Times New Roman" w:cs="Times New Roman"/>
          <w:color w:val="000000"/>
          <w:spacing w:val="6"/>
          <w:sz w:val="24"/>
          <w:szCs w:val="24"/>
        </w:rPr>
        <w:t xml:space="preserve">Повишената значимост на защитата на потребителите на финансови услуги като част от </w:t>
      </w:r>
      <w:r w:rsidRPr="008B3C30">
        <w:rPr>
          <w:rFonts w:ascii="Times New Roman" w:hAnsi="Times New Roman" w:cs="Times New Roman"/>
          <w:color w:val="000000"/>
          <w:spacing w:val="-1"/>
          <w:sz w:val="24"/>
          <w:szCs w:val="24"/>
        </w:rPr>
        <w:t xml:space="preserve">приоритетите на КФН предопределя </w:t>
      </w:r>
      <w:r w:rsidRPr="008B3C30">
        <w:rPr>
          <w:rFonts w:ascii="Times New Roman" w:hAnsi="Times New Roman" w:cs="Times New Roman"/>
          <w:color w:val="000000"/>
          <w:spacing w:val="1"/>
          <w:sz w:val="24"/>
          <w:szCs w:val="24"/>
        </w:rPr>
        <w:t xml:space="preserve">необходимостта от създаване и прилагане на целенасочена и </w:t>
      </w:r>
      <w:r w:rsidRPr="008B3C30">
        <w:rPr>
          <w:rFonts w:ascii="Times New Roman" w:hAnsi="Times New Roman" w:cs="Times New Roman"/>
          <w:color w:val="000000"/>
          <w:spacing w:val="7"/>
          <w:sz w:val="24"/>
          <w:szCs w:val="24"/>
        </w:rPr>
        <w:t xml:space="preserve">последователна политика </w:t>
      </w:r>
      <w:r w:rsidR="00F62C75" w:rsidRPr="008B3C30">
        <w:rPr>
          <w:rFonts w:ascii="Times New Roman" w:hAnsi="Times New Roman" w:cs="Times New Roman"/>
          <w:color w:val="000000"/>
          <w:spacing w:val="7"/>
          <w:sz w:val="24"/>
          <w:szCs w:val="24"/>
        </w:rPr>
        <w:t xml:space="preserve">на </w:t>
      </w:r>
      <w:r w:rsidRPr="008B3C30">
        <w:rPr>
          <w:rFonts w:ascii="Times New Roman" w:hAnsi="Times New Roman" w:cs="Times New Roman"/>
          <w:color w:val="000000"/>
          <w:spacing w:val="7"/>
          <w:sz w:val="24"/>
          <w:szCs w:val="24"/>
        </w:rPr>
        <w:t>защита на интересите на ползвателите или потенциални такива на услуги в небанковия финансов сектор. С</w:t>
      </w:r>
      <w:r w:rsidRPr="008B3C30">
        <w:rPr>
          <w:rFonts w:ascii="Times New Roman" w:hAnsi="Times New Roman" w:cs="Times New Roman"/>
          <w:color w:val="000000"/>
          <w:spacing w:val="2"/>
          <w:sz w:val="24"/>
          <w:szCs w:val="24"/>
        </w:rPr>
        <w:t xml:space="preserve">тратегическият подход към реализирането на политиката в тази връзка осигурява концентрация на усилията чрез дефинирането на водещи и второстепенни цели, мерки и необходими ресурси, като отчита </w:t>
      </w:r>
      <w:r w:rsidRPr="008B3C30">
        <w:rPr>
          <w:rFonts w:ascii="Times New Roman" w:hAnsi="Times New Roman" w:cs="Times New Roman"/>
          <w:color w:val="000000"/>
          <w:spacing w:val="9"/>
          <w:sz w:val="24"/>
          <w:szCs w:val="24"/>
        </w:rPr>
        <w:t>спецификата на небанковия финансов сектор, правната рамка и прогнозата за развитието на финансовите иновации.</w:t>
      </w:r>
    </w:p>
    <w:p w:rsidR="00744BA1" w:rsidRDefault="00744BA1" w:rsidP="00744BA1">
      <w:pPr>
        <w:shd w:val="clear" w:color="auto" w:fill="FFFFFF"/>
        <w:spacing w:before="120"/>
        <w:jc w:val="both"/>
        <w:rPr>
          <w:rFonts w:ascii="Times New Roman" w:hAnsi="Times New Roman" w:cs="Times New Roman"/>
          <w:b/>
          <w:bCs/>
          <w:color w:val="000000"/>
          <w:spacing w:val="-1"/>
          <w:sz w:val="24"/>
          <w:szCs w:val="24"/>
        </w:rPr>
      </w:pPr>
    </w:p>
    <w:p w:rsidR="00A14989" w:rsidRPr="008B3C30" w:rsidRDefault="00A14989" w:rsidP="00744BA1">
      <w:pPr>
        <w:shd w:val="clear" w:color="auto" w:fill="FFFFFF"/>
        <w:spacing w:before="120"/>
        <w:jc w:val="both"/>
        <w:rPr>
          <w:rFonts w:ascii="Times New Roman" w:hAnsi="Times New Roman" w:cs="Times New Roman"/>
          <w:b/>
          <w:bCs/>
          <w:color w:val="000000"/>
          <w:spacing w:val="-1"/>
          <w:sz w:val="24"/>
          <w:szCs w:val="24"/>
        </w:rPr>
      </w:pPr>
    </w:p>
    <w:p w:rsidR="00744BA1" w:rsidRPr="008B3C30" w:rsidRDefault="00744BA1" w:rsidP="00A14989">
      <w:pPr>
        <w:shd w:val="clear" w:color="auto" w:fill="FFFFFF"/>
        <w:spacing w:before="120"/>
        <w:jc w:val="center"/>
        <w:rPr>
          <w:rFonts w:ascii="Times New Roman" w:hAnsi="Times New Roman" w:cs="Times New Roman"/>
          <w:b/>
          <w:bCs/>
          <w:color w:val="000000"/>
          <w:spacing w:val="-1"/>
          <w:sz w:val="24"/>
          <w:szCs w:val="24"/>
        </w:rPr>
      </w:pPr>
      <w:r w:rsidRPr="008B3C30">
        <w:rPr>
          <w:rFonts w:ascii="Times New Roman" w:hAnsi="Times New Roman" w:cs="Times New Roman"/>
          <w:b/>
          <w:bCs/>
          <w:color w:val="000000"/>
          <w:spacing w:val="-1"/>
          <w:sz w:val="24"/>
          <w:szCs w:val="24"/>
        </w:rPr>
        <w:lastRenderedPageBreak/>
        <w:t xml:space="preserve">Водещи стратегически цели на Програмата за защита на потребителите на </w:t>
      </w:r>
      <w:r w:rsidR="00C42A33">
        <w:rPr>
          <w:rFonts w:ascii="Times New Roman" w:hAnsi="Times New Roman" w:cs="Times New Roman"/>
          <w:b/>
          <w:bCs/>
          <w:color w:val="000000"/>
          <w:spacing w:val="-1"/>
          <w:sz w:val="24"/>
          <w:szCs w:val="24"/>
        </w:rPr>
        <w:t xml:space="preserve">небанкови </w:t>
      </w:r>
      <w:r w:rsidRPr="008B3C30">
        <w:rPr>
          <w:rFonts w:ascii="Times New Roman" w:hAnsi="Times New Roman" w:cs="Times New Roman"/>
          <w:b/>
          <w:bCs/>
          <w:color w:val="000000"/>
          <w:spacing w:val="-1"/>
          <w:sz w:val="24"/>
          <w:szCs w:val="24"/>
        </w:rPr>
        <w:t>финансови услуги</w:t>
      </w:r>
      <w:r w:rsidR="00C42A33">
        <w:rPr>
          <w:rFonts w:ascii="Times New Roman" w:hAnsi="Times New Roman" w:cs="Times New Roman"/>
          <w:b/>
          <w:bCs/>
          <w:color w:val="000000"/>
          <w:spacing w:val="-1"/>
          <w:sz w:val="24"/>
          <w:szCs w:val="24"/>
        </w:rPr>
        <w:t xml:space="preserve"> и продукти</w:t>
      </w:r>
      <w:r w:rsidRPr="008B3C30">
        <w:rPr>
          <w:rFonts w:ascii="Times New Roman" w:hAnsi="Times New Roman" w:cs="Times New Roman"/>
          <w:b/>
          <w:bCs/>
          <w:color w:val="000000"/>
          <w:spacing w:val="-1"/>
          <w:sz w:val="24"/>
          <w:szCs w:val="24"/>
        </w:rPr>
        <w:t>:</w:t>
      </w:r>
    </w:p>
    <w:p w:rsidR="00744BA1" w:rsidRPr="008B3C30" w:rsidRDefault="00744BA1" w:rsidP="00744BA1">
      <w:pPr>
        <w:autoSpaceDE/>
        <w:autoSpaceDN/>
        <w:adjustRightInd/>
        <w:spacing w:before="120"/>
        <w:jc w:val="both"/>
        <w:rPr>
          <w:rFonts w:ascii="Times New Roman" w:hAnsi="Times New Roman" w:cs="Times New Roman"/>
          <w:b/>
          <w:sz w:val="24"/>
          <w:szCs w:val="24"/>
        </w:rPr>
      </w:pPr>
      <w:r w:rsidRPr="008B3C30">
        <w:rPr>
          <w:rFonts w:ascii="Times New Roman" w:hAnsi="Times New Roman" w:cs="Times New Roman"/>
          <w:b/>
          <w:sz w:val="24"/>
          <w:szCs w:val="24"/>
        </w:rPr>
        <w:t>Стратегическа цел № 1</w:t>
      </w:r>
      <w:r w:rsidR="006300D8" w:rsidRPr="008B3C30">
        <w:rPr>
          <w:rFonts w:ascii="Times New Roman" w:hAnsi="Times New Roman" w:cs="Times New Roman"/>
          <w:b/>
          <w:sz w:val="24"/>
          <w:szCs w:val="24"/>
        </w:rPr>
        <w:t>:</w:t>
      </w:r>
      <w:r w:rsidRPr="008B3C30">
        <w:rPr>
          <w:rFonts w:ascii="Times New Roman" w:hAnsi="Times New Roman" w:cs="Times New Roman"/>
          <w:b/>
          <w:sz w:val="24"/>
          <w:szCs w:val="24"/>
        </w:rPr>
        <w:t xml:space="preserve"> Подобряване на регулаторната рамка в областта на защита на потребителите </w:t>
      </w:r>
    </w:p>
    <w:p w:rsidR="00744BA1" w:rsidRPr="008B3C30" w:rsidRDefault="00744BA1" w:rsidP="008212B7">
      <w:pPr>
        <w:numPr>
          <w:ilvl w:val="0"/>
          <w:numId w:val="2"/>
        </w:numPr>
        <w:autoSpaceDE/>
        <w:autoSpaceDN/>
        <w:adjustRightInd/>
        <w:spacing w:before="120"/>
        <w:ind w:left="0" w:firstLine="0"/>
        <w:jc w:val="both"/>
        <w:rPr>
          <w:rFonts w:ascii="Times New Roman" w:hAnsi="Times New Roman" w:cs="Times New Roman"/>
          <w:sz w:val="24"/>
          <w:szCs w:val="24"/>
        </w:rPr>
      </w:pPr>
      <w:r w:rsidRPr="008B3C30">
        <w:rPr>
          <w:rFonts w:ascii="Times New Roman" w:hAnsi="Times New Roman" w:cs="Times New Roman"/>
          <w:bCs/>
          <w:sz w:val="24"/>
          <w:szCs w:val="24"/>
        </w:rPr>
        <w:t xml:space="preserve">Промяна в регулаторната рамка, съобразена с европейското законодателство. </w:t>
      </w:r>
    </w:p>
    <w:p w:rsidR="00744BA1" w:rsidRPr="008B3C30" w:rsidRDefault="00744BA1" w:rsidP="008212B7">
      <w:pPr>
        <w:numPr>
          <w:ilvl w:val="0"/>
          <w:numId w:val="2"/>
        </w:numPr>
        <w:autoSpaceDE/>
        <w:autoSpaceDN/>
        <w:adjustRightInd/>
        <w:spacing w:before="120"/>
        <w:ind w:left="0" w:firstLine="0"/>
        <w:jc w:val="both"/>
        <w:rPr>
          <w:rFonts w:ascii="Times New Roman" w:hAnsi="Times New Roman" w:cs="Times New Roman"/>
          <w:sz w:val="24"/>
          <w:szCs w:val="24"/>
        </w:rPr>
      </w:pPr>
      <w:r w:rsidRPr="008B3C30">
        <w:rPr>
          <w:rFonts w:ascii="Times New Roman" w:hAnsi="Times New Roman" w:cs="Times New Roman"/>
          <w:bCs/>
          <w:sz w:val="24"/>
          <w:szCs w:val="24"/>
        </w:rPr>
        <w:t xml:space="preserve">Изграждане на механизми за осигуряване на равнопоставено третиране на потребителите, осигуряване на достъп до достатъчна, ясна и </w:t>
      </w:r>
      <w:proofErr w:type="spellStart"/>
      <w:r w:rsidRPr="008B3C30">
        <w:rPr>
          <w:rFonts w:ascii="Times New Roman" w:hAnsi="Times New Roman" w:cs="Times New Roman"/>
          <w:bCs/>
          <w:sz w:val="24"/>
          <w:szCs w:val="24"/>
        </w:rPr>
        <w:t>неподвеждаща</w:t>
      </w:r>
      <w:proofErr w:type="spellEnd"/>
      <w:r w:rsidRPr="008B3C30">
        <w:rPr>
          <w:rFonts w:ascii="Times New Roman" w:hAnsi="Times New Roman" w:cs="Times New Roman"/>
          <w:bCs/>
          <w:sz w:val="24"/>
          <w:szCs w:val="24"/>
        </w:rPr>
        <w:t xml:space="preserve"> информация.</w:t>
      </w:r>
    </w:p>
    <w:p w:rsidR="00744BA1" w:rsidRPr="008B3C30" w:rsidRDefault="00C42A33" w:rsidP="00744BA1">
      <w:pPr>
        <w:autoSpaceDE/>
        <w:autoSpaceDN/>
        <w:adjustRightInd/>
        <w:spacing w:before="120"/>
        <w:jc w:val="both"/>
        <w:rPr>
          <w:rFonts w:ascii="Times New Roman" w:hAnsi="Times New Roman" w:cs="Times New Roman"/>
          <w:b/>
          <w:sz w:val="24"/>
          <w:szCs w:val="24"/>
        </w:rPr>
      </w:pPr>
      <w:r>
        <w:rPr>
          <w:rFonts w:ascii="Times New Roman" w:hAnsi="Times New Roman" w:cs="Times New Roman"/>
          <w:b/>
          <w:sz w:val="24"/>
          <w:szCs w:val="24"/>
        </w:rPr>
        <w:t>Мерки</w:t>
      </w:r>
      <w:r w:rsidR="00744BA1" w:rsidRPr="008B3C30">
        <w:rPr>
          <w:rFonts w:ascii="Times New Roman" w:hAnsi="Times New Roman" w:cs="Times New Roman"/>
          <w:b/>
          <w:sz w:val="24"/>
          <w:szCs w:val="24"/>
        </w:rPr>
        <w:t xml:space="preserve"> </w:t>
      </w:r>
      <w:r w:rsidR="00767FA7" w:rsidRPr="008B3C30">
        <w:rPr>
          <w:rFonts w:ascii="Times New Roman" w:hAnsi="Times New Roman" w:cs="Times New Roman"/>
          <w:b/>
          <w:sz w:val="24"/>
          <w:szCs w:val="24"/>
        </w:rPr>
        <w:t xml:space="preserve">за изпълнение на стратегическата цел № 1, </w:t>
      </w:r>
      <w:r w:rsidR="00744BA1" w:rsidRPr="008B3C30">
        <w:rPr>
          <w:rFonts w:ascii="Times New Roman" w:hAnsi="Times New Roman" w:cs="Times New Roman"/>
          <w:b/>
          <w:sz w:val="24"/>
          <w:szCs w:val="24"/>
        </w:rPr>
        <w:t>установени от КФН:</w:t>
      </w:r>
    </w:p>
    <w:p w:rsidR="00744BA1" w:rsidRPr="008B3C30" w:rsidRDefault="00744BA1" w:rsidP="008212B7">
      <w:pPr>
        <w:pStyle w:val="Default"/>
        <w:numPr>
          <w:ilvl w:val="0"/>
          <w:numId w:val="15"/>
        </w:numPr>
        <w:spacing w:before="120"/>
        <w:ind w:left="0" w:firstLine="0"/>
        <w:jc w:val="both"/>
        <w:rPr>
          <w:rFonts w:eastAsiaTheme="minorHAnsi"/>
        </w:rPr>
      </w:pPr>
      <w:r w:rsidRPr="008B3C30">
        <w:rPr>
          <w:rFonts w:eastAsiaTheme="minorHAnsi"/>
        </w:rPr>
        <w:t xml:space="preserve">Продължаване </w:t>
      </w:r>
      <w:r w:rsidR="00E97CE2" w:rsidRPr="008B3C30">
        <w:rPr>
          <w:rFonts w:eastAsiaTheme="minorHAnsi"/>
        </w:rPr>
        <w:t xml:space="preserve">работата </w:t>
      </w:r>
      <w:r w:rsidRPr="008B3C30">
        <w:rPr>
          <w:rFonts w:eastAsiaTheme="minorHAnsi"/>
        </w:rPr>
        <w:t>на работна група от експерти от трите управления на КФН</w:t>
      </w:r>
      <w:r w:rsidR="00CF5742">
        <w:rPr>
          <w:rFonts w:eastAsiaTheme="minorHAnsi"/>
        </w:rPr>
        <w:t>,</w:t>
      </w:r>
      <w:r w:rsidRPr="008B3C30">
        <w:rPr>
          <w:rFonts w:eastAsiaTheme="minorHAnsi"/>
        </w:rPr>
        <w:t xml:space="preserve"> </w:t>
      </w:r>
      <w:r w:rsidRPr="008B3C30">
        <w:rPr>
          <w:color w:val="auto"/>
        </w:rPr>
        <w:t>дирекция „Анализи, жалби и преструктуриране“, дирекция „Връзки с обществеността и протокол”, дирекция „Международно сътрудничество”, дирекция „Правна”</w:t>
      </w:r>
      <w:r w:rsidR="00E97CE2" w:rsidRPr="008B3C30">
        <w:rPr>
          <w:color w:val="auto"/>
        </w:rPr>
        <w:t xml:space="preserve"> </w:t>
      </w:r>
      <w:r w:rsidR="00E97CE2" w:rsidRPr="008B3C30">
        <w:t>–</w:t>
      </w:r>
      <w:r w:rsidRPr="008B3C30">
        <w:rPr>
          <w:color w:val="auto"/>
        </w:rPr>
        <w:t>за изготвяне на относима към промените на небанковия финансов сектор регулаторна рамка</w:t>
      </w:r>
    </w:p>
    <w:p w:rsidR="00744BA1" w:rsidRPr="008B3C30" w:rsidRDefault="00744BA1" w:rsidP="008212B7">
      <w:pPr>
        <w:pStyle w:val="Default"/>
        <w:numPr>
          <w:ilvl w:val="0"/>
          <w:numId w:val="15"/>
        </w:numPr>
        <w:spacing w:before="120"/>
        <w:ind w:left="0" w:firstLine="0"/>
        <w:jc w:val="both"/>
        <w:rPr>
          <w:rFonts w:eastAsiaTheme="minorHAnsi"/>
        </w:rPr>
      </w:pPr>
      <w:r w:rsidRPr="008B3C30">
        <w:rPr>
          <w:rFonts w:eastAsiaTheme="minorHAnsi"/>
        </w:rPr>
        <w:t>Разработване на проекти на закони и подзаконови нормативни актове, свързани с дейността</w:t>
      </w:r>
      <w:r w:rsidRPr="008B3C30">
        <w:t xml:space="preserve"> на КФН</w:t>
      </w:r>
      <w:r w:rsidR="005A74CB" w:rsidRPr="008B3C30">
        <w:t>.</w:t>
      </w:r>
    </w:p>
    <w:p w:rsidR="00767FA7" w:rsidRPr="008B3C30" w:rsidRDefault="00767FA7" w:rsidP="00767FA7">
      <w:pPr>
        <w:pStyle w:val="Default"/>
        <w:spacing w:before="120"/>
        <w:jc w:val="both"/>
        <w:rPr>
          <w:rFonts w:eastAsiaTheme="minorHAnsi"/>
        </w:rPr>
      </w:pPr>
      <w:r w:rsidRPr="008B3C30">
        <w:rPr>
          <w:color w:val="auto"/>
        </w:rPr>
        <w:t xml:space="preserve">Постоянно действаща работна група, в която да вземат участие представители от трите специализирани управления, дирекция „Анализи, жалби и преструктуриране“, дирекция „Връзки с обществеността и протокол”, дирекция „Международно сътрудничество”, дирекция „Правна” да извършва периодичен </w:t>
      </w:r>
      <w:r w:rsidR="00744BA1" w:rsidRPr="008B3C30">
        <w:t xml:space="preserve"> анализ на регулаторната рамка и преглед на добрите практики на европейско ниво в механизмите за осигуряване на равнопоставено третиране на потребителите</w:t>
      </w:r>
      <w:r w:rsidRPr="008B3C30">
        <w:t>.</w:t>
      </w:r>
      <w:r w:rsidR="00744BA1" w:rsidRPr="008B3C30">
        <w:t xml:space="preserve"> </w:t>
      </w:r>
      <w:r w:rsidRPr="008B3C30">
        <w:rPr>
          <w:color w:val="auto"/>
        </w:rPr>
        <w:t>С</w:t>
      </w:r>
      <w:r w:rsidR="00744BA1" w:rsidRPr="008B3C30">
        <w:rPr>
          <w:color w:val="auto"/>
        </w:rPr>
        <w:t xml:space="preserve"> цел постигане на посочените мерки за повишаване качеството на защитата на потребителите</w:t>
      </w:r>
      <w:r w:rsidR="00E97CE2" w:rsidRPr="008B3C30">
        <w:rPr>
          <w:color w:val="auto"/>
        </w:rPr>
        <w:t>,</w:t>
      </w:r>
      <w:r w:rsidR="00744BA1" w:rsidRPr="008B3C30">
        <w:t xml:space="preserve"> се предвижда изготвяне на проекти на законодателни промени, </w:t>
      </w:r>
      <w:r w:rsidR="00744BA1" w:rsidRPr="008B3C30">
        <w:rPr>
          <w:color w:val="auto"/>
        </w:rPr>
        <w:t>материали, които да се публикуват периодично на официалния сайт на КФН</w:t>
      </w:r>
      <w:r w:rsidRPr="008B3C30">
        <w:rPr>
          <w:color w:val="auto"/>
        </w:rPr>
        <w:t xml:space="preserve"> и да се актуализира информацията в рубриката „За потребителя”</w:t>
      </w:r>
      <w:r w:rsidRPr="008B3C30">
        <w:rPr>
          <w:rFonts w:eastAsiaTheme="minorHAnsi"/>
        </w:rPr>
        <w:t xml:space="preserve">. </w:t>
      </w:r>
    </w:p>
    <w:p w:rsidR="00767FA7" w:rsidRPr="008B3C30" w:rsidRDefault="00767FA7" w:rsidP="00767FA7">
      <w:pPr>
        <w:pStyle w:val="BodyText"/>
        <w:shd w:val="clear" w:color="auto" w:fill="auto"/>
        <w:spacing w:before="120"/>
        <w:ind w:firstLine="0"/>
        <w:rPr>
          <w:rFonts w:cs="Times New Roman"/>
          <w:b/>
          <w:sz w:val="24"/>
          <w:szCs w:val="24"/>
        </w:rPr>
      </w:pPr>
    </w:p>
    <w:p w:rsidR="00744BA1" w:rsidRPr="008B3C30" w:rsidRDefault="00744BA1" w:rsidP="00744BA1">
      <w:pPr>
        <w:pStyle w:val="BodyText"/>
        <w:shd w:val="clear" w:color="auto" w:fill="auto"/>
        <w:spacing w:before="120"/>
        <w:ind w:firstLine="0"/>
        <w:rPr>
          <w:rFonts w:cs="Times New Roman"/>
          <w:b/>
          <w:sz w:val="24"/>
          <w:szCs w:val="24"/>
        </w:rPr>
      </w:pPr>
      <w:r w:rsidRPr="008B3C30">
        <w:rPr>
          <w:rFonts w:cs="Times New Roman"/>
          <w:b/>
          <w:sz w:val="24"/>
          <w:szCs w:val="24"/>
        </w:rPr>
        <w:t>Стратегическата цел № 2</w:t>
      </w:r>
      <w:r w:rsidR="006300D8" w:rsidRPr="008B3C30">
        <w:rPr>
          <w:rFonts w:cs="Times New Roman"/>
          <w:b/>
          <w:sz w:val="24"/>
          <w:szCs w:val="24"/>
        </w:rPr>
        <w:t>:</w:t>
      </w:r>
      <w:r w:rsidRPr="008B3C30">
        <w:rPr>
          <w:rFonts w:cs="Times New Roman"/>
          <w:b/>
          <w:sz w:val="24"/>
          <w:szCs w:val="24"/>
        </w:rPr>
        <w:t xml:space="preserve"> Ефективно прилагане на потребителското право</w:t>
      </w:r>
    </w:p>
    <w:p w:rsidR="00744BA1" w:rsidRPr="008B3C30" w:rsidRDefault="00744BA1" w:rsidP="008212B7">
      <w:pPr>
        <w:numPr>
          <w:ilvl w:val="0"/>
          <w:numId w:val="3"/>
        </w:numPr>
        <w:autoSpaceDE/>
        <w:autoSpaceDN/>
        <w:adjustRightInd/>
        <w:spacing w:before="120"/>
        <w:ind w:left="0" w:firstLine="0"/>
        <w:jc w:val="both"/>
        <w:rPr>
          <w:rFonts w:ascii="Times New Roman" w:hAnsi="Times New Roman" w:cs="Times New Roman"/>
          <w:sz w:val="24"/>
          <w:szCs w:val="24"/>
        </w:rPr>
      </w:pPr>
      <w:r w:rsidRPr="008B3C30">
        <w:rPr>
          <w:rFonts w:ascii="Times New Roman" w:hAnsi="Times New Roman" w:cs="Times New Roman"/>
          <w:sz w:val="24"/>
          <w:szCs w:val="24"/>
        </w:rPr>
        <w:t>Създаване на законови разпоредби в действащите нормативни и поднормативни актове с оглед осигуряване на възможност за прилагане в действие на установените в регулаторната рамка възможности за ефективна защита на потребителите, отчитаща добрите надзорни практики</w:t>
      </w:r>
    </w:p>
    <w:p w:rsidR="00744BA1" w:rsidRPr="008B3C30" w:rsidRDefault="00744BA1" w:rsidP="008212B7">
      <w:pPr>
        <w:numPr>
          <w:ilvl w:val="0"/>
          <w:numId w:val="3"/>
        </w:numPr>
        <w:autoSpaceDE/>
        <w:autoSpaceDN/>
        <w:adjustRightInd/>
        <w:spacing w:before="120"/>
        <w:ind w:left="0" w:firstLine="0"/>
        <w:jc w:val="both"/>
        <w:rPr>
          <w:rFonts w:ascii="Times New Roman" w:hAnsi="Times New Roman" w:cs="Times New Roman"/>
          <w:sz w:val="24"/>
          <w:szCs w:val="24"/>
        </w:rPr>
      </w:pPr>
      <w:r w:rsidRPr="008B3C30">
        <w:rPr>
          <w:rFonts w:ascii="Times New Roman" w:hAnsi="Times New Roman" w:cs="Times New Roman"/>
          <w:sz w:val="24"/>
          <w:szCs w:val="24"/>
        </w:rPr>
        <w:t>Прилагане на законовите правомощия за защита правата на потребителите в хода на извършваната надзорна дейност.</w:t>
      </w:r>
    </w:p>
    <w:p w:rsidR="00744BA1" w:rsidRPr="008B3C30" w:rsidRDefault="00744BA1" w:rsidP="00744BA1">
      <w:pPr>
        <w:spacing w:before="120"/>
        <w:jc w:val="both"/>
        <w:rPr>
          <w:rFonts w:ascii="Times New Roman" w:hAnsi="Times New Roman" w:cs="Times New Roman"/>
          <w:b/>
          <w:sz w:val="24"/>
          <w:szCs w:val="24"/>
        </w:rPr>
      </w:pPr>
      <w:r w:rsidRPr="008B3C30">
        <w:rPr>
          <w:rFonts w:ascii="Times New Roman" w:hAnsi="Times New Roman" w:cs="Times New Roman"/>
          <w:b/>
          <w:sz w:val="24"/>
          <w:szCs w:val="24"/>
        </w:rPr>
        <w:t>Мерки за изпълнение на стратегическата цел № 2</w:t>
      </w:r>
      <w:r w:rsidR="00767FA7" w:rsidRPr="008B3C30">
        <w:rPr>
          <w:rFonts w:ascii="Times New Roman" w:hAnsi="Times New Roman" w:cs="Times New Roman"/>
          <w:b/>
          <w:sz w:val="24"/>
          <w:szCs w:val="24"/>
        </w:rPr>
        <w:t>, установени от КФН</w:t>
      </w:r>
      <w:r w:rsidRPr="008B3C30">
        <w:rPr>
          <w:rFonts w:ascii="Times New Roman" w:hAnsi="Times New Roman" w:cs="Times New Roman"/>
          <w:b/>
          <w:sz w:val="24"/>
          <w:szCs w:val="24"/>
        </w:rPr>
        <w:t>:</w:t>
      </w:r>
    </w:p>
    <w:p w:rsidR="00744BA1" w:rsidRPr="008B3C30" w:rsidRDefault="00744BA1" w:rsidP="008212B7">
      <w:pPr>
        <w:pStyle w:val="ListParagraph"/>
        <w:numPr>
          <w:ilvl w:val="0"/>
          <w:numId w:val="16"/>
        </w:numPr>
        <w:tabs>
          <w:tab w:val="left" w:pos="709"/>
        </w:tabs>
        <w:spacing w:before="120"/>
        <w:ind w:left="0" w:firstLine="0"/>
        <w:contextualSpacing w:val="0"/>
        <w:jc w:val="both"/>
        <w:rPr>
          <w:rFonts w:eastAsia="Calibri"/>
          <w:sz w:val="24"/>
          <w:szCs w:val="24"/>
          <w:lang w:val="bg-BG" w:eastAsia="en-US"/>
        </w:rPr>
      </w:pPr>
      <w:r w:rsidRPr="008B3C30">
        <w:rPr>
          <w:rFonts w:eastAsia="Calibri"/>
          <w:sz w:val="24"/>
          <w:szCs w:val="24"/>
          <w:lang w:val="bg-BG" w:eastAsia="en-US"/>
        </w:rPr>
        <w:t>Осъществяване на активна координация между съответните регулаторни органи с цел осигуряване на адекватен надзор и избягване на потенциални вредни последици за потребителите на услуги в небанковия финансов сектор, в качеството им на по-слабата страна в застрахователното, инвестиционното или осигурително правоотношение;</w:t>
      </w:r>
    </w:p>
    <w:p w:rsidR="00744BA1" w:rsidRPr="008B3C30" w:rsidRDefault="00744BA1" w:rsidP="00744BA1">
      <w:pPr>
        <w:tabs>
          <w:tab w:val="left" w:pos="709"/>
        </w:tabs>
        <w:spacing w:before="120"/>
        <w:jc w:val="both"/>
        <w:rPr>
          <w:rFonts w:ascii="Times New Roman" w:eastAsia="Calibri" w:hAnsi="Times New Roman" w:cs="Times New Roman"/>
          <w:sz w:val="24"/>
          <w:szCs w:val="24"/>
          <w:lang w:eastAsia="en-US"/>
        </w:rPr>
      </w:pPr>
      <w:r w:rsidRPr="008B3C30">
        <w:rPr>
          <w:rFonts w:ascii="Times New Roman" w:eastAsia="Calibri" w:hAnsi="Times New Roman" w:cs="Times New Roman"/>
          <w:sz w:val="24"/>
          <w:szCs w:val="24"/>
          <w:lang w:eastAsia="en-US"/>
        </w:rPr>
        <w:t>С развитието, обогатяването и подобряването на продукти в небанковия финансов сектор се налага необходимостта от всеобхватна закрила на техните ползватели. По отношение на застрахователния пазар сключването на имуществена застраховка на мобилни телефони, предлагана в магазините на мобилните оператори при закупуване на нов мобилен апарат, налага необходимостта от координация между съответните регулаторни органи, в конкретния случай между КФН и Комисия</w:t>
      </w:r>
      <w:r w:rsidR="00194844" w:rsidRPr="008B3C30">
        <w:rPr>
          <w:rFonts w:ascii="Times New Roman" w:eastAsia="Calibri" w:hAnsi="Times New Roman" w:cs="Times New Roman"/>
          <w:sz w:val="24"/>
          <w:szCs w:val="24"/>
          <w:lang w:eastAsia="en-US"/>
        </w:rPr>
        <w:t>та</w:t>
      </w:r>
      <w:r w:rsidRPr="008B3C30">
        <w:rPr>
          <w:rFonts w:ascii="Times New Roman" w:eastAsia="Calibri" w:hAnsi="Times New Roman" w:cs="Times New Roman"/>
          <w:sz w:val="24"/>
          <w:szCs w:val="24"/>
          <w:lang w:eastAsia="en-US"/>
        </w:rPr>
        <w:t xml:space="preserve"> за регулиране на съобщения</w:t>
      </w:r>
      <w:r w:rsidR="00194844" w:rsidRPr="008B3C30">
        <w:rPr>
          <w:rFonts w:ascii="Times New Roman" w:eastAsia="Calibri" w:hAnsi="Times New Roman" w:cs="Times New Roman"/>
          <w:sz w:val="24"/>
          <w:szCs w:val="24"/>
          <w:lang w:eastAsia="en-US"/>
        </w:rPr>
        <w:t>та</w:t>
      </w:r>
      <w:r w:rsidRPr="008B3C30">
        <w:rPr>
          <w:rFonts w:ascii="Times New Roman" w:eastAsia="Calibri" w:hAnsi="Times New Roman" w:cs="Times New Roman"/>
          <w:sz w:val="24"/>
          <w:szCs w:val="24"/>
          <w:lang w:eastAsia="en-US"/>
        </w:rPr>
        <w:t xml:space="preserve">, с цел осигуряване на адекватен надзор и избягване на потенциални вредни последици за </w:t>
      </w:r>
      <w:r w:rsidRPr="008B3C30">
        <w:rPr>
          <w:rFonts w:ascii="Times New Roman" w:eastAsia="Calibri" w:hAnsi="Times New Roman" w:cs="Times New Roman"/>
          <w:sz w:val="24"/>
          <w:szCs w:val="24"/>
          <w:lang w:eastAsia="en-US"/>
        </w:rPr>
        <w:lastRenderedPageBreak/>
        <w:t>ползвателите на застрахователни услуги. Относно капиталовия пазар, навлизащите агресивни маркетингови практики от нелицензирани дружества, предоставящи инвестиционни услуги, обуславят необходимостта от взаимодействие на КФН с Комисията за защита на потребители</w:t>
      </w:r>
      <w:r w:rsidR="00194844" w:rsidRPr="008B3C30">
        <w:rPr>
          <w:rFonts w:ascii="Times New Roman" w:eastAsia="Calibri" w:hAnsi="Times New Roman" w:cs="Times New Roman"/>
          <w:sz w:val="24"/>
          <w:szCs w:val="24"/>
          <w:lang w:eastAsia="en-US"/>
        </w:rPr>
        <w:t>те</w:t>
      </w:r>
      <w:r w:rsidRPr="008B3C30">
        <w:rPr>
          <w:rFonts w:ascii="Times New Roman" w:eastAsia="Calibri" w:hAnsi="Times New Roman" w:cs="Times New Roman"/>
          <w:sz w:val="24"/>
          <w:szCs w:val="24"/>
          <w:lang w:eastAsia="en-US"/>
        </w:rPr>
        <w:t xml:space="preserve"> и правоохранителни</w:t>
      </w:r>
      <w:r w:rsidR="00194844" w:rsidRPr="008B3C30">
        <w:rPr>
          <w:rFonts w:ascii="Times New Roman" w:eastAsia="Calibri" w:hAnsi="Times New Roman" w:cs="Times New Roman"/>
          <w:sz w:val="24"/>
          <w:szCs w:val="24"/>
          <w:lang w:eastAsia="en-US"/>
        </w:rPr>
        <w:t>те</w:t>
      </w:r>
      <w:r w:rsidRPr="008B3C30">
        <w:rPr>
          <w:rFonts w:ascii="Times New Roman" w:eastAsia="Calibri" w:hAnsi="Times New Roman" w:cs="Times New Roman"/>
          <w:sz w:val="24"/>
          <w:szCs w:val="24"/>
          <w:lang w:eastAsia="en-US"/>
        </w:rPr>
        <w:t xml:space="preserve"> органи. При случаи на неправомерно прехвърляне на средства по индивидуална партида от едни пенсионен фонд в друг, КФН следва да сезира районната прокуратура.</w:t>
      </w:r>
    </w:p>
    <w:p w:rsidR="00744BA1" w:rsidRPr="008B3C30" w:rsidRDefault="00744BA1" w:rsidP="008212B7">
      <w:pPr>
        <w:pStyle w:val="Default"/>
        <w:numPr>
          <w:ilvl w:val="0"/>
          <w:numId w:val="17"/>
        </w:numPr>
        <w:tabs>
          <w:tab w:val="left" w:pos="709"/>
        </w:tabs>
        <w:spacing w:before="120"/>
        <w:ind w:left="0" w:firstLine="0"/>
        <w:jc w:val="both"/>
        <w:rPr>
          <w:rFonts w:eastAsiaTheme="minorHAnsi"/>
        </w:rPr>
      </w:pPr>
      <w:r w:rsidRPr="008B3C30">
        <w:rPr>
          <w:rFonts w:eastAsiaTheme="minorHAnsi"/>
        </w:rPr>
        <w:t>Участие на експерти на КФН в дейността на комитетите и работните групи на Европейския орган за застраховане и професионално пенсионно осигуряване и Европейски</w:t>
      </w:r>
      <w:r w:rsidR="00194844" w:rsidRPr="008B3C30">
        <w:rPr>
          <w:rFonts w:eastAsiaTheme="minorHAnsi"/>
        </w:rPr>
        <w:t>я</w:t>
      </w:r>
      <w:r w:rsidRPr="008B3C30">
        <w:rPr>
          <w:rFonts w:eastAsiaTheme="minorHAnsi"/>
        </w:rPr>
        <w:t xml:space="preserve"> орган за ценни книжа и пазари, фокусирани върху защита</w:t>
      </w:r>
      <w:r w:rsidR="00194844" w:rsidRPr="008B3C30">
        <w:rPr>
          <w:rFonts w:eastAsiaTheme="minorHAnsi"/>
        </w:rPr>
        <w:t>та</w:t>
      </w:r>
      <w:r w:rsidRPr="008B3C30">
        <w:rPr>
          <w:rFonts w:eastAsiaTheme="minorHAnsi"/>
        </w:rPr>
        <w:t xml:space="preserve"> на потребители</w:t>
      </w:r>
      <w:r w:rsidR="00194844" w:rsidRPr="008B3C30">
        <w:rPr>
          <w:rFonts w:eastAsiaTheme="minorHAnsi"/>
        </w:rPr>
        <w:t>те</w:t>
      </w:r>
      <w:r w:rsidRPr="008B3C30">
        <w:rPr>
          <w:rFonts w:eastAsiaTheme="minorHAnsi"/>
        </w:rPr>
        <w:t>.</w:t>
      </w:r>
    </w:p>
    <w:p w:rsidR="00744BA1" w:rsidRPr="008B3C30" w:rsidRDefault="00744BA1" w:rsidP="00744BA1">
      <w:pPr>
        <w:shd w:val="clear" w:color="auto" w:fill="FFFFFF"/>
        <w:tabs>
          <w:tab w:val="left" w:leader="dot" w:pos="8923"/>
        </w:tabs>
        <w:spacing w:before="120" w:line="274" w:lineRule="exact"/>
        <w:jc w:val="both"/>
        <w:rPr>
          <w:rFonts w:ascii="Times New Roman" w:hAnsi="Times New Roman" w:cs="Times New Roman"/>
        </w:rPr>
      </w:pPr>
    </w:p>
    <w:p w:rsidR="00744BA1" w:rsidRPr="008B3C30" w:rsidRDefault="00744BA1" w:rsidP="00744BA1">
      <w:pPr>
        <w:autoSpaceDE/>
        <w:autoSpaceDN/>
        <w:adjustRightInd/>
        <w:spacing w:before="120"/>
        <w:jc w:val="both"/>
        <w:rPr>
          <w:rFonts w:ascii="Times New Roman" w:hAnsi="Times New Roman" w:cs="Times New Roman"/>
          <w:b/>
          <w:sz w:val="24"/>
          <w:szCs w:val="24"/>
        </w:rPr>
      </w:pPr>
      <w:r w:rsidRPr="008B3C30">
        <w:rPr>
          <w:rFonts w:ascii="Times New Roman" w:hAnsi="Times New Roman" w:cs="Times New Roman"/>
          <w:b/>
          <w:sz w:val="24"/>
          <w:szCs w:val="24"/>
        </w:rPr>
        <w:t>Стратегическата цел № 3</w:t>
      </w:r>
      <w:r w:rsidR="006300D8" w:rsidRPr="008B3C30">
        <w:rPr>
          <w:rFonts w:ascii="Times New Roman" w:hAnsi="Times New Roman" w:cs="Times New Roman"/>
          <w:b/>
          <w:sz w:val="24"/>
          <w:szCs w:val="24"/>
        </w:rPr>
        <w:t>:</w:t>
      </w:r>
      <w:r w:rsidRPr="008B3C30">
        <w:rPr>
          <w:rFonts w:ascii="Times New Roman" w:hAnsi="Times New Roman" w:cs="Times New Roman"/>
          <w:b/>
          <w:sz w:val="24"/>
          <w:szCs w:val="24"/>
        </w:rPr>
        <w:t xml:space="preserve"> Подпомагане процеса по разрешаване на потребителски спорове чрез сключване на извънсъдебни споразумения</w:t>
      </w:r>
    </w:p>
    <w:p w:rsidR="00744BA1" w:rsidRPr="008B3C30" w:rsidRDefault="00744BA1" w:rsidP="00744BA1">
      <w:pPr>
        <w:autoSpaceDE/>
        <w:autoSpaceDN/>
        <w:adjustRightInd/>
        <w:spacing w:before="120"/>
        <w:jc w:val="both"/>
        <w:rPr>
          <w:rFonts w:ascii="Times New Roman" w:hAnsi="Times New Roman" w:cs="Times New Roman"/>
          <w:sz w:val="24"/>
          <w:szCs w:val="24"/>
        </w:rPr>
      </w:pPr>
      <w:r w:rsidRPr="008B3C30">
        <w:rPr>
          <w:rFonts w:ascii="Times New Roman" w:hAnsi="Times New Roman" w:cs="Times New Roman"/>
          <w:sz w:val="24"/>
          <w:szCs w:val="24"/>
        </w:rPr>
        <w:t>Като алтернатива за разрешаване на гражданскоправен спор, възникнал между потребител и дружество, предоставящо услуги в небанковия финансов сектор</w:t>
      </w:r>
      <w:r w:rsidR="00194844" w:rsidRPr="008B3C30">
        <w:rPr>
          <w:rFonts w:ascii="Times New Roman" w:hAnsi="Times New Roman" w:cs="Times New Roman"/>
          <w:sz w:val="24"/>
          <w:szCs w:val="24"/>
        </w:rPr>
        <w:t>,</w:t>
      </w:r>
      <w:r w:rsidRPr="008B3C30">
        <w:rPr>
          <w:rFonts w:ascii="Times New Roman" w:hAnsi="Times New Roman" w:cs="Times New Roman"/>
          <w:sz w:val="24"/>
          <w:szCs w:val="24"/>
        </w:rPr>
        <w:t xml:space="preserve"> </w:t>
      </w:r>
      <w:r w:rsidR="00194844" w:rsidRPr="008B3C30">
        <w:rPr>
          <w:rFonts w:ascii="Times New Roman" w:hAnsi="Times New Roman" w:cs="Times New Roman"/>
          <w:sz w:val="24"/>
          <w:szCs w:val="24"/>
        </w:rPr>
        <w:t xml:space="preserve">са </w:t>
      </w:r>
      <w:r w:rsidRPr="008B3C30">
        <w:rPr>
          <w:rFonts w:ascii="Times New Roman" w:hAnsi="Times New Roman" w:cs="Times New Roman"/>
          <w:sz w:val="24"/>
          <w:szCs w:val="24"/>
        </w:rPr>
        <w:t>създадените секторни помирителни комисии за разглеждане на спорове, включително и при предоставянето на финансови услуги от разстояние в секторите – застрахователен, капиталов, осигурителен пазар</w:t>
      </w:r>
      <w:r w:rsidR="006300D8" w:rsidRPr="008B3C30">
        <w:rPr>
          <w:rFonts w:ascii="Times New Roman" w:hAnsi="Times New Roman" w:cs="Times New Roman"/>
          <w:sz w:val="24"/>
          <w:szCs w:val="24"/>
        </w:rPr>
        <w:t>. Помирителните комисия</w:t>
      </w:r>
      <w:r w:rsidR="00EE1CF3">
        <w:rPr>
          <w:rFonts w:ascii="Times New Roman" w:hAnsi="Times New Roman" w:cs="Times New Roman"/>
          <w:sz w:val="24"/>
          <w:szCs w:val="24"/>
        </w:rPr>
        <w:t xml:space="preserve"> </w:t>
      </w:r>
      <w:r w:rsidRPr="008B3C30">
        <w:rPr>
          <w:rFonts w:ascii="Times New Roman" w:hAnsi="Times New Roman" w:cs="Times New Roman"/>
          <w:sz w:val="24"/>
          <w:szCs w:val="24"/>
        </w:rPr>
        <w:t>изпълнява</w:t>
      </w:r>
      <w:r w:rsidR="006300D8" w:rsidRPr="008B3C30">
        <w:rPr>
          <w:rFonts w:ascii="Times New Roman" w:hAnsi="Times New Roman" w:cs="Times New Roman"/>
          <w:sz w:val="24"/>
          <w:szCs w:val="24"/>
        </w:rPr>
        <w:t>т</w:t>
      </w:r>
      <w:r w:rsidRPr="008B3C30">
        <w:rPr>
          <w:rFonts w:ascii="Times New Roman" w:hAnsi="Times New Roman" w:cs="Times New Roman"/>
          <w:sz w:val="24"/>
          <w:szCs w:val="24"/>
        </w:rPr>
        <w:t xml:space="preserve"> функциите на орган за алтернативно решаване на спорове</w:t>
      </w:r>
      <w:r w:rsidR="006300D8" w:rsidRPr="008B3C30">
        <w:rPr>
          <w:rFonts w:ascii="Times New Roman" w:hAnsi="Times New Roman" w:cs="Times New Roman"/>
          <w:sz w:val="24"/>
          <w:szCs w:val="24"/>
        </w:rPr>
        <w:t>,</w:t>
      </w:r>
      <w:r w:rsidRPr="008B3C30">
        <w:rPr>
          <w:rFonts w:ascii="Times New Roman" w:hAnsi="Times New Roman" w:cs="Times New Roman"/>
          <w:sz w:val="24"/>
          <w:szCs w:val="24"/>
        </w:rPr>
        <w:t xml:space="preserve"> както национални, така и трансгранични. Помирителното производство съдейства за разрешаване на спорове между потребители и търговци чрез помирително предложение за страните, което, след като бъде одобрено от тях, има сила на споразумение между тях.</w:t>
      </w:r>
    </w:p>
    <w:p w:rsidR="00744BA1" w:rsidRPr="008B3C30" w:rsidRDefault="00744BA1" w:rsidP="008212B7">
      <w:pPr>
        <w:numPr>
          <w:ilvl w:val="0"/>
          <w:numId w:val="4"/>
        </w:numPr>
        <w:autoSpaceDE/>
        <w:autoSpaceDN/>
        <w:adjustRightInd/>
        <w:spacing w:before="120"/>
        <w:ind w:left="0" w:firstLine="0"/>
        <w:jc w:val="both"/>
        <w:rPr>
          <w:rFonts w:ascii="Times New Roman" w:hAnsi="Times New Roman" w:cs="Times New Roman"/>
          <w:sz w:val="24"/>
          <w:szCs w:val="24"/>
        </w:rPr>
      </w:pPr>
      <w:r w:rsidRPr="008B3C30">
        <w:rPr>
          <w:rFonts w:ascii="Times New Roman" w:hAnsi="Times New Roman" w:cs="Times New Roman"/>
          <w:sz w:val="24"/>
          <w:szCs w:val="24"/>
        </w:rPr>
        <w:t>Участие на служители на КФН в помирителните комисии в трите сектора на небанковия финансов пазар</w:t>
      </w:r>
    </w:p>
    <w:p w:rsidR="00C42A33" w:rsidRDefault="00744BA1" w:rsidP="00C42A33">
      <w:pPr>
        <w:numPr>
          <w:ilvl w:val="0"/>
          <w:numId w:val="4"/>
        </w:numPr>
        <w:autoSpaceDE/>
        <w:autoSpaceDN/>
        <w:adjustRightInd/>
        <w:spacing w:before="120"/>
        <w:ind w:left="0" w:firstLine="0"/>
        <w:jc w:val="both"/>
        <w:rPr>
          <w:rFonts w:ascii="Times New Roman" w:hAnsi="Times New Roman" w:cs="Times New Roman"/>
          <w:b/>
          <w:sz w:val="24"/>
          <w:szCs w:val="24"/>
        </w:rPr>
      </w:pPr>
      <w:r w:rsidRPr="008B3C30">
        <w:rPr>
          <w:rFonts w:ascii="Times New Roman" w:hAnsi="Times New Roman" w:cs="Times New Roman"/>
          <w:sz w:val="24"/>
          <w:szCs w:val="24"/>
        </w:rPr>
        <w:t>Предоставяне на повече информация на потребителите за възможностите на помирителното производство като начин за извънсъдебно решаване на спорове</w:t>
      </w:r>
      <w:r w:rsidR="006300D8" w:rsidRPr="008B3C30">
        <w:rPr>
          <w:rFonts w:ascii="Times New Roman" w:hAnsi="Times New Roman" w:cs="Times New Roman"/>
          <w:sz w:val="24"/>
          <w:szCs w:val="24"/>
        </w:rPr>
        <w:t>.</w:t>
      </w:r>
      <w:r w:rsidRPr="008B3C30">
        <w:rPr>
          <w:rFonts w:ascii="Times New Roman" w:hAnsi="Times New Roman" w:cs="Times New Roman"/>
        </w:rPr>
        <w:t xml:space="preserve"> </w:t>
      </w:r>
    </w:p>
    <w:p w:rsidR="00744BA1" w:rsidRPr="00C42A33" w:rsidRDefault="00744BA1" w:rsidP="00C42A33">
      <w:pPr>
        <w:autoSpaceDE/>
        <w:autoSpaceDN/>
        <w:adjustRightInd/>
        <w:spacing w:before="120"/>
        <w:jc w:val="both"/>
        <w:rPr>
          <w:rFonts w:ascii="Times New Roman" w:hAnsi="Times New Roman" w:cs="Times New Roman"/>
          <w:b/>
          <w:sz w:val="24"/>
          <w:szCs w:val="24"/>
        </w:rPr>
      </w:pPr>
      <w:r w:rsidRPr="00C42A33">
        <w:rPr>
          <w:rFonts w:ascii="Times New Roman" w:hAnsi="Times New Roman" w:cs="Times New Roman"/>
          <w:b/>
          <w:sz w:val="24"/>
          <w:szCs w:val="24"/>
        </w:rPr>
        <w:t>Мерки</w:t>
      </w:r>
      <w:r w:rsidR="00C42A33" w:rsidRPr="00C42A33">
        <w:rPr>
          <w:rFonts w:ascii="Times New Roman" w:hAnsi="Times New Roman" w:cs="Times New Roman"/>
          <w:b/>
          <w:sz w:val="24"/>
          <w:szCs w:val="24"/>
        </w:rPr>
        <w:t xml:space="preserve"> за изпълнение на стратегическата цел № 3</w:t>
      </w:r>
      <w:r w:rsidR="00C42A33">
        <w:rPr>
          <w:rFonts w:ascii="Times New Roman" w:hAnsi="Times New Roman" w:cs="Times New Roman"/>
          <w:b/>
          <w:sz w:val="24"/>
          <w:szCs w:val="24"/>
        </w:rPr>
        <w:t>,</w:t>
      </w:r>
      <w:r w:rsidRPr="00C42A33">
        <w:rPr>
          <w:rFonts w:ascii="Times New Roman" w:hAnsi="Times New Roman" w:cs="Times New Roman"/>
          <w:b/>
          <w:sz w:val="24"/>
          <w:szCs w:val="24"/>
        </w:rPr>
        <w:t xml:space="preserve"> установени от КФН:</w:t>
      </w:r>
    </w:p>
    <w:p w:rsidR="00744BA1" w:rsidRPr="008B3C30" w:rsidRDefault="00744BA1" w:rsidP="008212B7">
      <w:pPr>
        <w:pStyle w:val="ListParagraph"/>
        <w:numPr>
          <w:ilvl w:val="0"/>
          <w:numId w:val="13"/>
        </w:numPr>
        <w:spacing w:before="120"/>
        <w:ind w:left="0" w:firstLine="20"/>
        <w:contextualSpacing w:val="0"/>
        <w:jc w:val="both"/>
        <w:rPr>
          <w:sz w:val="24"/>
          <w:szCs w:val="24"/>
          <w:lang w:val="bg-BG"/>
        </w:rPr>
      </w:pPr>
      <w:r w:rsidRPr="008B3C30">
        <w:rPr>
          <w:sz w:val="24"/>
          <w:szCs w:val="24"/>
          <w:lang w:val="bg-BG"/>
        </w:rPr>
        <w:t>Обособяване на рубрика, в частта на страницата „За потребителите“ на информационния уеб сайт на КФН, разкриваща преимуществата на помирително производство като начин за извънсъдебно решаване на спорове</w:t>
      </w:r>
    </w:p>
    <w:p w:rsidR="00744BA1" w:rsidRPr="008B3C30" w:rsidRDefault="00744BA1" w:rsidP="00744BA1">
      <w:pPr>
        <w:autoSpaceDE/>
        <w:autoSpaceDN/>
        <w:adjustRightInd/>
        <w:spacing w:before="120"/>
        <w:jc w:val="both"/>
        <w:rPr>
          <w:rFonts w:ascii="Times New Roman" w:hAnsi="Times New Roman" w:cs="Times New Roman"/>
          <w:sz w:val="24"/>
          <w:szCs w:val="24"/>
        </w:rPr>
      </w:pPr>
      <w:r w:rsidRPr="008B3C30">
        <w:rPr>
          <w:rFonts w:ascii="Times New Roman" w:hAnsi="Times New Roman" w:cs="Times New Roman"/>
          <w:sz w:val="24"/>
          <w:szCs w:val="24"/>
        </w:rPr>
        <w:t xml:space="preserve">Предоставянето на информация за преимуществата на помирителната комисия пред бизнеса и потребителите ще допринесе за ограничаване на разходите и за двете страни, които биха възникнали в хода на евентуално съдебно производство. </w:t>
      </w:r>
    </w:p>
    <w:p w:rsidR="00744BA1" w:rsidRPr="008B3C30" w:rsidRDefault="00744BA1" w:rsidP="00744BA1">
      <w:pPr>
        <w:autoSpaceDE/>
        <w:autoSpaceDN/>
        <w:adjustRightInd/>
        <w:spacing w:before="120"/>
        <w:jc w:val="both"/>
        <w:rPr>
          <w:rFonts w:ascii="Times New Roman" w:hAnsi="Times New Roman" w:cs="Times New Roman"/>
          <w:sz w:val="24"/>
          <w:szCs w:val="24"/>
        </w:rPr>
      </w:pPr>
    </w:p>
    <w:p w:rsidR="00744BA1" w:rsidRPr="008B3C30" w:rsidRDefault="00744BA1" w:rsidP="00744BA1">
      <w:pPr>
        <w:tabs>
          <w:tab w:val="left" w:pos="880"/>
        </w:tabs>
        <w:autoSpaceDE/>
        <w:autoSpaceDN/>
        <w:adjustRightInd/>
        <w:spacing w:before="120"/>
        <w:jc w:val="both"/>
        <w:rPr>
          <w:rFonts w:ascii="Times New Roman" w:hAnsi="Times New Roman" w:cs="Times New Roman"/>
          <w:b/>
          <w:i/>
          <w:iCs/>
          <w:sz w:val="24"/>
          <w:szCs w:val="24"/>
        </w:rPr>
      </w:pPr>
      <w:r w:rsidRPr="008B3C30">
        <w:rPr>
          <w:rFonts w:ascii="Times New Roman" w:hAnsi="Times New Roman" w:cs="Times New Roman"/>
          <w:b/>
          <w:sz w:val="24"/>
          <w:szCs w:val="24"/>
        </w:rPr>
        <w:t>Стратегическата цел № 4</w:t>
      </w:r>
      <w:r w:rsidR="006300D8" w:rsidRPr="008B3C30">
        <w:rPr>
          <w:rFonts w:ascii="Times New Roman" w:hAnsi="Times New Roman" w:cs="Times New Roman"/>
          <w:b/>
          <w:sz w:val="24"/>
          <w:szCs w:val="24"/>
        </w:rPr>
        <w:t>:</w:t>
      </w:r>
      <w:r w:rsidRPr="008B3C30">
        <w:rPr>
          <w:rFonts w:ascii="Times New Roman" w:hAnsi="Times New Roman" w:cs="Times New Roman"/>
          <w:b/>
          <w:sz w:val="24"/>
          <w:szCs w:val="24"/>
        </w:rPr>
        <w:t xml:space="preserve"> Повишаване ефективността на управление на процеса на защита на интересите на потребителите</w:t>
      </w:r>
      <w:r w:rsidRPr="008B3C30">
        <w:rPr>
          <w:rFonts w:ascii="Times New Roman" w:hAnsi="Times New Roman" w:cs="Times New Roman"/>
          <w:b/>
          <w:i/>
          <w:iCs/>
          <w:sz w:val="24"/>
          <w:szCs w:val="24"/>
        </w:rPr>
        <w:t>,</w:t>
      </w:r>
      <w:r w:rsidRPr="008B3C30">
        <w:rPr>
          <w:rFonts w:ascii="Times New Roman" w:hAnsi="Times New Roman" w:cs="Times New Roman"/>
          <w:b/>
          <w:sz w:val="24"/>
          <w:szCs w:val="24"/>
        </w:rPr>
        <w:t xml:space="preserve"> произтичаща от резултатите от проведените проверки във връзка с подадени в КФН потребителски жалби и сигнали</w:t>
      </w:r>
    </w:p>
    <w:p w:rsidR="00744BA1" w:rsidRPr="008B3C30" w:rsidRDefault="00744BA1" w:rsidP="00744BA1">
      <w:pPr>
        <w:tabs>
          <w:tab w:val="left" w:pos="880"/>
        </w:tabs>
        <w:autoSpaceDE/>
        <w:autoSpaceDN/>
        <w:adjustRightInd/>
        <w:spacing w:before="120"/>
        <w:jc w:val="both"/>
        <w:rPr>
          <w:rFonts w:ascii="Times New Roman" w:hAnsi="Times New Roman" w:cs="Times New Roman"/>
          <w:iCs/>
          <w:sz w:val="24"/>
          <w:szCs w:val="24"/>
        </w:rPr>
      </w:pPr>
      <w:r w:rsidRPr="008B3C30">
        <w:rPr>
          <w:rFonts w:ascii="Times New Roman" w:hAnsi="Times New Roman" w:cs="Times New Roman"/>
          <w:iCs/>
          <w:sz w:val="24"/>
          <w:szCs w:val="24"/>
        </w:rPr>
        <w:t>Процесът на изготвяне на отговори на подадени в КФН жалби и сигнали от потребители на услуги в небанковия финансов сектор дава възможност на регулатора да получава текуща информация за пазарното поведение на участниците на пазара чрез периодичен анализ и актуализация на работещата система за регистриране на жалби и сигнали</w:t>
      </w:r>
      <w:r w:rsidR="006300D8" w:rsidRPr="008B3C30">
        <w:rPr>
          <w:rFonts w:ascii="Times New Roman" w:hAnsi="Times New Roman" w:cs="Times New Roman"/>
          <w:iCs/>
          <w:sz w:val="24"/>
          <w:szCs w:val="24"/>
        </w:rPr>
        <w:t>.</w:t>
      </w:r>
      <w:r w:rsidRPr="008B3C30">
        <w:rPr>
          <w:rFonts w:ascii="Times New Roman" w:hAnsi="Times New Roman" w:cs="Times New Roman"/>
          <w:iCs/>
          <w:sz w:val="24"/>
          <w:szCs w:val="24"/>
        </w:rPr>
        <w:t xml:space="preserve"> </w:t>
      </w:r>
      <w:r w:rsidR="006300D8" w:rsidRPr="008B3C30">
        <w:rPr>
          <w:rFonts w:ascii="Times New Roman" w:hAnsi="Times New Roman" w:cs="Times New Roman"/>
          <w:iCs/>
          <w:sz w:val="24"/>
          <w:szCs w:val="24"/>
        </w:rPr>
        <w:t xml:space="preserve"> Анализът на жалбите спомага да се</w:t>
      </w:r>
      <w:r w:rsidRPr="008B3C30">
        <w:rPr>
          <w:rFonts w:ascii="Times New Roman" w:hAnsi="Times New Roman" w:cs="Times New Roman"/>
          <w:iCs/>
          <w:sz w:val="24"/>
          <w:szCs w:val="24"/>
        </w:rPr>
        <w:t xml:space="preserve"> установ</w:t>
      </w:r>
      <w:r w:rsidR="006300D8" w:rsidRPr="008B3C30">
        <w:rPr>
          <w:rFonts w:ascii="Times New Roman" w:hAnsi="Times New Roman" w:cs="Times New Roman"/>
          <w:iCs/>
          <w:sz w:val="24"/>
          <w:szCs w:val="24"/>
        </w:rPr>
        <w:t>ят</w:t>
      </w:r>
      <w:r w:rsidRPr="008B3C30">
        <w:rPr>
          <w:rFonts w:ascii="Times New Roman" w:hAnsi="Times New Roman" w:cs="Times New Roman"/>
          <w:iCs/>
          <w:sz w:val="24"/>
          <w:szCs w:val="24"/>
        </w:rPr>
        <w:t xml:space="preserve">  възможности</w:t>
      </w:r>
      <w:r w:rsidR="006300D8" w:rsidRPr="008B3C30">
        <w:rPr>
          <w:rFonts w:ascii="Times New Roman" w:hAnsi="Times New Roman" w:cs="Times New Roman"/>
          <w:iCs/>
          <w:sz w:val="24"/>
          <w:szCs w:val="24"/>
        </w:rPr>
        <w:t>те</w:t>
      </w:r>
      <w:r w:rsidRPr="008B3C30">
        <w:rPr>
          <w:rFonts w:ascii="Times New Roman" w:hAnsi="Times New Roman" w:cs="Times New Roman"/>
          <w:iCs/>
          <w:sz w:val="24"/>
          <w:szCs w:val="24"/>
        </w:rPr>
        <w:t xml:space="preserve"> за подобряване на регулаторната рамка и информираността на обществеността, с което да </w:t>
      </w:r>
      <w:r w:rsidR="006300D8" w:rsidRPr="008B3C30">
        <w:rPr>
          <w:rFonts w:ascii="Times New Roman" w:hAnsi="Times New Roman" w:cs="Times New Roman"/>
          <w:iCs/>
          <w:sz w:val="24"/>
          <w:szCs w:val="24"/>
        </w:rPr>
        <w:t xml:space="preserve">се </w:t>
      </w:r>
      <w:r w:rsidRPr="008B3C30">
        <w:rPr>
          <w:rFonts w:ascii="Times New Roman" w:hAnsi="Times New Roman" w:cs="Times New Roman"/>
          <w:iCs/>
          <w:sz w:val="24"/>
          <w:szCs w:val="24"/>
        </w:rPr>
        <w:t xml:space="preserve">допринесе за </w:t>
      </w:r>
      <w:r w:rsidRPr="008B3C30">
        <w:rPr>
          <w:rFonts w:ascii="Times New Roman" w:hAnsi="Times New Roman" w:cs="Times New Roman"/>
          <w:iCs/>
          <w:sz w:val="24"/>
          <w:szCs w:val="24"/>
        </w:rPr>
        <w:lastRenderedPageBreak/>
        <w:t>повишаване ефективността на КФН по отношение защитата интересите на потребителите.</w:t>
      </w:r>
    </w:p>
    <w:p w:rsidR="00744BA1" w:rsidRPr="008B3C30" w:rsidRDefault="008212B7" w:rsidP="00C42A33">
      <w:pPr>
        <w:numPr>
          <w:ilvl w:val="0"/>
          <w:numId w:val="5"/>
        </w:numPr>
        <w:tabs>
          <w:tab w:val="left" w:pos="0"/>
        </w:tabs>
        <w:autoSpaceDE/>
        <w:autoSpaceDN/>
        <w:adjustRightInd/>
        <w:spacing w:before="120"/>
        <w:ind w:left="0" w:firstLine="0"/>
        <w:jc w:val="both"/>
        <w:rPr>
          <w:rFonts w:ascii="Times New Roman" w:hAnsi="Times New Roman" w:cs="Times New Roman"/>
          <w:sz w:val="24"/>
          <w:szCs w:val="24"/>
        </w:rPr>
      </w:pPr>
      <w:r w:rsidRPr="008B3C30">
        <w:rPr>
          <w:rFonts w:ascii="Times New Roman" w:hAnsi="Times New Roman" w:cs="Times New Roman"/>
          <w:sz w:val="24"/>
          <w:szCs w:val="24"/>
        </w:rPr>
        <w:t xml:space="preserve"> </w:t>
      </w:r>
      <w:r w:rsidR="00744BA1" w:rsidRPr="008B3C30">
        <w:rPr>
          <w:rFonts w:ascii="Times New Roman" w:hAnsi="Times New Roman" w:cs="Times New Roman"/>
          <w:sz w:val="24"/>
          <w:szCs w:val="24"/>
        </w:rPr>
        <w:t>Изготвяне на предложения от члена на КФН за предприемане на действия по отношение усъвършенстване на регулаторната рамка и на надзорната практика;</w:t>
      </w:r>
    </w:p>
    <w:p w:rsidR="00744BA1" w:rsidRPr="008B3C30" w:rsidRDefault="008212B7" w:rsidP="00C42A33">
      <w:pPr>
        <w:numPr>
          <w:ilvl w:val="0"/>
          <w:numId w:val="5"/>
        </w:numPr>
        <w:tabs>
          <w:tab w:val="left" w:pos="0"/>
        </w:tabs>
        <w:autoSpaceDE/>
        <w:autoSpaceDN/>
        <w:adjustRightInd/>
        <w:spacing w:before="120"/>
        <w:ind w:left="0" w:firstLine="0"/>
        <w:jc w:val="both"/>
        <w:rPr>
          <w:rFonts w:ascii="Times New Roman" w:hAnsi="Times New Roman" w:cs="Times New Roman"/>
          <w:sz w:val="24"/>
          <w:szCs w:val="24"/>
        </w:rPr>
      </w:pPr>
      <w:r w:rsidRPr="008B3C30">
        <w:rPr>
          <w:rFonts w:ascii="Times New Roman" w:hAnsi="Times New Roman" w:cs="Times New Roman"/>
          <w:sz w:val="24"/>
          <w:szCs w:val="24"/>
        </w:rPr>
        <w:t xml:space="preserve"> </w:t>
      </w:r>
      <w:r w:rsidR="00744BA1" w:rsidRPr="008B3C30">
        <w:rPr>
          <w:rFonts w:ascii="Times New Roman" w:hAnsi="Times New Roman" w:cs="Times New Roman"/>
          <w:sz w:val="24"/>
          <w:szCs w:val="24"/>
        </w:rPr>
        <w:t>Публично оповестяване на анализи за постъпилите жалби, сигнали и запитвания, както и за предприетите действия и мерки във връзка с тях;</w:t>
      </w:r>
    </w:p>
    <w:p w:rsidR="00744BA1" w:rsidRPr="008B3C30" w:rsidRDefault="008212B7" w:rsidP="00C42A33">
      <w:pPr>
        <w:numPr>
          <w:ilvl w:val="0"/>
          <w:numId w:val="5"/>
        </w:numPr>
        <w:tabs>
          <w:tab w:val="left" w:pos="0"/>
        </w:tabs>
        <w:autoSpaceDE/>
        <w:autoSpaceDN/>
        <w:adjustRightInd/>
        <w:spacing w:before="120"/>
        <w:ind w:left="0" w:firstLine="0"/>
        <w:jc w:val="both"/>
        <w:rPr>
          <w:rFonts w:ascii="Times New Roman" w:hAnsi="Times New Roman" w:cs="Times New Roman"/>
          <w:sz w:val="24"/>
          <w:szCs w:val="24"/>
        </w:rPr>
      </w:pPr>
      <w:r w:rsidRPr="008B3C30">
        <w:rPr>
          <w:rFonts w:ascii="Times New Roman" w:hAnsi="Times New Roman" w:cs="Times New Roman"/>
          <w:sz w:val="24"/>
          <w:szCs w:val="24"/>
        </w:rPr>
        <w:t xml:space="preserve"> </w:t>
      </w:r>
      <w:r w:rsidR="00744BA1" w:rsidRPr="008B3C30">
        <w:rPr>
          <w:rFonts w:ascii="Times New Roman" w:hAnsi="Times New Roman" w:cs="Times New Roman"/>
          <w:sz w:val="24"/>
          <w:szCs w:val="24"/>
        </w:rPr>
        <w:t>Месечни анализи и отчети на Информационния център във връзка със сигналите и запитванията на потребители на финансови услуги;</w:t>
      </w:r>
    </w:p>
    <w:p w:rsidR="00744BA1" w:rsidRPr="008B3C30" w:rsidRDefault="008212B7" w:rsidP="00C42A33">
      <w:pPr>
        <w:numPr>
          <w:ilvl w:val="0"/>
          <w:numId w:val="5"/>
        </w:numPr>
        <w:tabs>
          <w:tab w:val="left" w:pos="0"/>
        </w:tabs>
        <w:autoSpaceDE/>
        <w:autoSpaceDN/>
        <w:adjustRightInd/>
        <w:spacing w:before="120"/>
        <w:ind w:left="0" w:firstLine="0"/>
        <w:jc w:val="both"/>
        <w:rPr>
          <w:rFonts w:ascii="Times New Roman" w:hAnsi="Times New Roman" w:cs="Times New Roman"/>
          <w:sz w:val="24"/>
          <w:szCs w:val="24"/>
        </w:rPr>
      </w:pPr>
      <w:r w:rsidRPr="008B3C30">
        <w:rPr>
          <w:rFonts w:ascii="Times New Roman" w:hAnsi="Times New Roman" w:cs="Times New Roman"/>
          <w:sz w:val="24"/>
          <w:szCs w:val="24"/>
        </w:rPr>
        <w:t xml:space="preserve"> </w:t>
      </w:r>
      <w:r w:rsidR="00744BA1" w:rsidRPr="008B3C30">
        <w:rPr>
          <w:rFonts w:ascii="Times New Roman" w:hAnsi="Times New Roman" w:cs="Times New Roman"/>
          <w:sz w:val="24"/>
          <w:szCs w:val="24"/>
        </w:rPr>
        <w:t>Предприемане на действия за защита на личните данни на лицата, подали жалбите или сигналите, и на лицата, срещу които те са подадени.</w:t>
      </w:r>
    </w:p>
    <w:p w:rsidR="00744BA1" w:rsidRPr="008B3C30" w:rsidRDefault="00744BA1" w:rsidP="00744BA1">
      <w:pPr>
        <w:spacing w:before="120"/>
        <w:jc w:val="both"/>
        <w:rPr>
          <w:rFonts w:ascii="Times New Roman" w:hAnsi="Times New Roman" w:cs="Times New Roman"/>
          <w:b/>
          <w:sz w:val="24"/>
          <w:szCs w:val="24"/>
        </w:rPr>
      </w:pPr>
      <w:r w:rsidRPr="008B3C30">
        <w:rPr>
          <w:rFonts w:ascii="Times New Roman" w:hAnsi="Times New Roman" w:cs="Times New Roman"/>
          <w:b/>
          <w:sz w:val="24"/>
          <w:szCs w:val="24"/>
        </w:rPr>
        <w:t>Мерки за изпълнение на стратегическата цел № 4</w:t>
      </w:r>
      <w:r w:rsidR="006300D8" w:rsidRPr="008B3C30">
        <w:rPr>
          <w:rFonts w:ascii="Times New Roman" w:hAnsi="Times New Roman" w:cs="Times New Roman"/>
          <w:b/>
          <w:sz w:val="24"/>
          <w:szCs w:val="24"/>
        </w:rPr>
        <w:t>, установени от КФН</w:t>
      </w:r>
      <w:r w:rsidRPr="008B3C30">
        <w:rPr>
          <w:rFonts w:ascii="Times New Roman" w:hAnsi="Times New Roman" w:cs="Times New Roman"/>
          <w:b/>
          <w:sz w:val="24"/>
          <w:szCs w:val="24"/>
        </w:rPr>
        <w:t>:</w:t>
      </w:r>
    </w:p>
    <w:p w:rsidR="00744BA1" w:rsidRPr="008B3C30" w:rsidRDefault="00744BA1" w:rsidP="008212B7">
      <w:pPr>
        <w:pStyle w:val="BodyText"/>
        <w:numPr>
          <w:ilvl w:val="0"/>
          <w:numId w:val="11"/>
        </w:numPr>
        <w:shd w:val="clear" w:color="auto" w:fill="auto"/>
        <w:tabs>
          <w:tab w:val="left" w:pos="718"/>
        </w:tabs>
        <w:spacing w:before="120"/>
        <w:ind w:left="0" w:firstLine="23"/>
        <w:rPr>
          <w:rFonts w:cs="Times New Roman"/>
          <w:sz w:val="24"/>
          <w:szCs w:val="24"/>
        </w:rPr>
      </w:pPr>
      <w:r w:rsidRPr="008B3C30">
        <w:rPr>
          <w:rFonts w:cs="Times New Roman"/>
          <w:bCs/>
          <w:sz w:val="24"/>
          <w:szCs w:val="24"/>
        </w:rPr>
        <w:t>Изготвяне на редовни анализи на потребителските жалби, получени в</w:t>
      </w:r>
      <w:r w:rsidRPr="008B3C30">
        <w:rPr>
          <w:rFonts w:cs="Times New Roman"/>
          <w:sz w:val="24"/>
          <w:szCs w:val="24"/>
        </w:rPr>
        <w:t xml:space="preserve"> </w:t>
      </w:r>
      <w:r w:rsidRPr="008B3C30">
        <w:rPr>
          <w:rFonts w:cs="Times New Roman"/>
          <w:bCs/>
          <w:sz w:val="24"/>
          <w:szCs w:val="24"/>
        </w:rPr>
        <w:t>КФН</w:t>
      </w:r>
      <w:r w:rsidR="006300D8" w:rsidRPr="008B3C30">
        <w:rPr>
          <w:rFonts w:cs="Times New Roman"/>
          <w:bCs/>
          <w:sz w:val="24"/>
          <w:szCs w:val="24"/>
        </w:rPr>
        <w:t>.</w:t>
      </w:r>
      <w:r w:rsidRPr="008B3C30">
        <w:rPr>
          <w:rFonts w:cs="Times New Roman"/>
          <w:bCs/>
          <w:sz w:val="24"/>
          <w:szCs w:val="24"/>
        </w:rPr>
        <w:t xml:space="preserve"> </w:t>
      </w:r>
      <w:r w:rsidRPr="008B3C30">
        <w:rPr>
          <w:rFonts w:cs="Times New Roman"/>
          <w:sz w:val="24"/>
          <w:szCs w:val="24"/>
        </w:rPr>
        <w:t xml:space="preserve">Анализите ще включват данни за броя получени потребителски жалби по пазари, основните теми и проблеми, повдигнати в жалбите, причини, довели до спор между потребители и поднадзорните </w:t>
      </w:r>
      <w:r w:rsidR="006300D8" w:rsidRPr="008B3C30">
        <w:rPr>
          <w:rFonts w:cs="Times New Roman"/>
          <w:sz w:val="24"/>
          <w:szCs w:val="24"/>
        </w:rPr>
        <w:t xml:space="preserve">лица </w:t>
      </w:r>
      <w:r w:rsidRPr="008B3C30">
        <w:rPr>
          <w:rFonts w:cs="Times New Roman"/>
          <w:sz w:val="24"/>
          <w:szCs w:val="24"/>
        </w:rPr>
        <w:t>, открояване на систематичните проблеми, лоши бизнес практики; предложения за решаване на откроените проблеми;</w:t>
      </w:r>
    </w:p>
    <w:p w:rsidR="00744BA1" w:rsidRPr="008B3C30" w:rsidRDefault="00744BA1" w:rsidP="008212B7">
      <w:pPr>
        <w:pStyle w:val="BodyText"/>
        <w:numPr>
          <w:ilvl w:val="0"/>
          <w:numId w:val="11"/>
        </w:numPr>
        <w:shd w:val="clear" w:color="auto" w:fill="auto"/>
        <w:tabs>
          <w:tab w:val="left" w:pos="718"/>
        </w:tabs>
        <w:spacing w:before="120"/>
        <w:ind w:left="0" w:firstLine="23"/>
        <w:rPr>
          <w:rFonts w:cs="Times New Roman"/>
          <w:sz w:val="24"/>
          <w:szCs w:val="24"/>
        </w:rPr>
      </w:pPr>
      <w:r w:rsidRPr="008B3C30">
        <w:rPr>
          <w:rFonts w:cs="Times New Roman"/>
          <w:bCs/>
          <w:sz w:val="24"/>
          <w:szCs w:val="24"/>
        </w:rPr>
        <w:t>Изготвяне на редовни анализи на запитвания и сигнали, постъпили в Информационния център;</w:t>
      </w:r>
    </w:p>
    <w:p w:rsidR="00744BA1" w:rsidRPr="008B3C30" w:rsidRDefault="00744BA1" w:rsidP="00744BA1">
      <w:pPr>
        <w:pStyle w:val="BodyText"/>
        <w:shd w:val="clear" w:color="auto" w:fill="auto"/>
        <w:tabs>
          <w:tab w:val="left" w:pos="718"/>
        </w:tabs>
        <w:spacing w:before="120"/>
        <w:ind w:firstLine="0"/>
        <w:rPr>
          <w:rFonts w:cs="Times New Roman"/>
          <w:sz w:val="24"/>
          <w:szCs w:val="24"/>
        </w:rPr>
      </w:pPr>
      <w:r w:rsidRPr="008B3C30">
        <w:rPr>
          <w:rFonts w:cs="Times New Roman"/>
          <w:sz w:val="24"/>
          <w:szCs w:val="24"/>
        </w:rPr>
        <w:t>Дирекция „Анализи, жалби и преструктуриране“</w:t>
      </w:r>
      <w:r w:rsidR="00C42A33">
        <w:rPr>
          <w:rFonts w:cs="Times New Roman"/>
          <w:sz w:val="24"/>
          <w:szCs w:val="24"/>
        </w:rPr>
        <w:t>,</w:t>
      </w:r>
      <w:r w:rsidRPr="008B3C30">
        <w:rPr>
          <w:rFonts w:cs="Times New Roman"/>
          <w:sz w:val="24"/>
          <w:szCs w:val="24"/>
        </w:rPr>
        <w:t xml:space="preserve"> със съдействието на дирекция „Връзки с обществеността“</w:t>
      </w:r>
      <w:r w:rsidR="00C42A33">
        <w:rPr>
          <w:rFonts w:cs="Times New Roman"/>
          <w:sz w:val="24"/>
          <w:szCs w:val="24"/>
        </w:rPr>
        <w:t>,</w:t>
      </w:r>
      <w:r w:rsidRPr="008B3C30">
        <w:rPr>
          <w:rFonts w:cs="Times New Roman"/>
          <w:sz w:val="24"/>
          <w:szCs w:val="24"/>
        </w:rPr>
        <w:t xml:space="preserve"> ще подготвя анализи на данните за потребителските жалби и сигнали, </w:t>
      </w:r>
      <w:r w:rsidRPr="008B3C30">
        <w:rPr>
          <w:rFonts w:cs="Times New Roman"/>
          <w:bCs/>
          <w:sz w:val="24"/>
          <w:szCs w:val="24"/>
        </w:rPr>
        <w:t>постъпили в Информационния център,</w:t>
      </w:r>
      <w:r w:rsidR="00C42A33">
        <w:rPr>
          <w:rFonts w:cs="Times New Roman"/>
          <w:sz w:val="24"/>
          <w:szCs w:val="24"/>
        </w:rPr>
        <w:t xml:space="preserve"> които да</w:t>
      </w:r>
      <w:r w:rsidRPr="008B3C30">
        <w:rPr>
          <w:rFonts w:cs="Times New Roman"/>
          <w:sz w:val="24"/>
          <w:szCs w:val="24"/>
        </w:rPr>
        <w:t xml:space="preserve"> подпомагат </w:t>
      </w:r>
      <w:r w:rsidR="00550270" w:rsidRPr="008B3C30">
        <w:rPr>
          <w:rFonts w:cs="Times New Roman"/>
          <w:sz w:val="24"/>
          <w:szCs w:val="24"/>
        </w:rPr>
        <w:t xml:space="preserve">на </w:t>
      </w:r>
      <w:r w:rsidR="00C42A33">
        <w:rPr>
          <w:rFonts w:cs="Times New Roman"/>
          <w:sz w:val="24"/>
          <w:szCs w:val="24"/>
        </w:rPr>
        <w:t>регулаторната институция</w:t>
      </w:r>
      <w:r w:rsidR="00550270" w:rsidRPr="008B3C30">
        <w:rPr>
          <w:rFonts w:cs="Times New Roman"/>
          <w:sz w:val="24"/>
          <w:szCs w:val="24"/>
        </w:rPr>
        <w:t xml:space="preserve"> да</w:t>
      </w:r>
      <w:r w:rsidRPr="008B3C30">
        <w:rPr>
          <w:rFonts w:cs="Times New Roman"/>
          <w:sz w:val="24"/>
          <w:szCs w:val="24"/>
        </w:rPr>
        <w:t xml:space="preserve"> идентифицира съществуващи</w:t>
      </w:r>
      <w:r w:rsidR="00550270" w:rsidRPr="008B3C30">
        <w:rPr>
          <w:rFonts w:cs="Times New Roman"/>
          <w:sz w:val="24"/>
          <w:szCs w:val="24"/>
        </w:rPr>
        <w:t>те</w:t>
      </w:r>
      <w:r w:rsidRPr="008B3C30">
        <w:rPr>
          <w:rFonts w:cs="Times New Roman"/>
          <w:sz w:val="24"/>
          <w:szCs w:val="24"/>
        </w:rPr>
        <w:t xml:space="preserve"> и потенциални проблеми</w:t>
      </w:r>
      <w:r w:rsidR="00C42A33">
        <w:rPr>
          <w:rFonts w:cs="Times New Roman"/>
          <w:sz w:val="24"/>
          <w:szCs w:val="24"/>
        </w:rPr>
        <w:t>. Следваща стъпка е</w:t>
      </w:r>
      <w:r w:rsidRPr="008B3C30">
        <w:rPr>
          <w:rFonts w:cs="Times New Roman"/>
          <w:sz w:val="24"/>
          <w:szCs w:val="24"/>
        </w:rPr>
        <w:t xml:space="preserve"> определяне на мерки за преодоляване на проблема чрез нормативни промени или специализирани информационни или образователни кампании. Редовното оповестяване на този тип информация ще култивира навика за ползването й и ще създаде предпоставки за внимателен избор и избягване на лоши или измамни бизнес практики. Едновременно с това ще се повиши общественото разбиране за пълномощията на КФН.</w:t>
      </w:r>
    </w:p>
    <w:p w:rsidR="00744BA1" w:rsidRPr="008B3C30" w:rsidRDefault="00744BA1" w:rsidP="008212B7">
      <w:pPr>
        <w:pStyle w:val="ListParagraph"/>
        <w:numPr>
          <w:ilvl w:val="0"/>
          <w:numId w:val="11"/>
        </w:numPr>
        <w:spacing w:before="120"/>
        <w:ind w:left="0" w:firstLine="23"/>
        <w:contextualSpacing w:val="0"/>
        <w:jc w:val="both"/>
        <w:rPr>
          <w:sz w:val="24"/>
          <w:szCs w:val="24"/>
          <w:lang w:val="bg-BG"/>
        </w:rPr>
      </w:pPr>
      <w:r w:rsidRPr="008B3C30">
        <w:rPr>
          <w:sz w:val="24"/>
          <w:szCs w:val="24"/>
          <w:lang w:val="bg-BG"/>
        </w:rPr>
        <w:t>Подобряване на вътрешната организация и документооборота, свързан с обработката на жалбите на потребители на финансови услуги и продукти с оглед събирането и обработката на систематизирана информация за жалбите за вътрешни управленски цели и предоставяне на информация на европейските надзорни органи;</w:t>
      </w:r>
    </w:p>
    <w:p w:rsidR="00744BA1" w:rsidRPr="008B3C30" w:rsidRDefault="00744BA1" w:rsidP="008212B7">
      <w:pPr>
        <w:pStyle w:val="ListParagraph"/>
        <w:numPr>
          <w:ilvl w:val="0"/>
          <w:numId w:val="11"/>
        </w:numPr>
        <w:spacing w:before="120"/>
        <w:ind w:left="0" w:firstLine="20"/>
        <w:contextualSpacing w:val="0"/>
        <w:jc w:val="both"/>
        <w:rPr>
          <w:sz w:val="24"/>
          <w:szCs w:val="24"/>
          <w:lang w:val="bg-BG"/>
        </w:rPr>
      </w:pPr>
      <w:r w:rsidRPr="008B3C30">
        <w:rPr>
          <w:sz w:val="24"/>
          <w:szCs w:val="24"/>
          <w:lang w:val="bg-BG"/>
        </w:rPr>
        <w:t>Актуализиране на статистическата информация за получени и обработени жалби на потребители в КФН чрез нови форми на справки - резюме на обобщена статистическа информация за жалби и сигнали. Графичната част в резюмето може да бъде допълнена с текстово пояснение. Резюмето се предвижда да се публикува с определена периодичност, например тримесечие;</w:t>
      </w:r>
    </w:p>
    <w:p w:rsidR="00744BA1" w:rsidRPr="008B3C30" w:rsidRDefault="00744BA1" w:rsidP="008212B7">
      <w:pPr>
        <w:pStyle w:val="ListParagraph"/>
        <w:numPr>
          <w:ilvl w:val="0"/>
          <w:numId w:val="11"/>
        </w:numPr>
        <w:tabs>
          <w:tab w:val="left" w:pos="709"/>
        </w:tabs>
        <w:spacing w:before="120"/>
        <w:ind w:left="0" w:firstLine="20"/>
        <w:contextualSpacing w:val="0"/>
        <w:jc w:val="both"/>
        <w:rPr>
          <w:sz w:val="24"/>
          <w:szCs w:val="24"/>
          <w:lang w:val="bg-BG"/>
        </w:rPr>
      </w:pPr>
      <w:r w:rsidRPr="008B3C30">
        <w:rPr>
          <w:sz w:val="24"/>
          <w:szCs w:val="24"/>
          <w:lang w:val="bg-BG"/>
        </w:rPr>
        <w:t xml:space="preserve">Установяване на вътрешни правила и ограничаване достъпа до информация, свързана с предоставяните от жалбоподателя лични данни и такива, с които КФН се е сдобила в хода на проверката. Изготвяне на декларация и насоки към жалбоподателите за прилагане </w:t>
      </w:r>
      <w:r w:rsidR="00550270" w:rsidRPr="008B3C30">
        <w:rPr>
          <w:sz w:val="24"/>
          <w:szCs w:val="24"/>
          <w:lang w:val="bg-BG"/>
        </w:rPr>
        <w:t xml:space="preserve">на </w:t>
      </w:r>
      <w:r w:rsidRPr="008B3C30">
        <w:rPr>
          <w:sz w:val="24"/>
          <w:szCs w:val="24"/>
          <w:lang w:val="bg-BG"/>
        </w:rPr>
        <w:t>изисквания</w:t>
      </w:r>
      <w:r w:rsidR="00550270" w:rsidRPr="008B3C30">
        <w:rPr>
          <w:sz w:val="24"/>
          <w:szCs w:val="24"/>
          <w:lang w:val="bg-BG"/>
        </w:rPr>
        <w:t>та</w:t>
      </w:r>
      <w:r w:rsidRPr="008B3C30">
        <w:rPr>
          <w:sz w:val="24"/>
          <w:szCs w:val="24"/>
          <w:lang w:val="bg-BG"/>
        </w:rPr>
        <w:t xml:space="preserve"> на Регламента за защита на личните данни в процеса на разглеждане и изготвяне на отговор  до жалбоподателите.</w:t>
      </w:r>
    </w:p>
    <w:p w:rsidR="00744BA1" w:rsidRDefault="00744BA1" w:rsidP="00744BA1">
      <w:pPr>
        <w:pStyle w:val="Default"/>
        <w:jc w:val="both"/>
      </w:pPr>
    </w:p>
    <w:p w:rsidR="00C42A33" w:rsidRDefault="00C42A33" w:rsidP="00744BA1">
      <w:pPr>
        <w:pStyle w:val="Default"/>
        <w:jc w:val="both"/>
      </w:pPr>
    </w:p>
    <w:p w:rsidR="00C42A33" w:rsidRPr="008B3C30" w:rsidRDefault="00C42A33" w:rsidP="00744BA1">
      <w:pPr>
        <w:pStyle w:val="Default"/>
        <w:jc w:val="both"/>
      </w:pPr>
    </w:p>
    <w:p w:rsidR="00744BA1" w:rsidRPr="008B3C30" w:rsidRDefault="00744BA1" w:rsidP="00744BA1">
      <w:pPr>
        <w:shd w:val="clear" w:color="auto" w:fill="FFFFFF"/>
        <w:spacing w:before="278" w:line="274" w:lineRule="exact"/>
        <w:jc w:val="both"/>
        <w:rPr>
          <w:rFonts w:ascii="Times New Roman" w:hAnsi="Times New Roman" w:cs="Times New Roman"/>
          <w:b/>
          <w:sz w:val="24"/>
          <w:szCs w:val="24"/>
        </w:rPr>
      </w:pPr>
      <w:r w:rsidRPr="008B3C30">
        <w:rPr>
          <w:rFonts w:ascii="Times New Roman" w:hAnsi="Times New Roman" w:cs="Times New Roman"/>
          <w:b/>
          <w:sz w:val="24"/>
          <w:szCs w:val="24"/>
        </w:rPr>
        <w:lastRenderedPageBreak/>
        <w:t>Стратегическата цел № 5</w:t>
      </w:r>
      <w:r w:rsidR="00550270" w:rsidRPr="008B3C30">
        <w:rPr>
          <w:rFonts w:ascii="Times New Roman" w:hAnsi="Times New Roman" w:cs="Times New Roman"/>
          <w:b/>
          <w:sz w:val="24"/>
          <w:szCs w:val="24"/>
        </w:rPr>
        <w:t>:</w:t>
      </w:r>
      <w:r w:rsidR="008212B7" w:rsidRPr="008B3C30">
        <w:rPr>
          <w:rFonts w:ascii="Times New Roman" w:hAnsi="Times New Roman" w:cs="Times New Roman"/>
          <w:b/>
          <w:sz w:val="24"/>
          <w:szCs w:val="24"/>
        </w:rPr>
        <w:t xml:space="preserve"> </w:t>
      </w:r>
      <w:r w:rsidRPr="008B3C30">
        <w:rPr>
          <w:rFonts w:ascii="Times New Roman" w:hAnsi="Times New Roman" w:cs="Times New Roman"/>
          <w:b/>
          <w:sz w:val="24"/>
          <w:szCs w:val="24"/>
        </w:rPr>
        <w:t>Осигуряване високо ниво на информираност и осведоменост на потребителите на услуги в небанковия финансов сектор за развитието на капиталовия, осигурителния и застрахователния пазар чрез:</w:t>
      </w:r>
    </w:p>
    <w:p w:rsidR="00744BA1" w:rsidRPr="008B3C30" w:rsidRDefault="00744BA1" w:rsidP="008212B7">
      <w:pPr>
        <w:pStyle w:val="ListParagraph"/>
        <w:numPr>
          <w:ilvl w:val="0"/>
          <w:numId w:val="18"/>
        </w:numPr>
        <w:shd w:val="clear" w:color="auto" w:fill="FFFFFF"/>
        <w:tabs>
          <w:tab w:val="left" w:pos="709"/>
        </w:tabs>
        <w:spacing w:before="278" w:line="274" w:lineRule="exact"/>
        <w:ind w:left="0" w:firstLine="20"/>
        <w:jc w:val="both"/>
        <w:rPr>
          <w:sz w:val="24"/>
          <w:szCs w:val="24"/>
          <w:lang w:val="bg-BG"/>
        </w:rPr>
      </w:pPr>
      <w:r w:rsidRPr="008B3C30">
        <w:rPr>
          <w:sz w:val="24"/>
          <w:szCs w:val="24"/>
          <w:lang w:val="bg-BG"/>
        </w:rPr>
        <w:t>Повишаване качеството и честотата на предоставяна</w:t>
      </w:r>
      <w:r w:rsidR="00EE1CF3">
        <w:rPr>
          <w:sz w:val="24"/>
          <w:szCs w:val="24"/>
          <w:lang w:val="bg-BG"/>
        </w:rPr>
        <w:t>та на обществеността информация;</w:t>
      </w:r>
    </w:p>
    <w:p w:rsidR="00EE1CF3" w:rsidRPr="00C42A33" w:rsidRDefault="00744BA1" w:rsidP="008212B7">
      <w:pPr>
        <w:pStyle w:val="ListParagraph"/>
        <w:numPr>
          <w:ilvl w:val="0"/>
          <w:numId w:val="18"/>
        </w:numPr>
        <w:shd w:val="clear" w:color="auto" w:fill="FFFFFF"/>
        <w:tabs>
          <w:tab w:val="left" w:pos="709"/>
        </w:tabs>
        <w:spacing w:before="120" w:line="274" w:lineRule="exact"/>
        <w:ind w:left="0" w:firstLine="20"/>
        <w:jc w:val="both"/>
        <w:rPr>
          <w:b/>
          <w:sz w:val="24"/>
          <w:szCs w:val="24"/>
        </w:rPr>
      </w:pPr>
      <w:r w:rsidRPr="008B3C30">
        <w:rPr>
          <w:sz w:val="24"/>
          <w:szCs w:val="24"/>
          <w:lang w:val="bg-BG"/>
        </w:rPr>
        <w:t>Навременна актуализация, съобразно настъпващите промени на пазара и навлизащи продукти</w:t>
      </w:r>
      <w:r w:rsidR="00550270" w:rsidRPr="008B3C30">
        <w:rPr>
          <w:sz w:val="24"/>
          <w:szCs w:val="24"/>
          <w:lang w:val="bg-BG"/>
        </w:rPr>
        <w:t>.</w:t>
      </w:r>
      <w:r w:rsidRPr="008B3C30">
        <w:rPr>
          <w:sz w:val="24"/>
          <w:szCs w:val="24"/>
          <w:lang w:val="bg-BG"/>
        </w:rPr>
        <w:t xml:space="preserve"> </w:t>
      </w:r>
      <w:r w:rsidR="00C42A33">
        <w:rPr>
          <w:sz w:val="24"/>
          <w:szCs w:val="24"/>
          <w:lang w:val="bg-BG"/>
        </w:rPr>
        <w:t xml:space="preserve">  </w:t>
      </w:r>
    </w:p>
    <w:p w:rsidR="00744BA1" w:rsidRDefault="00744BA1" w:rsidP="00C164FC">
      <w:pPr>
        <w:pStyle w:val="ListParagraph"/>
        <w:shd w:val="clear" w:color="auto" w:fill="FFFFFF"/>
        <w:tabs>
          <w:tab w:val="left" w:pos="709"/>
        </w:tabs>
        <w:spacing w:before="120" w:after="120" w:line="274" w:lineRule="exact"/>
        <w:ind w:left="23"/>
        <w:contextualSpacing w:val="0"/>
        <w:jc w:val="both"/>
        <w:rPr>
          <w:b/>
          <w:sz w:val="24"/>
          <w:szCs w:val="24"/>
        </w:rPr>
      </w:pPr>
      <w:proofErr w:type="spellStart"/>
      <w:r w:rsidRPr="008B3C30">
        <w:rPr>
          <w:b/>
          <w:sz w:val="24"/>
          <w:szCs w:val="24"/>
        </w:rPr>
        <w:t>Мерки</w:t>
      </w:r>
      <w:proofErr w:type="spellEnd"/>
      <w:r w:rsidRPr="008B3C30">
        <w:rPr>
          <w:b/>
          <w:sz w:val="24"/>
          <w:szCs w:val="24"/>
        </w:rPr>
        <w:t xml:space="preserve"> </w:t>
      </w:r>
      <w:proofErr w:type="spellStart"/>
      <w:r w:rsidRPr="008B3C30">
        <w:rPr>
          <w:b/>
          <w:sz w:val="24"/>
          <w:szCs w:val="24"/>
        </w:rPr>
        <w:t>за</w:t>
      </w:r>
      <w:proofErr w:type="spellEnd"/>
      <w:r w:rsidRPr="008B3C30">
        <w:rPr>
          <w:b/>
          <w:sz w:val="24"/>
          <w:szCs w:val="24"/>
        </w:rPr>
        <w:t xml:space="preserve"> </w:t>
      </w:r>
      <w:proofErr w:type="spellStart"/>
      <w:r w:rsidRPr="008B3C30">
        <w:rPr>
          <w:b/>
          <w:sz w:val="24"/>
          <w:szCs w:val="24"/>
        </w:rPr>
        <w:t>изпълнение</w:t>
      </w:r>
      <w:proofErr w:type="spellEnd"/>
      <w:r w:rsidRPr="008B3C30">
        <w:rPr>
          <w:b/>
          <w:sz w:val="24"/>
          <w:szCs w:val="24"/>
        </w:rPr>
        <w:t xml:space="preserve"> </w:t>
      </w:r>
      <w:proofErr w:type="spellStart"/>
      <w:r w:rsidRPr="008B3C30">
        <w:rPr>
          <w:b/>
          <w:sz w:val="24"/>
          <w:szCs w:val="24"/>
        </w:rPr>
        <w:t>на</w:t>
      </w:r>
      <w:proofErr w:type="spellEnd"/>
      <w:r w:rsidRPr="008B3C30">
        <w:rPr>
          <w:b/>
          <w:sz w:val="24"/>
          <w:szCs w:val="24"/>
        </w:rPr>
        <w:t xml:space="preserve"> </w:t>
      </w:r>
      <w:proofErr w:type="spellStart"/>
      <w:r w:rsidRPr="008B3C30">
        <w:rPr>
          <w:b/>
          <w:sz w:val="24"/>
          <w:szCs w:val="24"/>
        </w:rPr>
        <w:t>стратегическата</w:t>
      </w:r>
      <w:proofErr w:type="spellEnd"/>
      <w:r w:rsidRPr="008B3C30">
        <w:rPr>
          <w:b/>
          <w:sz w:val="24"/>
          <w:szCs w:val="24"/>
        </w:rPr>
        <w:t xml:space="preserve"> </w:t>
      </w:r>
      <w:proofErr w:type="spellStart"/>
      <w:r w:rsidRPr="008B3C30">
        <w:rPr>
          <w:b/>
          <w:sz w:val="24"/>
          <w:szCs w:val="24"/>
        </w:rPr>
        <w:t>цел</w:t>
      </w:r>
      <w:proofErr w:type="spellEnd"/>
      <w:r w:rsidRPr="008B3C30">
        <w:rPr>
          <w:b/>
          <w:sz w:val="24"/>
          <w:szCs w:val="24"/>
        </w:rPr>
        <w:t xml:space="preserve"> № 5</w:t>
      </w:r>
      <w:r w:rsidR="00550270" w:rsidRPr="008B3C30">
        <w:rPr>
          <w:b/>
          <w:sz w:val="24"/>
          <w:szCs w:val="24"/>
        </w:rPr>
        <w:t xml:space="preserve">, </w:t>
      </w:r>
      <w:proofErr w:type="spellStart"/>
      <w:r w:rsidR="00550270" w:rsidRPr="008B3C30">
        <w:rPr>
          <w:b/>
          <w:sz w:val="24"/>
          <w:szCs w:val="24"/>
        </w:rPr>
        <w:t>установени</w:t>
      </w:r>
      <w:proofErr w:type="spellEnd"/>
      <w:r w:rsidR="00550270" w:rsidRPr="008B3C30">
        <w:rPr>
          <w:b/>
          <w:sz w:val="24"/>
          <w:szCs w:val="24"/>
        </w:rPr>
        <w:t xml:space="preserve"> </w:t>
      </w:r>
      <w:proofErr w:type="spellStart"/>
      <w:r w:rsidR="00550270" w:rsidRPr="008B3C30">
        <w:rPr>
          <w:b/>
          <w:sz w:val="24"/>
          <w:szCs w:val="24"/>
        </w:rPr>
        <w:t>от</w:t>
      </w:r>
      <w:proofErr w:type="spellEnd"/>
      <w:r w:rsidR="00550270" w:rsidRPr="008B3C30">
        <w:rPr>
          <w:b/>
          <w:sz w:val="24"/>
          <w:szCs w:val="24"/>
        </w:rPr>
        <w:t xml:space="preserve"> КФН</w:t>
      </w:r>
      <w:r w:rsidRPr="008B3C30">
        <w:rPr>
          <w:b/>
          <w:sz w:val="24"/>
          <w:szCs w:val="24"/>
        </w:rPr>
        <w:t>:</w:t>
      </w:r>
    </w:p>
    <w:p w:rsidR="00744BA1" w:rsidRPr="008B3C30" w:rsidRDefault="00744BA1" w:rsidP="00C42A33">
      <w:pPr>
        <w:pStyle w:val="ListParagraph"/>
        <w:numPr>
          <w:ilvl w:val="0"/>
          <w:numId w:val="12"/>
        </w:numPr>
        <w:tabs>
          <w:tab w:val="left" w:pos="284"/>
        </w:tabs>
        <w:ind w:left="0" w:firstLine="0"/>
        <w:jc w:val="both"/>
        <w:rPr>
          <w:sz w:val="24"/>
          <w:szCs w:val="24"/>
          <w:lang w:val="bg-BG"/>
        </w:rPr>
      </w:pPr>
      <w:r w:rsidRPr="008B3C30">
        <w:rPr>
          <w:sz w:val="24"/>
          <w:szCs w:val="24"/>
          <w:lang w:val="bg-BG"/>
        </w:rPr>
        <w:t xml:space="preserve">Разработване на презентации и публикации </w:t>
      </w:r>
      <w:r w:rsidR="00550270" w:rsidRPr="008B3C30">
        <w:rPr>
          <w:sz w:val="24"/>
          <w:szCs w:val="24"/>
          <w:lang w:val="bg-BG"/>
        </w:rPr>
        <w:t xml:space="preserve"> по</w:t>
      </w:r>
      <w:r w:rsidRPr="008B3C30">
        <w:rPr>
          <w:sz w:val="24"/>
          <w:szCs w:val="24"/>
          <w:lang w:val="bg-BG"/>
        </w:rPr>
        <w:t xml:space="preserve"> актуални теми,</w:t>
      </w:r>
      <w:r w:rsidR="00550270" w:rsidRPr="008B3C30">
        <w:rPr>
          <w:rFonts w:eastAsiaTheme="minorEastAsia"/>
          <w:sz w:val="24"/>
          <w:szCs w:val="24"/>
          <w:lang w:val="bg-BG"/>
        </w:rPr>
        <w:t xml:space="preserve"> </w:t>
      </w:r>
      <w:r w:rsidR="00550270" w:rsidRPr="008B3C30">
        <w:rPr>
          <w:sz w:val="24"/>
          <w:szCs w:val="24"/>
          <w:lang w:val="bg-BG"/>
        </w:rPr>
        <w:t>касаещи новите европейски регулации в областта на небанковия сектор и влиянието им върху защитата интересите на потребителите.</w:t>
      </w:r>
      <w:r w:rsidRPr="008B3C30">
        <w:rPr>
          <w:sz w:val="24"/>
          <w:szCs w:val="24"/>
          <w:lang w:val="bg-BG"/>
        </w:rPr>
        <w:t xml:space="preserve"> </w:t>
      </w:r>
      <w:r w:rsidR="00550270" w:rsidRPr="008B3C30">
        <w:rPr>
          <w:sz w:val="24"/>
          <w:szCs w:val="24"/>
          <w:lang w:val="bg-BG"/>
        </w:rPr>
        <w:t>В</w:t>
      </w:r>
      <w:r w:rsidRPr="008B3C30">
        <w:rPr>
          <w:sz w:val="24"/>
          <w:szCs w:val="24"/>
          <w:lang w:val="bg-BG"/>
        </w:rPr>
        <w:t xml:space="preserve"> разработването </w:t>
      </w:r>
      <w:r w:rsidR="00550270" w:rsidRPr="008B3C30">
        <w:rPr>
          <w:sz w:val="24"/>
          <w:szCs w:val="24"/>
          <w:lang w:val="bg-BG"/>
        </w:rPr>
        <w:t xml:space="preserve">участват </w:t>
      </w:r>
      <w:r w:rsidRPr="008B3C30">
        <w:rPr>
          <w:sz w:val="24"/>
          <w:szCs w:val="24"/>
          <w:lang w:val="bg-BG"/>
        </w:rPr>
        <w:t>служители от обща</w:t>
      </w:r>
      <w:r w:rsidR="00550270" w:rsidRPr="008B3C30">
        <w:rPr>
          <w:sz w:val="24"/>
          <w:szCs w:val="24"/>
          <w:lang w:val="bg-BG"/>
        </w:rPr>
        <w:t>та</w:t>
      </w:r>
      <w:r w:rsidRPr="008B3C30">
        <w:rPr>
          <w:sz w:val="24"/>
          <w:szCs w:val="24"/>
          <w:lang w:val="bg-BG"/>
        </w:rPr>
        <w:t xml:space="preserve"> и специализирана администрация;</w:t>
      </w:r>
    </w:p>
    <w:p w:rsidR="00744BA1" w:rsidRPr="008B3C30" w:rsidRDefault="00744BA1" w:rsidP="00C42A33">
      <w:pPr>
        <w:pStyle w:val="ListParagraph"/>
        <w:numPr>
          <w:ilvl w:val="0"/>
          <w:numId w:val="12"/>
        </w:numPr>
        <w:tabs>
          <w:tab w:val="left" w:pos="284"/>
        </w:tabs>
        <w:ind w:left="0" w:hanging="11"/>
        <w:jc w:val="both"/>
        <w:rPr>
          <w:sz w:val="24"/>
          <w:szCs w:val="24"/>
          <w:lang w:val="bg-BG"/>
        </w:rPr>
      </w:pPr>
      <w:r w:rsidRPr="008B3C30">
        <w:rPr>
          <w:sz w:val="24"/>
          <w:szCs w:val="24"/>
          <w:lang w:val="bg-BG"/>
        </w:rPr>
        <w:t xml:space="preserve">Изготвяне на информационни материали за потребителите, които да дават разяснения на общодостъпен език за новите изисквания към пазара, към лицата, предоставящи услуги, ползите за потребителите от въвеждането на новите разпоредби с цел повишаване информираността и културата на потребителите; </w:t>
      </w:r>
    </w:p>
    <w:p w:rsidR="00744BA1" w:rsidRPr="008B3C30" w:rsidRDefault="00550270" w:rsidP="00C42A33">
      <w:pPr>
        <w:pStyle w:val="ListParagraph"/>
        <w:numPr>
          <w:ilvl w:val="0"/>
          <w:numId w:val="12"/>
        </w:numPr>
        <w:tabs>
          <w:tab w:val="left" w:pos="284"/>
        </w:tabs>
        <w:ind w:left="0" w:firstLine="0"/>
        <w:jc w:val="both"/>
        <w:rPr>
          <w:sz w:val="24"/>
          <w:szCs w:val="24"/>
          <w:lang w:val="bg-BG"/>
        </w:rPr>
      </w:pPr>
      <w:r w:rsidRPr="008B3C30">
        <w:rPr>
          <w:sz w:val="24"/>
          <w:szCs w:val="24"/>
          <w:lang w:val="bg-BG"/>
        </w:rPr>
        <w:t>Периодично и</w:t>
      </w:r>
      <w:r w:rsidR="00744BA1" w:rsidRPr="008B3C30">
        <w:rPr>
          <w:sz w:val="24"/>
          <w:szCs w:val="24"/>
          <w:lang w:val="bg-BG"/>
        </w:rPr>
        <w:t xml:space="preserve">зготвяне  на статии </w:t>
      </w:r>
      <w:r w:rsidR="00484294" w:rsidRPr="008B3C30">
        <w:rPr>
          <w:sz w:val="24"/>
          <w:szCs w:val="24"/>
          <w:lang w:val="bg-BG"/>
        </w:rPr>
        <w:t xml:space="preserve"> по актуални</w:t>
      </w:r>
      <w:r w:rsidR="00744BA1" w:rsidRPr="008B3C30">
        <w:rPr>
          <w:sz w:val="24"/>
          <w:szCs w:val="24"/>
          <w:lang w:val="bg-BG"/>
        </w:rPr>
        <w:t xml:space="preserve"> теми, които се дискутират на европейско ниво</w:t>
      </w:r>
      <w:r w:rsidR="00484294" w:rsidRPr="008B3C30">
        <w:rPr>
          <w:sz w:val="24"/>
          <w:szCs w:val="24"/>
          <w:lang w:val="bg-BG"/>
        </w:rPr>
        <w:t>,</w:t>
      </w:r>
      <w:r w:rsidR="00744BA1" w:rsidRPr="008B3C30">
        <w:rPr>
          <w:sz w:val="24"/>
          <w:szCs w:val="24"/>
          <w:lang w:val="bg-BG"/>
        </w:rPr>
        <w:t xml:space="preserve"> във връзка със защитата на потребителите</w:t>
      </w:r>
      <w:r w:rsidR="00484294" w:rsidRPr="008B3C30">
        <w:rPr>
          <w:sz w:val="24"/>
          <w:szCs w:val="24"/>
          <w:lang w:val="bg-BG"/>
        </w:rPr>
        <w:t>.</w:t>
      </w:r>
      <w:r w:rsidR="00EE1CF3">
        <w:rPr>
          <w:sz w:val="24"/>
          <w:szCs w:val="24"/>
          <w:lang w:val="bg-BG"/>
        </w:rPr>
        <w:t xml:space="preserve"> </w:t>
      </w:r>
      <w:r w:rsidR="00484294" w:rsidRPr="008B3C30">
        <w:rPr>
          <w:sz w:val="24"/>
          <w:szCs w:val="24"/>
          <w:lang w:val="bg-BG"/>
        </w:rPr>
        <w:t>О</w:t>
      </w:r>
      <w:r w:rsidR="00744BA1" w:rsidRPr="008B3C30">
        <w:rPr>
          <w:sz w:val="24"/>
          <w:szCs w:val="24"/>
          <w:lang w:val="bg-BG"/>
        </w:rPr>
        <w:t>сновен източник на информация могат да бъдат публичните дискусионни документи на ниво работни групи за защита на потребителите към ESMA и EIOPA.</w:t>
      </w:r>
    </w:p>
    <w:p w:rsidR="00744BA1" w:rsidRPr="008B3C30" w:rsidRDefault="00744BA1" w:rsidP="00744BA1">
      <w:pPr>
        <w:autoSpaceDE/>
        <w:autoSpaceDN/>
        <w:adjustRightInd/>
        <w:jc w:val="both"/>
        <w:rPr>
          <w:rFonts w:ascii="Times New Roman" w:hAnsi="Times New Roman" w:cs="Times New Roman"/>
          <w:sz w:val="24"/>
          <w:szCs w:val="24"/>
          <w:highlight w:val="lightGray"/>
        </w:rPr>
      </w:pPr>
    </w:p>
    <w:p w:rsidR="00744BA1" w:rsidRPr="008B3C30" w:rsidRDefault="00744BA1" w:rsidP="00744BA1">
      <w:pPr>
        <w:autoSpaceDE/>
        <w:autoSpaceDN/>
        <w:adjustRightInd/>
        <w:jc w:val="both"/>
        <w:rPr>
          <w:rFonts w:ascii="Times New Roman" w:hAnsi="Times New Roman" w:cs="Times New Roman"/>
          <w:b/>
          <w:sz w:val="24"/>
          <w:szCs w:val="24"/>
        </w:rPr>
      </w:pPr>
    </w:p>
    <w:p w:rsidR="00744BA1" w:rsidRPr="008B3C30" w:rsidRDefault="00744BA1" w:rsidP="00744BA1">
      <w:pPr>
        <w:autoSpaceDE/>
        <w:autoSpaceDN/>
        <w:adjustRightInd/>
        <w:jc w:val="both"/>
        <w:rPr>
          <w:rFonts w:ascii="Times New Roman" w:hAnsi="Times New Roman" w:cs="Times New Roman"/>
          <w:b/>
          <w:sz w:val="24"/>
          <w:szCs w:val="24"/>
        </w:rPr>
      </w:pPr>
      <w:r w:rsidRPr="008B3C30">
        <w:rPr>
          <w:rFonts w:ascii="Times New Roman" w:hAnsi="Times New Roman" w:cs="Times New Roman"/>
          <w:b/>
          <w:sz w:val="24"/>
          <w:szCs w:val="24"/>
        </w:rPr>
        <w:t>Стратегическата цел № 6</w:t>
      </w:r>
      <w:r w:rsidR="00484294" w:rsidRPr="008B3C30">
        <w:rPr>
          <w:rFonts w:ascii="Times New Roman" w:hAnsi="Times New Roman" w:cs="Times New Roman"/>
          <w:b/>
          <w:sz w:val="24"/>
          <w:szCs w:val="24"/>
        </w:rPr>
        <w:t>:</w:t>
      </w:r>
      <w:r w:rsidRPr="008B3C30">
        <w:rPr>
          <w:rFonts w:ascii="Times New Roman" w:hAnsi="Times New Roman" w:cs="Times New Roman"/>
          <w:b/>
          <w:sz w:val="24"/>
          <w:szCs w:val="24"/>
        </w:rPr>
        <w:t xml:space="preserve"> Подобряване на информираността на потребителите за техните права, както от страна на потребителските организации, така и от страна на дружества, предоставящи небанкови финансови услуги и продукти</w:t>
      </w:r>
    </w:p>
    <w:p w:rsidR="00744BA1" w:rsidRPr="008B3C30" w:rsidRDefault="00744BA1" w:rsidP="00744BA1">
      <w:pPr>
        <w:autoSpaceDE/>
        <w:autoSpaceDN/>
        <w:adjustRightInd/>
        <w:jc w:val="both"/>
        <w:rPr>
          <w:rFonts w:ascii="Times New Roman" w:hAnsi="Times New Roman" w:cs="Times New Roman"/>
          <w:b/>
          <w:sz w:val="24"/>
          <w:szCs w:val="24"/>
        </w:rPr>
      </w:pPr>
    </w:p>
    <w:p w:rsidR="00744BA1" w:rsidRPr="008B3C30" w:rsidRDefault="00744BA1" w:rsidP="008212B7">
      <w:pPr>
        <w:numPr>
          <w:ilvl w:val="0"/>
          <w:numId w:val="7"/>
        </w:numPr>
        <w:autoSpaceDE/>
        <w:autoSpaceDN/>
        <w:adjustRightInd/>
        <w:ind w:left="0" w:firstLine="0"/>
        <w:jc w:val="both"/>
        <w:rPr>
          <w:rFonts w:ascii="Times New Roman" w:hAnsi="Times New Roman" w:cs="Times New Roman"/>
          <w:sz w:val="24"/>
          <w:szCs w:val="24"/>
        </w:rPr>
      </w:pPr>
      <w:r w:rsidRPr="008B3C30">
        <w:rPr>
          <w:rFonts w:ascii="Times New Roman" w:hAnsi="Times New Roman" w:cs="Times New Roman"/>
          <w:sz w:val="24"/>
          <w:szCs w:val="24"/>
        </w:rPr>
        <w:t xml:space="preserve">Установяване на изискване към поднадзорните лица за предоставяне на ключова за потребителя (подробна, ясна и </w:t>
      </w:r>
      <w:proofErr w:type="spellStart"/>
      <w:r w:rsidRPr="008B3C30">
        <w:rPr>
          <w:rFonts w:ascii="Times New Roman" w:hAnsi="Times New Roman" w:cs="Times New Roman"/>
          <w:sz w:val="24"/>
          <w:szCs w:val="24"/>
        </w:rPr>
        <w:t>неподвеждаща</w:t>
      </w:r>
      <w:proofErr w:type="spellEnd"/>
      <w:r w:rsidRPr="008B3C30">
        <w:rPr>
          <w:rFonts w:ascii="Times New Roman" w:hAnsi="Times New Roman" w:cs="Times New Roman"/>
          <w:sz w:val="24"/>
          <w:szCs w:val="24"/>
        </w:rPr>
        <w:t xml:space="preserve">) информация по отношение на предлаганите от тях небанкови финансови продукти и услуги; </w:t>
      </w:r>
    </w:p>
    <w:p w:rsidR="00744BA1" w:rsidRPr="008B3C30" w:rsidRDefault="00744BA1" w:rsidP="008212B7">
      <w:pPr>
        <w:numPr>
          <w:ilvl w:val="0"/>
          <w:numId w:val="7"/>
        </w:numPr>
        <w:autoSpaceDE/>
        <w:autoSpaceDN/>
        <w:adjustRightInd/>
        <w:ind w:left="0" w:firstLine="0"/>
        <w:jc w:val="both"/>
        <w:rPr>
          <w:rFonts w:ascii="Times New Roman" w:hAnsi="Times New Roman" w:cs="Times New Roman"/>
          <w:sz w:val="24"/>
          <w:szCs w:val="24"/>
        </w:rPr>
      </w:pPr>
      <w:r w:rsidRPr="008B3C30">
        <w:rPr>
          <w:rFonts w:ascii="Times New Roman" w:hAnsi="Times New Roman" w:cs="Times New Roman"/>
          <w:sz w:val="24"/>
          <w:szCs w:val="24"/>
        </w:rPr>
        <w:t>Осигуряване на лесен достъп до ясна, точна и надеждна информация на потребителите с оглед взимане на информирани решения.</w:t>
      </w:r>
    </w:p>
    <w:p w:rsidR="00744BA1" w:rsidRPr="008B3C30" w:rsidRDefault="00744BA1" w:rsidP="00744BA1">
      <w:pPr>
        <w:spacing w:before="120"/>
        <w:jc w:val="both"/>
        <w:rPr>
          <w:rFonts w:ascii="Times New Roman" w:hAnsi="Times New Roman" w:cs="Times New Roman"/>
          <w:b/>
          <w:sz w:val="24"/>
          <w:szCs w:val="24"/>
        </w:rPr>
      </w:pPr>
      <w:r w:rsidRPr="008B3C30">
        <w:rPr>
          <w:rFonts w:ascii="Times New Roman" w:hAnsi="Times New Roman" w:cs="Times New Roman"/>
          <w:b/>
          <w:sz w:val="24"/>
          <w:szCs w:val="24"/>
        </w:rPr>
        <w:t>Мерки за изпълнение на стратегическата цел № 6</w:t>
      </w:r>
      <w:r w:rsidR="00484294" w:rsidRPr="008B3C30">
        <w:rPr>
          <w:rFonts w:ascii="Times New Roman" w:hAnsi="Times New Roman" w:cs="Times New Roman"/>
          <w:b/>
          <w:sz w:val="24"/>
          <w:szCs w:val="24"/>
        </w:rPr>
        <w:t>, установени от КФН</w:t>
      </w:r>
      <w:r w:rsidRPr="008B3C30">
        <w:rPr>
          <w:rFonts w:ascii="Times New Roman" w:hAnsi="Times New Roman" w:cs="Times New Roman"/>
          <w:b/>
          <w:sz w:val="24"/>
          <w:szCs w:val="24"/>
        </w:rPr>
        <w:t>:</w:t>
      </w:r>
    </w:p>
    <w:p w:rsidR="00744BA1" w:rsidRPr="008B3C30" w:rsidRDefault="00744BA1" w:rsidP="00C42A33">
      <w:pPr>
        <w:pStyle w:val="ListParagraph"/>
        <w:numPr>
          <w:ilvl w:val="0"/>
          <w:numId w:val="14"/>
        </w:numPr>
        <w:shd w:val="clear" w:color="auto" w:fill="FFFFFF"/>
        <w:tabs>
          <w:tab w:val="left" w:pos="284"/>
        </w:tabs>
        <w:spacing w:before="120"/>
        <w:ind w:left="0" w:firstLine="0"/>
        <w:contextualSpacing w:val="0"/>
        <w:jc w:val="both"/>
        <w:rPr>
          <w:bCs/>
          <w:color w:val="000000"/>
          <w:spacing w:val="-1"/>
          <w:sz w:val="24"/>
          <w:szCs w:val="24"/>
          <w:lang w:val="bg-BG"/>
        </w:rPr>
      </w:pPr>
      <w:r w:rsidRPr="008B3C30">
        <w:rPr>
          <w:sz w:val="24"/>
          <w:szCs w:val="24"/>
          <w:lang w:val="bg-BG"/>
        </w:rPr>
        <w:t>Актуализиране на информацията на интернет страницата на КФН, която да е достатъчно яс</w:t>
      </w:r>
      <w:bookmarkStart w:id="2" w:name="bookmark19"/>
      <w:r w:rsidRPr="008B3C30">
        <w:rPr>
          <w:sz w:val="24"/>
          <w:szCs w:val="24"/>
          <w:lang w:val="bg-BG"/>
        </w:rPr>
        <w:t xml:space="preserve">на, изчерпателна и </w:t>
      </w:r>
      <w:proofErr w:type="spellStart"/>
      <w:r w:rsidRPr="008B3C30">
        <w:rPr>
          <w:sz w:val="24"/>
          <w:szCs w:val="24"/>
          <w:lang w:val="bg-BG"/>
        </w:rPr>
        <w:t>неподвеждаща</w:t>
      </w:r>
      <w:proofErr w:type="spellEnd"/>
      <w:r w:rsidRPr="008B3C30">
        <w:rPr>
          <w:sz w:val="24"/>
          <w:szCs w:val="24"/>
          <w:lang w:val="bg-BG"/>
        </w:rPr>
        <w:t>;</w:t>
      </w:r>
    </w:p>
    <w:p w:rsidR="00744BA1" w:rsidRPr="008B3C30" w:rsidRDefault="00744BA1" w:rsidP="00744BA1">
      <w:pPr>
        <w:shd w:val="clear" w:color="auto" w:fill="FFFFFF"/>
        <w:spacing w:before="120"/>
        <w:jc w:val="both"/>
        <w:rPr>
          <w:rFonts w:ascii="Times New Roman" w:hAnsi="Times New Roman" w:cs="Times New Roman"/>
          <w:bCs/>
          <w:color w:val="000000"/>
          <w:spacing w:val="-1"/>
          <w:sz w:val="24"/>
          <w:szCs w:val="24"/>
        </w:rPr>
      </w:pPr>
      <w:r w:rsidRPr="008B3C30">
        <w:rPr>
          <w:rFonts w:ascii="Times New Roman" w:hAnsi="Times New Roman" w:cs="Times New Roman"/>
          <w:bCs/>
          <w:color w:val="000000"/>
          <w:spacing w:val="-1"/>
          <w:sz w:val="24"/>
          <w:szCs w:val="24"/>
        </w:rPr>
        <w:t xml:space="preserve">Създаване на отделно обособена рубрика, част от секцията „За потребителя“ на официалната уеб страница на КФН http://www.fsc.bg/bg/za-potrebitelya/preduprezhdeniya-za-potrebitelite/, която да </w:t>
      </w:r>
      <w:r w:rsidR="00484294" w:rsidRPr="008B3C30">
        <w:rPr>
          <w:rFonts w:ascii="Times New Roman" w:hAnsi="Times New Roman" w:cs="Times New Roman"/>
          <w:bCs/>
          <w:color w:val="000000"/>
          <w:spacing w:val="-1"/>
          <w:sz w:val="24"/>
          <w:szCs w:val="24"/>
        </w:rPr>
        <w:t xml:space="preserve"> начертае</w:t>
      </w:r>
      <w:r w:rsidRPr="008B3C30">
        <w:rPr>
          <w:rFonts w:ascii="Times New Roman" w:hAnsi="Times New Roman" w:cs="Times New Roman"/>
          <w:bCs/>
          <w:color w:val="000000"/>
          <w:spacing w:val="-1"/>
          <w:sz w:val="24"/>
          <w:szCs w:val="24"/>
        </w:rPr>
        <w:t xml:space="preserve"> стъпките на действие на потребител</w:t>
      </w:r>
      <w:r w:rsidR="00484294" w:rsidRPr="008B3C30">
        <w:rPr>
          <w:rFonts w:ascii="Times New Roman" w:hAnsi="Times New Roman" w:cs="Times New Roman"/>
          <w:bCs/>
          <w:color w:val="000000"/>
          <w:spacing w:val="-1"/>
          <w:sz w:val="24"/>
          <w:szCs w:val="24"/>
        </w:rPr>
        <w:t>я</w:t>
      </w:r>
      <w:r w:rsidRPr="008B3C30">
        <w:rPr>
          <w:rFonts w:ascii="Times New Roman" w:hAnsi="Times New Roman" w:cs="Times New Roman"/>
          <w:bCs/>
          <w:color w:val="000000"/>
          <w:spacing w:val="-1"/>
          <w:sz w:val="24"/>
          <w:szCs w:val="24"/>
        </w:rPr>
        <w:t xml:space="preserve"> на небанкови финансови услуги</w:t>
      </w:r>
      <w:r w:rsidR="00EE1CF3">
        <w:rPr>
          <w:rFonts w:ascii="Times New Roman" w:hAnsi="Times New Roman" w:cs="Times New Roman"/>
          <w:bCs/>
          <w:color w:val="000000"/>
          <w:spacing w:val="-1"/>
          <w:sz w:val="24"/>
          <w:szCs w:val="24"/>
        </w:rPr>
        <w:t xml:space="preserve"> </w:t>
      </w:r>
      <w:r w:rsidRPr="008B3C30">
        <w:rPr>
          <w:rFonts w:ascii="Times New Roman" w:hAnsi="Times New Roman" w:cs="Times New Roman"/>
          <w:bCs/>
          <w:color w:val="000000"/>
          <w:spacing w:val="-1"/>
          <w:sz w:val="24"/>
          <w:szCs w:val="24"/>
        </w:rPr>
        <w:t xml:space="preserve">преди встъпване в договорни отношения и/или инвестиране на парични средства в продукти, предлагани от дружества, опериращи на капиталовия, осигурителния и застрахователния пазар. </w:t>
      </w:r>
    </w:p>
    <w:p w:rsidR="00744BA1" w:rsidRPr="008B3C30" w:rsidRDefault="00744BA1" w:rsidP="00C42A33">
      <w:pPr>
        <w:pStyle w:val="ListParagraph"/>
        <w:numPr>
          <w:ilvl w:val="0"/>
          <w:numId w:val="14"/>
        </w:numPr>
        <w:shd w:val="clear" w:color="auto" w:fill="FFFFFF"/>
        <w:tabs>
          <w:tab w:val="left" w:pos="284"/>
        </w:tabs>
        <w:spacing w:before="120"/>
        <w:ind w:left="0" w:firstLine="0"/>
        <w:jc w:val="both"/>
        <w:rPr>
          <w:sz w:val="24"/>
          <w:szCs w:val="24"/>
          <w:lang w:val="bg-BG"/>
        </w:rPr>
      </w:pPr>
      <w:r w:rsidRPr="008B3C30">
        <w:rPr>
          <w:sz w:val="24"/>
          <w:szCs w:val="24"/>
          <w:lang w:val="bg-BG"/>
        </w:rPr>
        <w:t xml:space="preserve">Актуализация и поддържане на интернет страница „Твоите финанси“, която основно </w:t>
      </w:r>
      <w:r w:rsidR="00484294" w:rsidRPr="008B3C30">
        <w:rPr>
          <w:sz w:val="24"/>
          <w:szCs w:val="24"/>
          <w:lang w:val="bg-BG"/>
        </w:rPr>
        <w:t xml:space="preserve">да </w:t>
      </w:r>
      <w:r w:rsidRPr="008B3C30">
        <w:rPr>
          <w:sz w:val="24"/>
          <w:szCs w:val="24"/>
          <w:lang w:val="bg-BG"/>
        </w:rPr>
        <w:t xml:space="preserve">е насочена към потребителите на финансови услуги от различни възрастови и социални групи. </w:t>
      </w:r>
      <w:bookmarkEnd w:id="2"/>
      <w:r w:rsidRPr="008B3C30">
        <w:rPr>
          <w:sz w:val="24"/>
          <w:szCs w:val="24"/>
          <w:lang w:val="bg-BG"/>
        </w:rPr>
        <w:t>Тя служи както за предоставяне на потребителска информация, така и за повишаване на нивото на финансова грамотност;</w:t>
      </w:r>
    </w:p>
    <w:p w:rsidR="00744BA1" w:rsidRPr="008B3C30" w:rsidRDefault="00744BA1" w:rsidP="00C42A33">
      <w:pPr>
        <w:pStyle w:val="Bodytext21"/>
        <w:numPr>
          <w:ilvl w:val="0"/>
          <w:numId w:val="14"/>
        </w:numPr>
        <w:shd w:val="clear" w:color="auto" w:fill="auto"/>
        <w:tabs>
          <w:tab w:val="left" w:pos="284"/>
        </w:tabs>
        <w:spacing w:before="120"/>
        <w:ind w:left="0" w:firstLine="20"/>
        <w:rPr>
          <w:rFonts w:ascii="Times New Roman" w:hAnsi="Times New Roman" w:cs="Times New Roman"/>
          <w:sz w:val="24"/>
          <w:szCs w:val="24"/>
        </w:rPr>
      </w:pPr>
      <w:r w:rsidRPr="008B3C30">
        <w:rPr>
          <w:rFonts w:ascii="Times New Roman" w:hAnsi="Times New Roman" w:cs="Times New Roman"/>
          <w:sz w:val="24"/>
          <w:szCs w:val="24"/>
        </w:rPr>
        <w:t>Подготвяне на информационни брошури, свързани с промени в дейността на КФН или на предлаганите от поднадзорни на КФН небанкови финансови продукти;</w:t>
      </w:r>
    </w:p>
    <w:p w:rsidR="00744BA1" w:rsidRPr="008B3C30" w:rsidRDefault="00744BA1" w:rsidP="00C42A33">
      <w:pPr>
        <w:pStyle w:val="BodyText"/>
        <w:numPr>
          <w:ilvl w:val="0"/>
          <w:numId w:val="14"/>
        </w:numPr>
        <w:shd w:val="clear" w:color="auto" w:fill="auto"/>
        <w:tabs>
          <w:tab w:val="left" w:pos="284"/>
        </w:tabs>
        <w:spacing w:before="120"/>
        <w:ind w:left="0" w:firstLine="20"/>
        <w:rPr>
          <w:rFonts w:cs="Times New Roman"/>
          <w:sz w:val="24"/>
          <w:szCs w:val="24"/>
        </w:rPr>
      </w:pPr>
      <w:r w:rsidRPr="008B3C30">
        <w:rPr>
          <w:rFonts w:cs="Times New Roman"/>
          <w:sz w:val="24"/>
          <w:szCs w:val="24"/>
        </w:rPr>
        <w:lastRenderedPageBreak/>
        <w:t>Създаване на нова концепция за бюлетина на КФН, който да се превърне в „тип списание“ с полезна и интересна информация за потребителите;</w:t>
      </w:r>
    </w:p>
    <w:p w:rsidR="00744BA1" w:rsidRPr="008B3C30" w:rsidRDefault="00744BA1" w:rsidP="00C42A33">
      <w:pPr>
        <w:pStyle w:val="BodyText"/>
        <w:numPr>
          <w:ilvl w:val="0"/>
          <w:numId w:val="14"/>
        </w:numPr>
        <w:shd w:val="clear" w:color="auto" w:fill="auto"/>
        <w:tabs>
          <w:tab w:val="left" w:pos="284"/>
        </w:tabs>
        <w:spacing w:before="120"/>
        <w:ind w:left="0" w:firstLine="20"/>
        <w:rPr>
          <w:rFonts w:cs="Times New Roman"/>
          <w:sz w:val="24"/>
          <w:szCs w:val="24"/>
        </w:rPr>
      </w:pPr>
      <w:r w:rsidRPr="008B3C30">
        <w:rPr>
          <w:rFonts w:cs="Times New Roman"/>
          <w:bCs/>
          <w:sz w:val="24"/>
          <w:szCs w:val="24"/>
        </w:rPr>
        <w:t xml:space="preserve">Увеличаване ефективността на </w:t>
      </w:r>
      <w:r w:rsidR="00EE1CF3">
        <w:rPr>
          <w:rFonts w:cs="Times New Roman"/>
          <w:bCs/>
          <w:sz w:val="24"/>
          <w:szCs w:val="24"/>
        </w:rPr>
        <w:t xml:space="preserve">действащия </w:t>
      </w:r>
      <w:r w:rsidRPr="008B3C30">
        <w:rPr>
          <w:rFonts w:cs="Times New Roman"/>
          <w:bCs/>
          <w:sz w:val="24"/>
          <w:szCs w:val="24"/>
        </w:rPr>
        <w:t>Информацион</w:t>
      </w:r>
      <w:r w:rsidR="00EE1CF3">
        <w:rPr>
          <w:rFonts w:cs="Times New Roman"/>
          <w:bCs/>
          <w:sz w:val="24"/>
          <w:szCs w:val="24"/>
        </w:rPr>
        <w:t>ен</w:t>
      </w:r>
      <w:r w:rsidRPr="008B3C30">
        <w:rPr>
          <w:rFonts w:cs="Times New Roman"/>
          <w:bCs/>
          <w:sz w:val="24"/>
          <w:szCs w:val="24"/>
        </w:rPr>
        <w:t xml:space="preserve"> център на КФН. Целта е </w:t>
      </w:r>
      <w:r w:rsidRPr="008B3C30">
        <w:rPr>
          <w:rFonts w:cs="Times New Roman"/>
          <w:sz w:val="24"/>
          <w:szCs w:val="24"/>
        </w:rPr>
        <w:t>да осигури на потребителите лесен достъп до актуална и надеждна информация. Периодичната статистика и анализ</w:t>
      </w:r>
      <w:r w:rsidR="00484294" w:rsidRPr="008B3C30">
        <w:rPr>
          <w:rFonts w:cs="Times New Roman"/>
          <w:sz w:val="24"/>
          <w:szCs w:val="24"/>
        </w:rPr>
        <w:t>и</w:t>
      </w:r>
      <w:r w:rsidRPr="008B3C30">
        <w:rPr>
          <w:rFonts w:cs="Times New Roman"/>
          <w:sz w:val="24"/>
          <w:szCs w:val="24"/>
        </w:rPr>
        <w:t xml:space="preserve"> на запитванията ще подпомогне КФН да идентифицира пазарните тенденции, потребителските проблеми или възможни лоши бизнес практики.</w:t>
      </w:r>
    </w:p>
    <w:p w:rsidR="00744BA1" w:rsidRPr="008B3C30" w:rsidRDefault="00744BA1" w:rsidP="00744BA1">
      <w:pPr>
        <w:tabs>
          <w:tab w:val="left" w:pos="780"/>
        </w:tabs>
        <w:autoSpaceDE/>
        <w:autoSpaceDN/>
        <w:adjustRightInd/>
        <w:spacing w:before="120"/>
        <w:jc w:val="both"/>
        <w:rPr>
          <w:rFonts w:ascii="Times New Roman" w:hAnsi="Times New Roman" w:cs="Times New Roman"/>
          <w:b/>
          <w:sz w:val="24"/>
          <w:szCs w:val="24"/>
        </w:rPr>
      </w:pPr>
    </w:p>
    <w:p w:rsidR="00744BA1" w:rsidRPr="008B3C30" w:rsidRDefault="00744BA1" w:rsidP="00744BA1">
      <w:pPr>
        <w:tabs>
          <w:tab w:val="left" w:pos="780"/>
        </w:tabs>
        <w:autoSpaceDE/>
        <w:autoSpaceDN/>
        <w:adjustRightInd/>
        <w:spacing w:before="120"/>
        <w:jc w:val="both"/>
        <w:rPr>
          <w:rFonts w:ascii="Times New Roman" w:hAnsi="Times New Roman" w:cs="Times New Roman"/>
          <w:b/>
          <w:sz w:val="24"/>
          <w:szCs w:val="24"/>
        </w:rPr>
      </w:pPr>
      <w:r w:rsidRPr="008B3C30">
        <w:rPr>
          <w:rFonts w:ascii="Times New Roman" w:hAnsi="Times New Roman" w:cs="Times New Roman"/>
          <w:b/>
          <w:sz w:val="24"/>
          <w:szCs w:val="24"/>
        </w:rPr>
        <w:t>Стратегическата цел № 7</w:t>
      </w:r>
      <w:r w:rsidR="00484294" w:rsidRPr="008B3C30">
        <w:rPr>
          <w:rFonts w:ascii="Times New Roman" w:hAnsi="Times New Roman" w:cs="Times New Roman"/>
          <w:b/>
          <w:sz w:val="24"/>
          <w:szCs w:val="24"/>
        </w:rPr>
        <w:t>:</w:t>
      </w:r>
      <w:r w:rsidR="00EE1CF3">
        <w:rPr>
          <w:rFonts w:ascii="Times New Roman" w:hAnsi="Times New Roman" w:cs="Times New Roman"/>
          <w:b/>
          <w:sz w:val="24"/>
          <w:szCs w:val="24"/>
        </w:rPr>
        <w:t xml:space="preserve"> </w:t>
      </w:r>
      <w:r w:rsidRPr="008B3C30">
        <w:rPr>
          <w:rFonts w:ascii="Times New Roman" w:hAnsi="Times New Roman" w:cs="Times New Roman"/>
          <w:b/>
          <w:sz w:val="24"/>
          <w:szCs w:val="24"/>
        </w:rPr>
        <w:t>Разработване на политика за повишаване на финансовата грамотност и култура на потребителите на услуги и продукти</w:t>
      </w:r>
      <w:r w:rsidRPr="008B3C30">
        <w:rPr>
          <w:rFonts w:ascii="Times New Roman" w:hAnsi="Times New Roman" w:cs="Times New Roman"/>
          <w:b/>
          <w:i/>
          <w:iCs/>
          <w:sz w:val="24"/>
          <w:szCs w:val="24"/>
        </w:rPr>
        <w:t>,</w:t>
      </w:r>
      <w:r w:rsidRPr="008B3C30">
        <w:rPr>
          <w:rFonts w:ascii="Times New Roman" w:hAnsi="Times New Roman" w:cs="Times New Roman"/>
          <w:b/>
          <w:sz w:val="24"/>
          <w:szCs w:val="24"/>
        </w:rPr>
        <w:t xml:space="preserve"> предоставяни от небанковите финансови пазари.</w:t>
      </w:r>
    </w:p>
    <w:p w:rsidR="00744BA1" w:rsidRPr="008B3C30" w:rsidRDefault="00744BA1" w:rsidP="00C164FC">
      <w:pPr>
        <w:numPr>
          <w:ilvl w:val="0"/>
          <w:numId w:val="6"/>
        </w:numPr>
        <w:tabs>
          <w:tab w:val="left" w:pos="284"/>
        </w:tabs>
        <w:autoSpaceDE/>
        <w:autoSpaceDN/>
        <w:adjustRightInd/>
        <w:spacing w:before="120"/>
        <w:jc w:val="both"/>
        <w:rPr>
          <w:rFonts w:ascii="Times New Roman" w:hAnsi="Times New Roman" w:cs="Times New Roman"/>
          <w:sz w:val="24"/>
          <w:szCs w:val="24"/>
        </w:rPr>
      </w:pPr>
      <w:r w:rsidRPr="008B3C30">
        <w:rPr>
          <w:rFonts w:ascii="Times New Roman" w:hAnsi="Times New Roman" w:cs="Times New Roman"/>
          <w:sz w:val="24"/>
          <w:szCs w:val="24"/>
        </w:rPr>
        <w:t>Анализ на основни</w:t>
      </w:r>
      <w:r w:rsidR="00484294" w:rsidRPr="008B3C30">
        <w:rPr>
          <w:rFonts w:ascii="Times New Roman" w:hAnsi="Times New Roman" w:cs="Times New Roman"/>
          <w:sz w:val="24"/>
          <w:szCs w:val="24"/>
        </w:rPr>
        <w:t>те</w:t>
      </w:r>
      <w:r w:rsidRPr="008B3C30">
        <w:rPr>
          <w:rFonts w:ascii="Times New Roman" w:hAnsi="Times New Roman" w:cs="Times New Roman"/>
          <w:sz w:val="24"/>
          <w:szCs w:val="24"/>
        </w:rPr>
        <w:t xml:space="preserve"> целеви групи, към които КФН да насочи усилията си във връзка с разработването и реализ</w:t>
      </w:r>
      <w:r w:rsidR="00484294" w:rsidRPr="008B3C30">
        <w:rPr>
          <w:rFonts w:ascii="Times New Roman" w:hAnsi="Times New Roman" w:cs="Times New Roman"/>
          <w:sz w:val="24"/>
          <w:szCs w:val="24"/>
        </w:rPr>
        <w:t>ирането</w:t>
      </w:r>
      <w:r w:rsidRPr="008B3C30">
        <w:rPr>
          <w:rFonts w:ascii="Times New Roman" w:hAnsi="Times New Roman" w:cs="Times New Roman"/>
          <w:sz w:val="24"/>
          <w:szCs w:val="24"/>
        </w:rPr>
        <w:t xml:space="preserve"> на програми за повишаване на финансовата грамотност;</w:t>
      </w:r>
    </w:p>
    <w:p w:rsidR="00744BA1" w:rsidRPr="008B3C30" w:rsidRDefault="00744BA1" w:rsidP="00C164FC">
      <w:pPr>
        <w:numPr>
          <w:ilvl w:val="0"/>
          <w:numId w:val="6"/>
        </w:numPr>
        <w:tabs>
          <w:tab w:val="left" w:pos="284"/>
        </w:tabs>
        <w:autoSpaceDE/>
        <w:autoSpaceDN/>
        <w:adjustRightInd/>
        <w:spacing w:before="120"/>
        <w:jc w:val="both"/>
        <w:rPr>
          <w:rFonts w:ascii="Times New Roman" w:hAnsi="Times New Roman" w:cs="Times New Roman"/>
          <w:sz w:val="24"/>
          <w:szCs w:val="24"/>
        </w:rPr>
      </w:pPr>
      <w:r w:rsidRPr="008B3C30">
        <w:rPr>
          <w:rFonts w:ascii="Times New Roman" w:hAnsi="Times New Roman" w:cs="Times New Roman"/>
          <w:sz w:val="24"/>
          <w:szCs w:val="24"/>
        </w:rPr>
        <w:t>Идентифициране на г</w:t>
      </w:r>
      <w:r w:rsidRPr="008B3C30">
        <w:rPr>
          <w:rFonts w:ascii="Times New Roman" w:hAnsi="Times New Roman" w:cs="Times New Roman"/>
          <w:bCs/>
          <w:sz w:val="24"/>
          <w:szCs w:val="24"/>
        </w:rPr>
        <w:t>рупата на активните потребители, на която да бъде предоставена</w:t>
      </w:r>
      <w:r w:rsidRPr="008B3C30">
        <w:rPr>
          <w:rFonts w:ascii="Times New Roman" w:hAnsi="Times New Roman" w:cs="Times New Roman"/>
          <w:sz w:val="24"/>
          <w:szCs w:val="24"/>
        </w:rPr>
        <w:t xml:space="preserve"> точна и ясна информация за поднадзорните лица и финансовите продукти, които се предлагат;</w:t>
      </w:r>
    </w:p>
    <w:p w:rsidR="00744BA1" w:rsidRPr="008B3C30" w:rsidRDefault="00744BA1" w:rsidP="00C164FC">
      <w:pPr>
        <w:numPr>
          <w:ilvl w:val="0"/>
          <w:numId w:val="6"/>
        </w:numPr>
        <w:tabs>
          <w:tab w:val="left" w:pos="284"/>
        </w:tabs>
        <w:autoSpaceDE/>
        <w:autoSpaceDN/>
        <w:adjustRightInd/>
        <w:spacing w:before="120"/>
        <w:jc w:val="both"/>
        <w:rPr>
          <w:rFonts w:ascii="Times New Roman" w:hAnsi="Times New Roman" w:cs="Times New Roman"/>
          <w:sz w:val="24"/>
          <w:szCs w:val="24"/>
        </w:rPr>
      </w:pPr>
      <w:r w:rsidRPr="008B3C30">
        <w:rPr>
          <w:rFonts w:ascii="Times New Roman" w:hAnsi="Times New Roman" w:cs="Times New Roman"/>
          <w:bCs/>
          <w:sz w:val="24"/>
          <w:szCs w:val="24"/>
        </w:rPr>
        <w:t>Организиране на образователни програми за ученици и студенти;</w:t>
      </w:r>
    </w:p>
    <w:p w:rsidR="00744BA1" w:rsidRPr="008B3C30" w:rsidRDefault="00744BA1" w:rsidP="00C164FC">
      <w:pPr>
        <w:numPr>
          <w:ilvl w:val="0"/>
          <w:numId w:val="6"/>
        </w:numPr>
        <w:tabs>
          <w:tab w:val="left" w:pos="284"/>
        </w:tabs>
        <w:autoSpaceDE/>
        <w:autoSpaceDN/>
        <w:adjustRightInd/>
        <w:spacing w:before="120"/>
        <w:jc w:val="both"/>
        <w:rPr>
          <w:rFonts w:ascii="Times New Roman" w:hAnsi="Times New Roman" w:cs="Times New Roman"/>
          <w:sz w:val="24"/>
          <w:szCs w:val="24"/>
        </w:rPr>
      </w:pPr>
      <w:r w:rsidRPr="008B3C30">
        <w:rPr>
          <w:rFonts w:ascii="Times New Roman" w:hAnsi="Times New Roman" w:cs="Times New Roman"/>
          <w:bCs/>
          <w:sz w:val="24"/>
          <w:szCs w:val="24"/>
        </w:rPr>
        <w:t>Организиране на семинари за различни професионални групи.</w:t>
      </w:r>
      <w:r w:rsidRPr="008B3C30">
        <w:rPr>
          <w:rFonts w:ascii="Times New Roman" w:hAnsi="Times New Roman" w:cs="Times New Roman"/>
          <w:b/>
          <w:bCs/>
          <w:sz w:val="24"/>
          <w:szCs w:val="24"/>
        </w:rPr>
        <w:t xml:space="preserve"> </w:t>
      </w:r>
    </w:p>
    <w:p w:rsidR="00744BA1" w:rsidRPr="008B3C30" w:rsidRDefault="00744BA1" w:rsidP="00744BA1">
      <w:pPr>
        <w:spacing w:before="120"/>
        <w:jc w:val="both"/>
        <w:rPr>
          <w:rFonts w:ascii="Times New Roman" w:hAnsi="Times New Roman" w:cs="Times New Roman"/>
          <w:b/>
          <w:sz w:val="24"/>
          <w:szCs w:val="24"/>
        </w:rPr>
      </w:pPr>
      <w:r w:rsidRPr="008B3C30">
        <w:rPr>
          <w:rFonts w:ascii="Times New Roman" w:hAnsi="Times New Roman" w:cs="Times New Roman"/>
          <w:b/>
          <w:sz w:val="24"/>
          <w:szCs w:val="24"/>
        </w:rPr>
        <w:t>Мерки за изпълнение на стратегическата цел № 7</w:t>
      </w:r>
      <w:r w:rsidR="00484294" w:rsidRPr="008B3C30">
        <w:rPr>
          <w:rFonts w:ascii="Times New Roman" w:hAnsi="Times New Roman" w:cs="Times New Roman"/>
          <w:b/>
          <w:sz w:val="24"/>
          <w:szCs w:val="24"/>
        </w:rPr>
        <w:t>, установени от КФН</w:t>
      </w:r>
      <w:r w:rsidRPr="008B3C30">
        <w:rPr>
          <w:rFonts w:ascii="Times New Roman" w:hAnsi="Times New Roman" w:cs="Times New Roman"/>
          <w:b/>
          <w:sz w:val="24"/>
          <w:szCs w:val="24"/>
        </w:rPr>
        <w:t>:</w:t>
      </w:r>
    </w:p>
    <w:p w:rsidR="00744BA1" w:rsidRPr="008B3C30" w:rsidRDefault="00744BA1" w:rsidP="00C164FC">
      <w:pPr>
        <w:pStyle w:val="BodyText"/>
        <w:numPr>
          <w:ilvl w:val="0"/>
          <w:numId w:val="19"/>
        </w:numPr>
        <w:shd w:val="clear" w:color="auto" w:fill="auto"/>
        <w:tabs>
          <w:tab w:val="left" w:pos="284"/>
        </w:tabs>
        <w:spacing w:before="120"/>
        <w:ind w:left="0" w:firstLine="0"/>
        <w:rPr>
          <w:rFonts w:cs="Times New Roman"/>
          <w:sz w:val="24"/>
          <w:szCs w:val="24"/>
        </w:rPr>
      </w:pPr>
      <w:r w:rsidRPr="008B3C30">
        <w:rPr>
          <w:rFonts w:cs="Times New Roman"/>
          <w:sz w:val="24"/>
          <w:szCs w:val="24"/>
        </w:rPr>
        <w:t>Определяне на целевите групи, към които да се насочат образователни програми и разяснителни информационни документи</w:t>
      </w:r>
      <w:r w:rsidR="00484294" w:rsidRPr="008B3C30">
        <w:rPr>
          <w:rFonts w:cs="Times New Roman"/>
          <w:sz w:val="24"/>
          <w:szCs w:val="24"/>
          <w:lang w:val="en-US"/>
        </w:rPr>
        <w:t>;</w:t>
      </w:r>
    </w:p>
    <w:p w:rsidR="00744BA1" w:rsidRPr="008B3C30" w:rsidRDefault="00744BA1" w:rsidP="00C164FC">
      <w:pPr>
        <w:pStyle w:val="Bodytext21"/>
        <w:numPr>
          <w:ilvl w:val="0"/>
          <w:numId w:val="10"/>
        </w:numPr>
        <w:shd w:val="clear" w:color="auto" w:fill="auto"/>
        <w:tabs>
          <w:tab w:val="left" w:pos="284"/>
        </w:tabs>
        <w:spacing w:before="120"/>
        <w:ind w:left="0" w:firstLine="0"/>
        <w:rPr>
          <w:rFonts w:ascii="Times New Roman" w:hAnsi="Times New Roman" w:cs="Times New Roman"/>
          <w:sz w:val="24"/>
          <w:szCs w:val="24"/>
        </w:rPr>
      </w:pPr>
      <w:r w:rsidRPr="008B3C30">
        <w:rPr>
          <w:rFonts w:ascii="Times New Roman" w:hAnsi="Times New Roman" w:cs="Times New Roman"/>
          <w:sz w:val="24"/>
          <w:szCs w:val="24"/>
        </w:rPr>
        <w:t>Разработване на образователни програми, ориентирани към идентифицираните групи с акцент младите хора</w:t>
      </w:r>
      <w:r w:rsidR="00484294" w:rsidRPr="008B3C30">
        <w:rPr>
          <w:rFonts w:ascii="Times New Roman" w:hAnsi="Times New Roman" w:cs="Times New Roman"/>
          <w:sz w:val="24"/>
          <w:szCs w:val="24"/>
          <w:lang w:val="en-US"/>
        </w:rPr>
        <w:t>;</w:t>
      </w:r>
      <w:r w:rsidRPr="008B3C30">
        <w:rPr>
          <w:rFonts w:ascii="Times New Roman" w:hAnsi="Times New Roman" w:cs="Times New Roman"/>
          <w:sz w:val="24"/>
          <w:szCs w:val="24"/>
        </w:rPr>
        <w:t xml:space="preserve"> </w:t>
      </w:r>
    </w:p>
    <w:p w:rsidR="00744BA1" w:rsidRPr="008B3C30" w:rsidRDefault="00744BA1" w:rsidP="008212B7">
      <w:pPr>
        <w:pStyle w:val="BodyText"/>
        <w:numPr>
          <w:ilvl w:val="0"/>
          <w:numId w:val="7"/>
        </w:numPr>
        <w:shd w:val="clear" w:color="auto" w:fill="auto"/>
        <w:tabs>
          <w:tab w:val="left" w:pos="709"/>
        </w:tabs>
        <w:spacing w:before="120"/>
        <w:ind w:left="0" w:firstLine="0"/>
        <w:rPr>
          <w:rFonts w:cs="Times New Roman"/>
          <w:sz w:val="24"/>
          <w:szCs w:val="24"/>
        </w:rPr>
      </w:pPr>
      <w:r w:rsidRPr="008B3C30">
        <w:rPr>
          <w:rFonts w:cs="Times New Roman"/>
          <w:sz w:val="24"/>
          <w:szCs w:val="24"/>
        </w:rPr>
        <w:t>Сътрудничество с браншовите асоциации и неправителствени организации при реализиране на различни инициативи, свързани с повишаване на финансовата грамотност</w:t>
      </w:r>
      <w:r w:rsidR="00C164FC">
        <w:rPr>
          <w:rFonts w:cs="Times New Roman"/>
          <w:sz w:val="24"/>
          <w:szCs w:val="24"/>
          <w:lang w:val="en-US"/>
        </w:rPr>
        <w:t>.</w:t>
      </w:r>
    </w:p>
    <w:p w:rsidR="00744BA1" w:rsidRPr="008B3C30" w:rsidRDefault="00744BA1" w:rsidP="00744BA1">
      <w:pPr>
        <w:pStyle w:val="BodyText"/>
        <w:shd w:val="clear" w:color="auto" w:fill="auto"/>
        <w:tabs>
          <w:tab w:val="left" w:pos="709"/>
        </w:tabs>
        <w:spacing w:before="120"/>
        <w:ind w:firstLine="0"/>
        <w:rPr>
          <w:rFonts w:cs="Times New Roman"/>
          <w:sz w:val="24"/>
          <w:szCs w:val="24"/>
        </w:rPr>
      </w:pPr>
      <w:r w:rsidRPr="008B3C30">
        <w:rPr>
          <w:rFonts w:cs="Times New Roman"/>
          <w:sz w:val="24"/>
          <w:szCs w:val="24"/>
        </w:rPr>
        <w:t xml:space="preserve">Предложените мерки и действия имат за цел да обезпечат по-висока потребителска информираност и стимулиране на интерес към финансовата сфера. </w:t>
      </w:r>
    </w:p>
    <w:p w:rsidR="00744BA1" w:rsidRPr="008B3C30" w:rsidRDefault="00744BA1" w:rsidP="00744BA1">
      <w:pPr>
        <w:spacing w:before="120"/>
        <w:jc w:val="both"/>
        <w:rPr>
          <w:rFonts w:ascii="Times New Roman" w:hAnsi="Times New Roman" w:cs="Times New Roman"/>
          <w:b/>
          <w:sz w:val="24"/>
          <w:szCs w:val="24"/>
        </w:rPr>
      </w:pPr>
    </w:p>
    <w:p w:rsidR="00744BA1" w:rsidRPr="008B3C30" w:rsidRDefault="00744BA1" w:rsidP="00744BA1">
      <w:pPr>
        <w:shd w:val="clear" w:color="auto" w:fill="FFFFFF"/>
        <w:tabs>
          <w:tab w:val="left" w:leader="dot" w:pos="8923"/>
        </w:tabs>
        <w:spacing w:before="120"/>
        <w:jc w:val="both"/>
        <w:rPr>
          <w:rFonts w:ascii="Times New Roman" w:hAnsi="Times New Roman" w:cs="Times New Roman"/>
          <w:b/>
          <w:sz w:val="24"/>
          <w:szCs w:val="24"/>
          <w:lang w:val="en-US"/>
        </w:rPr>
      </w:pPr>
      <w:r w:rsidRPr="008B3C30">
        <w:rPr>
          <w:rFonts w:ascii="Times New Roman" w:hAnsi="Times New Roman" w:cs="Times New Roman"/>
          <w:b/>
          <w:sz w:val="24"/>
          <w:szCs w:val="24"/>
        </w:rPr>
        <w:t>Стратегическата цел № 8</w:t>
      </w:r>
      <w:r w:rsidR="00A37408" w:rsidRPr="008B3C30">
        <w:rPr>
          <w:rFonts w:ascii="Times New Roman" w:hAnsi="Times New Roman" w:cs="Times New Roman"/>
          <w:b/>
          <w:sz w:val="24"/>
          <w:szCs w:val="24"/>
          <w:lang w:val="en-US"/>
        </w:rPr>
        <w:t>:</w:t>
      </w:r>
      <w:r w:rsidRPr="008B3C30">
        <w:rPr>
          <w:rFonts w:ascii="Times New Roman" w:hAnsi="Times New Roman" w:cs="Times New Roman"/>
        </w:rPr>
        <w:t xml:space="preserve"> </w:t>
      </w:r>
      <w:r w:rsidRPr="008B3C30">
        <w:rPr>
          <w:rFonts w:ascii="Times New Roman" w:hAnsi="Times New Roman" w:cs="Times New Roman"/>
          <w:b/>
          <w:sz w:val="24"/>
          <w:szCs w:val="24"/>
        </w:rPr>
        <w:t xml:space="preserve">Създаване на условия за </w:t>
      </w:r>
      <w:r w:rsidR="00F10710">
        <w:rPr>
          <w:rFonts w:ascii="Times New Roman" w:hAnsi="Times New Roman" w:cs="Times New Roman"/>
          <w:b/>
          <w:sz w:val="24"/>
          <w:szCs w:val="24"/>
        </w:rPr>
        <w:t>наблюдаване</w:t>
      </w:r>
      <w:r w:rsidRPr="008B3C30">
        <w:rPr>
          <w:rFonts w:ascii="Times New Roman" w:hAnsi="Times New Roman" w:cs="Times New Roman"/>
          <w:b/>
          <w:sz w:val="24"/>
          <w:szCs w:val="24"/>
        </w:rPr>
        <w:t xml:space="preserve"> развитието на финансови иновации в небанковия финансови сектор чрез осигуряване високо ниво на информираност за навлизащи на пазара нови продукти и технологии и анализ на действаща</w:t>
      </w:r>
      <w:r w:rsidR="00A37408" w:rsidRPr="008B3C30">
        <w:rPr>
          <w:rFonts w:ascii="Times New Roman" w:hAnsi="Times New Roman" w:cs="Times New Roman"/>
          <w:b/>
          <w:sz w:val="24"/>
          <w:szCs w:val="24"/>
        </w:rPr>
        <w:t>та</w:t>
      </w:r>
      <w:r w:rsidRPr="008B3C30">
        <w:rPr>
          <w:rFonts w:ascii="Times New Roman" w:hAnsi="Times New Roman" w:cs="Times New Roman"/>
          <w:b/>
          <w:sz w:val="24"/>
          <w:szCs w:val="24"/>
        </w:rPr>
        <w:t xml:space="preserve"> регулаторна рамка </w:t>
      </w:r>
    </w:p>
    <w:p w:rsidR="00744BA1" w:rsidRPr="008B3C30" w:rsidRDefault="00744BA1" w:rsidP="008212B7">
      <w:pPr>
        <w:pStyle w:val="FinTech2"/>
        <w:numPr>
          <w:ilvl w:val="0"/>
          <w:numId w:val="20"/>
        </w:numPr>
        <w:tabs>
          <w:tab w:val="left" w:pos="709"/>
        </w:tabs>
        <w:ind w:left="0" w:firstLine="0"/>
        <w:contextualSpacing w:val="0"/>
        <w:rPr>
          <w:b w:val="0"/>
        </w:rPr>
      </w:pPr>
      <w:r w:rsidRPr="008B3C30">
        <w:rPr>
          <w:b w:val="0"/>
        </w:rPr>
        <w:t xml:space="preserve">Определяне на изисквания за евентуално </w:t>
      </w:r>
      <w:proofErr w:type="spellStart"/>
      <w:r w:rsidRPr="008B3C30">
        <w:rPr>
          <w:b w:val="0"/>
        </w:rPr>
        <w:t>лицензиoнен</w:t>
      </w:r>
      <w:proofErr w:type="spellEnd"/>
      <w:r w:rsidRPr="008B3C30">
        <w:rPr>
          <w:b w:val="0"/>
        </w:rPr>
        <w:t xml:space="preserve"> или регистрационен режим за дружествата, предлагащи финансово иновативни продукти и/или услуги и технологии в небанковия финансов сектор</w:t>
      </w:r>
      <w:r w:rsidR="00A37408" w:rsidRPr="008B3C30">
        <w:rPr>
          <w:b w:val="0"/>
          <w:lang w:val="en-US"/>
        </w:rPr>
        <w:t>;</w:t>
      </w:r>
    </w:p>
    <w:p w:rsidR="00744BA1" w:rsidRPr="008B3C30" w:rsidRDefault="00744BA1" w:rsidP="008212B7">
      <w:pPr>
        <w:pStyle w:val="FinTech2"/>
        <w:numPr>
          <w:ilvl w:val="0"/>
          <w:numId w:val="20"/>
        </w:numPr>
        <w:tabs>
          <w:tab w:val="left" w:pos="709"/>
        </w:tabs>
        <w:ind w:left="0" w:firstLine="0"/>
        <w:contextualSpacing w:val="0"/>
        <w:rPr>
          <w:b w:val="0"/>
        </w:rPr>
      </w:pPr>
      <w:r w:rsidRPr="008B3C30">
        <w:rPr>
          <w:b w:val="0"/>
        </w:rPr>
        <w:t>Създаване на иновативни центрове (</w:t>
      </w:r>
      <w:proofErr w:type="spellStart"/>
      <w:r w:rsidRPr="008B3C30">
        <w:rPr>
          <w:b w:val="0"/>
        </w:rPr>
        <w:t>Innovation</w:t>
      </w:r>
      <w:proofErr w:type="spellEnd"/>
      <w:r w:rsidRPr="008B3C30">
        <w:rPr>
          <w:b w:val="0"/>
        </w:rPr>
        <w:t xml:space="preserve"> </w:t>
      </w:r>
      <w:proofErr w:type="spellStart"/>
      <w:r w:rsidRPr="008B3C30">
        <w:rPr>
          <w:b w:val="0"/>
        </w:rPr>
        <w:t>hubs</w:t>
      </w:r>
      <w:proofErr w:type="spellEnd"/>
      <w:r w:rsidRPr="008B3C30">
        <w:rPr>
          <w:b w:val="0"/>
        </w:rPr>
        <w:t>)</w:t>
      </w:r>
      <w:r w:rsidR="00A37408" w:rsidRPr="008B3C30">
        <w:rPr>
          <w:b w:val="0"/>
          <w:lang w:val="en-US"/>
        </w:rPr>
        <w:t>;</w:t>
      </w:r>
    </w:p>
    <w:p w:rsidR="00744BA1" w:rsidRPr="008B3C30" w:rsidRDefault="00744BA1" w:rsidP="008212B7">
      <w:pPr>
        <w:pStyle w:val="FinTech2"/>
        <w:numPr>
          <w:ilvl w:val="0"/>
          <w:numId w:val="20"/>
        </w:numPr>
        <w:tabs>
          <w:tab w:val="left" w:pos="709"/>
        </w:tabs>
        <w:ind w:left="0" w:firstLine="0"/>
        <w:contextualSpacing w:val="0"/>
        <w:rPr>
          <w:b w:val="0"/>
        </w:rPr>
      </w:pPr>
      <w:r w:rsidRPr="008B3C30">
        <w:rPr>
          <w:b w:val="0"/>
        </w:rPr>
        <w:t>Управление на риска, свързан с киберсигурността и произтичащ от въвеждането на нововъведения в небанковия финансов сектор</w:t>
      </w:r>
      <w:r w:rsidR="00A37408" w:rsidRPr="008B3C30">
        <w:rPr>
          <w:b w:val="0"/>
          <w:lang w:val="en-US"/>
        </w:rPr>
        <w:t>;</w:t>
      </w:r>
    </w:p>
    <w:p w:rsidR="00744BA1" w:rsidRPr="008B3C30" w:rsidRDefault="00744BA1" w:rsidP="008212B7">
      <w:pPr>
        <w:pStyle w:val="ListParagraph"/>
        <w:numPr>
          <w:ilvl w:val="0"/>
          <w:numId w:val="20"/>
        </w:numPr>
        <w:shd w:val="clear" w:color="auto" w:fill="FFFFFF"/>
        <w:tabs>
          <w:tab w:val="left" w:pos="709"/>
          <w:tab w:val="left" w:leader="dot" w:pos="8923"/>
        </w:tabs>
        <w:spacing w:before="120"/>
        <w:ind w:left="0" w:firstLine="0"/>
        <w:contextualSpacing w:val="0"/>
        <w:jc w:val="both"/>
        <w:rPr>
          <w:sz w:val="24"/>
          <w:szCs w:val="24"/>
          <w:lang w:val="bg-BG"/>
        </w:rPr>
      </w:pPr>
      <w:r w:rsidRPr="008B3C30">
        <w:rPr>
          <w:sz w:val="24"/>
          <w:szCs w:val="24"/>
          <w:lang w:val="bg-BG"/>
        </w:rPr>
        <w:t>Оповестяване на информация относно финансови иновации в отделна рубрика „FinTech” в частта „За потребителя“</w:t>
      </w:r>
      <w:r w:rsidR="00A37408" w:rsidRPr="008B3C30">
        <w:rPr>
          <w:sz w:val="24"/>
          <w:szCs w:val="24"/>
          <w:lang w:val="en-US"/>
        </w:rPr>
        <w:t>;</w:t>
      </w:r>
      <w:r w:rsidRPr="008B3C30">
        <w:rPr>
          <w:sz w:val="24"/>
          <w:szCs w:val="24"/>
          <w:lang w:val="bg-BG"/>
        </w:rPr>
        <w:t xml:space="preserve"> </w:t>
      </w:r>
    </w:p>
    <w:p w:rsidR="00744BA1" w:rsidRPr="008B3C30" w:rsidRDefault="00744BA1" w:rsidP="008212B7">
      <w:pPr>
        <w:pStyle w:val="ListParagraph"/>
        <w:numPr>
          <w:ilvl w:val="0"/>
          <w:numId w:val="20"/>
        </w:numPr>
        <w:shd w:val="clear" w:color="auto" w:fill="FFFFFF"/>
        <w:tabs>
          <w:tab w:val="left" w:pos="709"/>
          <w:tab w:val="left" w:leader="dot" w:pos="8923"/>
        </w:tabs>
        <w:spacing w:before="120"/>
        <w:ind w:left="0" w:firstLine="0"/>
        <w:contextualSpacing w:val="0"/>
        <w:jc w:val="both"/>
        <w:rPr>
          <w:sz w:val="24"/>
          <w:szCs w:val="24"/>
          <w:lang w:val="bg-BG"/>
        </w:rPr>
      </w:pPr>
      <w:r w:rsidRPr="008B3C30">
        <w:rPr>
          <w:sz w:val="24"/>
          <w:szCs w:val="24"/>
          <w:lang w:val="bg-BG"/>
        </w:rPr>
        <w:lastRenderedPageBreak/>
        <w:t>Стартиране на инициатива за взаимодействие с бизнеса, насочена към набелязване на пречките пред развитието на FinTech индустрията и възможни рискове пред потребители на финансови иновации в небанковия финансов сектор</w:t>
      </w:r>
      <w:r w:rsidR="00970A3E">
        <w:rPr>
          <w:sz w:val="24"/>
          <w:szCs w:val="24"/>
          <w:lang w:val="en-US"/>
        </w:rPr>
        <w:t>.</w:t>
      </w:r>
      <w:r w:rsidRPr="008B3C30">
        <w:rPr>
          <w:sz w:val="24"/>
          <w:szCs w:val="24"/>
          <w:lang w:val="bg-BG"/>
        </w:rPr>
        <w:t xml:space="preserve"> </w:t>
      </w:r>
    </w:p>
    <w:p w:rsidR="00744BA1" w:rsidRPr="008B3C30" w:rsidRDefault="00744BA1" w:rsidP="00744BA1">
      <w:pPr>
        <w:spacing w:before="120"/>
        <w:jc w:val="both"/>
        <w:rPr>
          <w:rFonts w:ascii="Times New Roman" w:hAnsi="Times New Roman" w:cs="Times New Roman"/>
          <w:b/>
          <w:sz w:val="24"/>
          <w:szCs w:val="24"/>
        </w:rPr>
      </w:pPr>
      <w:r w:rsidRPr="008B3C30">
        <w:rPr>
          <w:rFonts w:ascii="Times New Roman" w:hAnsi="Times New Roman" w:cs="Times New Roman"/>
          <w:b/>
          <w:sz w:val="24"/>
          <w:szCs w:val="24"/>
        </w:rPr>
        <w:t>Мерки за изпълнение на стратегическата цел № 8</w:t>
      </w:r>
      <w:r w:rsidR="00A37408" w:rsidRPr="008B3C30">
        <w:rPr>
          <w:rFonts w:ascii="Times New Roman" w:hAnsi="Times New Roman" w:cs="Times New Roman"/>
          <w:b/>
          <w:sz w:val="24"/>
          <w:szCs w:val="24"/>
        </w:rPr>
        <w:t>, установени от КФН</w:t>
      </w:r>
      <w:r w:rsidRPr="008B3C30">
        <w:rPr>
          <w:rFonts w:ascii="Times New Roman" w:hAnsi="Times New Roman" w:cs="Times New Roman"/>
          <w:b/>
          <w:sz w:val="24"/>
          <w:szCs w:val="24"/>
        </w:rPr>
        <w:t>:</w:t>
      </w:r>
    </w:p>
    <w:p w:rsidR="00744BA1" w:rsidRPr="008B3C30" w:rsidRDefault="00744BA1" w:rsidP="008212B7">
      <w:pPr>
        <w:pStyle w:val="ListParagraph"/>
        <w:numPr>
          <w:ilvl w:val="0"/>
          <w:numId w:val="22"/>
        </w:numPr>
        <w:tabs>
          <w:tab w:val="left" w:pos="709"/>
        </w:tabs>
        <w:spacing w:before="120"/>
        <w:ind w:left="20" w:firstLine="0"/>
        <w:contextualSpacing w:val="0"/>
        <w:jc w:val="both"/>
        <w:rPr>
          <w:sz w:val="24"/>
          <w:szCs w:val="24"/>
          <w:lang w:val="bg-BG"/>
        </w:rPr>
      </w:pPr>
      <w:r w:rsidRPr="008B3C30">
        <w:rPr>
          <w:rFonts w:eastAsia="Calibri"/>
          <w:sz w:val="24"/>
          <w:szCs w:val="24"/>
          <w:lang w:val="bg-BG"/>
        </w:rPr>
        <w:t>Изграждане на канал на тясно сътрудничество на европейско ниво чрез участието в работни групи на ЕSMA и EIOPA (</w:t>
      </w:r>
      <w:proofErr w:type="spellStart"/>
      <w:r w:rsidRPr="008B3C30">
        <w:rPr>
          <w:rFonts w:eastAsia="Calibri"/>
          <w:sz w:val="24"/>
          <w:szCs w:val="24"/>
          <w:lang w:val="bg-BG"/>
        </w:rPr>
        <w:t>Task</w:t>
      </w:r>
      <w:proofErr w:type="spellEnd"/>
      <w:r w:rsidRPr="008B3C30">
        <w:rPr>
          <w:rFonts w:eastAsia="Calibri"/>
          <w:sz w:val="24"/>
          <w:szCs w:val="24"/>
          <w:lang w:val="bg-BG"/>
        </w:rPr>
        <w:t xml:space="preserve"> </w:t>
      </w:r>
      <w:proofErr w:type="spellStart"/>
      <w:r w:rsidRPr="008B3C30">
        <w:rPr>
          <w:rFonts w:eastAsia="Calibri"/>
          <w:sz w:val="24"/>
          <w:szCs w:val="24"/>
          <w:lang w:val="bg-BG"/>
        </w:rPr>
        <w:t>Force</w:t>
      </w:r>
      <w:proofErr w:type="spellEnd"/>
      <w:r w:rsidRPr="008B3C30">
        <w:rPr>
          <w:rFonts w:eastAsia="Calibri"/>
          <w:sz w:val="24"/>
          <w:szCs w:val="24"/>
          <w:lang w:val="bg-BG"/>
        </w:rPr>
        <w:t xml:space="preserve"> FISC и </w:t>
      </w:r>
      <w:proofErr w:type="spellStart"/>
      <w:r w:rsidRPr="008B3C30">
        <w:rPr>
          <w:rFonts w:eastAsia="Calibri"/>
          <w:sz w:val="24"/>
          <w:szCs w:val="24"/>
          <w:lang w:val="bg-BG"/>
        </w:rPr>
        <w:t>InsurTech</w:t>
      </w:r>
      <w:proofErr w:type="spellEnd"/>
      <w:r w:rsidRPr="008B3C30">
        <w:rPr>
          <w:rFonts w:eastAsia="Calibri"/>
          <w:sz w:val="24"/>
          <w:szCs w:val="24"/>
          <w:lang w:val="bg-BG"/>
        </w:rPr>
        <w:t>) и задълбочено разбиране на естеството на различните FinTech предприятия с оглед установяване на възможни опасности пред предлагането на финансово иновативни продукти/технологии;</w:t>
      </w:r>
    </w:p>
    <w:p w:rsidR="00744BA1" w:rsidRPr="008B3C30" w:rsidRDefault="00744BA1" w:rsidP="008212B7">
      <w:pPr>
        <w:pStyle w:val="ListParagraph"/>
        <w:numPr>
          <w:ilvl w:val="0"/>
          <w:numId w:val="22"/>
        </w:numPr>
        <w:tabs>
          <w:tab w:val="left" w:pos="709"/>
        </w:tabs>
        <w:spacing w:before="120"/>
        <w:ind w:left="20" w:firstLine="0"/>
        <w:contextualSpacing w:val="0"/>
        <w:jc w:val="both"/>
        <w:rPr>
          <w:sz w:val="24"/>
          <w:szCs w:val="24"/>
          <w:lang w:val="bg-BG"/>
        </w:rPr>
      </w:pPr>
      <w:r w:rsidRPr="008B3C30">
        <w:rPr>
          <w:sz w:val="24"/>
          <w:szCs w:val="24"/>
          <w:lang w:val="bg-BG"/>
        </w:rPr>
        <w:t>Анализ на възможните механизми за взаимодействие между дружества, предлагащи финансови иновации (</w:t>
      </w:r>
      <w:r w:rsidRPr="008B3C30">
        <w:rPr>
          <w:rFonts w:eastAsia="Calibri"/>
          <w:sz w:val="24"/>
          <w:szCs w:val="24"/>
          <w:lang w:val="bg-BG"/>
        </w:rPr>
        <w:t>FinTech предприятия) и КФН, които механизми биха осигурили висока последваща степен на защита на потребителите, както по отношение на съхранението на данни за ползвателя на финансова иновация и кибер риска, произтичащ от същността/използването на продукта, така също и с оглед правата на потребителя при възникване на евентуални спорове и нарушаване на интересите му;</w:t>
      </w:r>
    </w:p>
    <w:p w:rsidR="00744BA1" w:rsidRPr="008B3C30" w:rsidRDefault="00744BA1" w:rsidP="008212B7">
      <w:pPr>
        <w:pStyle w:val="ListParagraph"/>
        <w:numPr>
          <w:ilvl w:val="0"/>
          <w:numId w:val="22"/>
        </w:numPr>
        <w:tabs>
          <w:tab w:val="left" w:pos="709"/>
        </w:tabs>
        <w:spacing w:before="120"/>
        <w:ind w:left="20" w:firstLine="0"/>
        <w:contextualSpacing w:val="0"/>
        <w:jc w:val="both"/>
        <w:rPr>
          <w:sz w:val="24"/>
          <w:szCs w:val="24"/>
          <w:lang w:val="bg-BG"/>
        </w:rPr>
      </w:pPr>
      <w:r w:rsidRPr="008B3C30">
        <w:rPr>
          <w:bCs/>
          <w:color w:val="000000"/>
          <w:spacing w:val="-1"/>
          <w:sz w:val="24"/>
          <w:szCs w:val="24"/>
          <w:lang w:val="bg-BG"/>
        </w:rPr>
        <w:t xml:space="preserve">Представяне на списък с най-често използвани финансови иновативни продукти в небанковия финансов сектор, на които потребители става жертва на измама: криптоактиви, първоначално предлагане на </w:t>
      </w:r>
      <w:proofErr w:type="spellStart"/>
      <w:r w:rsidRPr="008B3C30">
        <w:rPr>
          <w:bCs/>
          <w:color w:val="000000"/>
          <w:spacing w:val="-1"/>
          <w:sz w:val="24"/>
          <w:szCs w:val="24"/>
          <w:lang w:val="bg-BG"/>
        </w:rPr>
        <w:t>токени</w:t>
      </w:r>
      <w:proofErr w:type="spellEnd"/>
      <w:r w:rsidRPr="008B3C30">
        <w:rPr>
          <w:bCs/>
          <w:color w:val="000000"/>
          <w:spacing w:val="-1"/>
          <w:sz w:val="24"/>
          <w:szCs w:val="24"/>
          <w:lang w:val="bg-BG"/>
        </w:rPr>
        <w:t xml:space="preserve"> (ICO) и други.</w:t>
      </w:r>
    </w:p>
    <w:p w:rsidR="00744BA1" w:rsidRPr="008B3C30" w:rsidRDefault="00744BA1" w:rsidP="00744BA1">
      <w:pPr>
        <w:tabs>
          <w:tab w:val="left" w:pos="1843"/>
        </w:tabs>
        <w:spacing w:before="120"/>
        <w:jc w:val="both"/>
        <w:rPr>
          <w:rFonts w:ascii="Times New Roman" w:hAnsi="Times New Roman" w:cs="Times New Roman"/>
          <w:b/>
          <w:sz w:val="24"/>
          <w:szCs w:val="24"/>
        </w:rPr>
      </w:pPr>
    </w:p>
    <w:p w:rsidR="008212B7" w:rsidRPr="008B3C30" w:rsidRDefault="008212B7" w:rsidP="00F84827">
      <w:pPr>
        <w:pStyle w:val="FinTech1"/>
        <w:numPr>
          <w:ilvl w:val="0"/>
          <w:numId w:val="25"/>
        </w:numPr>
        <w:ind w:left="0"/>
        <w:jc w:val="center"/>
        <w:rPr>
          <w:rFonts w:eastAsia="Calibri" w:cs="Times New Roman"/>
        </w:rPr>
      </w:pPr>
      <w:bookmarkStart w:id="3" w:name="_Toc516561571"/>
      <w:r w:rsidRPr="008B3C30">
        <w:rPr>
          <w:rFonts w:eastAsia="Calibri" w:cs="Times New Roman"/>
          <w:caps w:val="0"/>
        </w:rPr>
        <w:t>ЗАКЛЮЧИТЕЛНИ РАЗПОРЕДБИ</w:t>
      </w:r>
      <w:bookmarkEnd w:id="3"/>
    </w:p>
    <w:p w:rsidR="008212B7" w:rsidRPr="008B3C30" w:rsidRDefault="008212B7" w:rsidP="008212B7">
      <w:pPr>
        <w:pStyle w:val="FinTech1"/>
        <w:numPr>
          <w:ilvl w:val="0"/>
          <w:numId w:val="0"/>
        </w:numPr>
        <w:ind w:left="360"/>
        <w:rPr>
          <w:rFonts w:eastAsia="Calibri" w:cs="Times New Roman"/>
        </w:rPr>
      </w:pPr>
    </w:p>
    <w:p w:rsidR="008212B7" w:rsidRPr="008B3C30" w:rsidRDefault="008212B7" w:rsidP="008212B7">
      <w:pPr>
        <w:pStyle w:val="FinTech1"/>
        <w:numPr>
          <w:ilvl w:val="0"/>
          <w:numId w:val="0"/>
        </w:numPr>
        <w:rPr>
          <w:rFonts w:cs="Times New Roman"/>
          <w:b w:val="0"/>
          <w:caps w:val="0"/>
        </w:rPr>
      </w:pPr>
      <w:bookmarkStart w:id="4" w:name="_Toc516561572"/>
      <w:r w:rsidRPr="008B3C30">
        <w:rPr>
          <w:rFonts w:cs="Times New Roman"/>
        </w:rPr>
        <w:t>§ 1.</w:t>
      </w:r>
      <w:r w:rsidRPr="008B3C30">
        <w:rPr>
          <w:rFonts w:cs="Times New Roman"/>
          <w:b w:val="0"/>
        </w:rPr>
        <w:t xml:space="preserve"> С</w:t>
      </w:r>
      <w:r w:rsidRPr="008B3C30">
        <w:rPr>
          <w:rFonts w:cs="Times New Roman"/>
          <w:b w:val="0"/>
          <w:caps w:val="0"/>
        </w:rPr>
        <w:t>лед приемане на програмата ще бъде изготвен план за действие за 2018 г. за привеждането й в изпълнение с посочени конкретни срокове в него.</w:t>
      </w:r>
      <w:bookmarkEnd w:id="4"/>
      <w:r w:rsidRPr="008B3C30">
        <w:rPr>
          <w:rFonts w:cs="Times New Roman"/>
          <w:b w:val="0"/>
          <w:caps w:val="0"/>
        </w:rPr>
        <w:t xml:space="preserve"> </w:t>
      </w:r>
    </w:p>
    <w:p w:rsidR="008212B7" w:rsidRPr="008B3C30" w:rsidRDefault="008212B7" w:rsidP="008212B7">
      <w:pPr>
        <w:pStyle w:val="FinTech1"/>
        <w:numPr>
          <w:ilvl w:val="0"/>
          <w:numId w:val="0"/>
        </w:numPr>
        <w:rPr>
          <w:rFonts w:cs="Times New Roman"/>
          <w:b w:val="0"/>
          <w:caps w:val="0"/>
        </w:rPr>
      </w:pPr>
    </w:p>
    <w:p w:rsidR="008212B7" w:rsidRPr="008B3C30" w:rsidRDefault="008212B7" w:rsidP="008212B7">
      <w:pPr>
        <w:pStyle w:val="FinTech1"/>
        <w:numPr>
          <w:ilvl w:val="0"/>
          <w:numId w:val="0"/>
        </w:numPr>
        <w:rPr>
          <w:rFonts w:cs="Times New Roman"/>
          <w:b w:val="0"/>
          <w:caps w:val="0"/>
        </w:rPr>
      </w:pPr>
      <w:bookmarkStart w:id="5" w:name="_Toc516561573"/>
      <w:r w:rsidRPr="008B3C30">
        <w:rPr>
          <w:rFonts w:cs="Times New Roman"/>
          <w:caps w:val="0"/>
        </w:rPr>
        <w:t>§ 2.</w:t>
      </w:r>
      <w:r w:rsidRPr="008B3C30">
        <w:rPr>
          <w:rFonts w:cs="Times New Roman"/>
          <w:b w:val="0"/>
          <w:caps w:val="0"/>
        </w:rPr>
        <w:t xml:space="preserve"> За всяка от следващите години ще бъде изготвян план за действие със заложени конкретни мерки и срокове.</w:t>
      </w:r>
      <w:bookmarkEnd w:id="5"/>
    </w:p>
    <w:p w:rsidR="008212B7" w:rsidRPr="008B3C30" w:rsidRDefault="008212B7" w:rsidP="008212B7">
      <w:pPr>
        <w:pStyle w:val="FinTech1"/>
        <w:numPr>
          <w:ilvl w:val="0"/>
          <w:numId w:val="0"/>
        </w:numPr>
        <w:rPr>
          <w:rFonts w:cs="Times New Roman"/>
          <w:b w:val="0"/>
          <w:caps w:val="0"/>
        </w:rPr>
      </w:pPr>
    </w:p>
    <w:p w:rsidR="008212B7" w:rsidRPr="008B3C30" w:rsidRDefault="008212B7" w:rsidP="008212B7">
      <w:pPr>
        <w:pStyle w:val="FinTech1"/>
        <w:numPr>
          <w:ilvl w:val="0"/>
          <w:numId w:val="0"/>
        </w:numPr>
        <w:rPr>
          <w:rFonts w:cs="Times New Roman"/>
          <w:b w:val="0"/>
          <w:caps w:val="0"/>
        </w:rPr>
      </w:pPr>
    </w:p>
    <w:p w:rsidR="008212B7" w:rsidRPr="008B3C30" w:rsidRDefault="008212B7" w:rsidP="008212B7">
      <w:pPr>
        <w:pStyle w:val="FinTech1"/>
        <w:numPr>
          <w:ilvl w:val="0"/>
          <w:numId w:val="0"/>
        </w:numPr>
        <w:rPr>
          <w:rFonts w:eastAsia="Calibri" w:cs="Times New Roman"/>
          <w:b w:val="0"/>
        </w:rPr>
      </w:pPr>
      <w:r w:rsidRPr="008B3C30">
        <w:rPr>
          <w:rFonts w:cs="Times New Roman"/>
          <w:b w:val="0"/>
          <w:caps w:val="0"/>
        </w:rPr>
        <w:t>Документът е п</w:t>
      </w:r>
      <w:r w:rsidR="008A16D5">
        <w:rPr>
          <w:rFonts w:cs="Times New Roman"/>
          <w:b w:val="0"/>
          <w:caps w:val="0"/>
        </w:rPr>
        <w:t xml:space="preserve">риет на заседание на Комисията с решение по протокол </w:t>
      </w:r>
      <w:r w:rsidR="009D3915">
        <w:rPr>
          <w:rFonts w:cs="Times New Roman"/>
          <w:b w:val="0"/>
          <w:caps w:val="0"/>
        </w:rPr>
        <w:t>№ 52/25.06.2018 г.</w:t>
      </w:r>
    </w:p>
    <w:p w:rsidR="00744BA1" w:rsidRPr="008B3C30" w:rsidRDefault="00744BA1" w:rsidP="00744BA1">
      <w:pPr>
        <w:shd w:val="clear" w:color="auto" w:fill="FFFFFF"/>
        <w:spacing w:before="283" w:line="274" w:lineRule="exact"/>
        <w:ind w:left="5" w:right="5" w:firstLine="360"/>
        <w:jc w:val="both"/>
        <w:rPr>
          <w:rFonts w:ascii="Times New Roman" w:hAnsi="Times New Roman" w:cs="Times New Roman"/>
          <w:b/>
          <w:bCs/>
          <w:color w:val="000000"/>
          <w:spacing w:val="-1"/>
          <w:sz w:val="24"/>
          <w:szCs w:val="24"/>
        </w:rPr>
      </w:pPr>
    </w:p>
    <w:p w:rsidR="00313D98" w:rsidRPr="008B3C30" w:rsidRDefault="00313D98" w:rsidP="00313D98">
      <w:pPr>
        <w:shd w:val="clear" w:color="auto" w:fill="FFFFFF"/>
        <w:spacing w:before="278" w:line="274" w:lineRule="exact"/>
        <w:ind w:right="749"/>
        <w:jc w:val="both"/>
        <w:rPr>
          <w:rFonts w:ascii="Times New Roman" w:hAnsi="Times New Roman" w:cs="Times New Roman"/>
        </w:rPr>
      </w:pPr>
    </w:p>
    <w:p w:rsidR="00313D98" w:rsidRPr="008B3C30" w:rsidRDefault="00313D98" w:rsidP="00AC751A">
      <w:pPr>
        <w:ind w:firstLine="562"/>
        <w:jc w:val="both"/>
        <w:rPr>
          <w:rFonts w:ascii="Times New Roman" w:hAnsi="Times New Roman" w:cs="Times New Roman"/>
          <w:sz w:val="24"/>
          <w:szCs w:val="24"/>
        </w:rPr>
      </w:pPr>
    </w:p>
    <w:sectPr w:rsidR="00313D98" w:rsidRPr="008B3C30" w:rsidSect="00544152">
      <w:pgSz w:w="11909" w:h="16834"/>
      <w:pgMar w:top="1418" w:right="1417" w:bottom="1560" w:left="1417" w:header="708" w:footer="708" w:gutter="0"/>
      <w:cols w:space="6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989" w:rsidRDefault="00A14989" w:rsidP="00AD549A">
      <w:r>
        <w:separator/>
      </w:r>
    </w:p>
  </w:endnote>
  <w:endnote w:type="continuationSeparator" w:id="0">
    <w:p w:rsidR="00A14989" w:rsidRDefault="00A14989" w:rsidP="00AD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633559"/>
      <w:docPartObj>
        <w:docPartGallery w:val="Page Numbers (Bottom of Page)"/>
        <w:docPartUnique/>
      </w:docPartObj>
    </w:sdtPr>
    <w:sdtEndPr>
      <w:rPr>
        <w:rFonts w:ascii="Times New Roman" w:hAnsi="Times New Roman" w:cs="Times New Roman"/>
        <w:noProof/>
      </w:rPr>
    </w:sdtEndPr>
    <w:sdtContent>
      <w:p w:rsidR="00A14989" w:rsidRPr="008B3C30" w:rsidRDefault="00A14989">
        <w:pPr>
          <w:pStyle w:val="Footer"/>
          <w:jc w:val="right"/>
          <w:rPr>
            <w:rFonts w:ascii="Times New Roman" w:hAnsi="Times New Roman" w:cs="Times New Roman"/>
          </w:rPr>
        </w:pPr>
        <w:r w:rsidRPr="008B3C30">
          <w:rPr>
            <w:rFonts w:ascii="Times New Roman" w:hAnsi="Times New Roman" w:cs="Times New Roman"/>
          </w:rPr>
          <w:fldChar w:fldCharType="begin"/>
        </w:r>
        <w:r w:rsidRPr="008B3C30">
          <w:rPr>
            <w:rFonts w:ascii="Times New Roman" w:hAnsi="Times New Roman" w:cs="Times New Roman"/>
          </w:rPr>
          <w:instrText xml:space="preserve"> PAGE   \* MERGEFORMAT </w:instrText>
        </w:r>
        <w:r w:rsidRPr="008B3C30">
          <w:rPr>
            <w:rFonts w:ascii="Times New Roman" w:hAnsi="Times New Roman" w:cs="Times New Roman"/>
          </w:rPr>
          <w:fldChar w:fldCharType="separate"/>
        </w:r>
        <w:r w:rsidR="00075D37">
          <w:rPr>
            <w:rFonts w:ascii="Times New Roman" w:hAnsi="Times New Roman" w:cs="Times New Roman"/>
            <w:noProof/>
          </w:rPr>
          <w:t>21</w:t>
        </w:r>
        <w:r w:rsidRPr="008B3C30">
          <w:rPr>
            <w:rFonts w:ascii="Times New Roman" w:hAnsi="Times New Roman" w:cs="Times New Roman"/>
            <w:noProof/>
          </w:rPr>
          <w:fldChar w:fldCharType="end"/>
        </w:r>
      </w:p>
    </w:sdtContent>
  </w:sdt>
  <w:p w:rsidR="00A14989" w:rsidRDefault="00A149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989" w:rsidRDefault="00A14989" w:rsidP="00AD549A">
      <w:r>
        <w:separator/>
      </w:r>
    </w:p>
  </w:footnote>
  <w:footnote w:type="continuationSeparator" w:id="0">
    <w:p w:rsidR="00A14989" w:rsidRDefault="00A14989" w:rsidP="00AD54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9529A2E"/>
    <w:lvl w:ilvl="0">
      <w:numFmt w:val="bullet"/>
      <w:lvlText w:val="*"/>
      <w:lvlJc w:val="left"/>
    </w:lvl>
  </w:abstractNum>
  <w:abstractNum w:abstractNumId="1" w15:restartNumberingAfterBreak="0">
    <w:nsid w:val="09A47E75"/>
    <w:multiLevelType w:val="hybridMultilevel"/>
    <w:tmpl w:val="EECE18D0"/>
    <w:lvl w:ilvl="0" w:tplc="7C683880">
      <w:start w:val="2"/>
      <w:numFmt w:val="bullet"/>
      <w:lvlText w:val="-"/>
      <w:lvlJc w:val="left"/>
      <w:pPr>
        <w:ind w:left="1068" w:hanging="360"/>
      </w:pPr>
      <w:rPr>
        <w:rFonts w:ascii="Times New Roman" w:eastAsiaTheme="minorHAnsi" w:hAnsi="Times New Roman" w:cs="Times New Roman" w:hint="default"/>
        <w:b w:val="0"/>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15:restartNumberingAfterBreak="0">
    <w:nsid w:val="0F816DF3"/>
    <w:multiLevelType w:val="hybridMultilevel"/>
    <w:tmpl w:val="D59ED082"/>
    <w:lvl w:ilvl="0" w:tplc="1FCC4B58">
      <w:start w:val="32"/>
      <w:numFmt w:val="bullet"/>
      <w:lvlText w:val="-"/>
      <w:lvlJc w:val="left"/>
      <w:pPr>
        <w:ind w:left="720" w:hanging="360"/>
      </w:pPr>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 w15:restartNumberingAfterBreak="0">
    <w:nsid w:val="16393588"/>
    <w:multiLevelType w:val="multilevel"/>
    <w:tmpl w:val="68EA38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DA0C4D"/>
    <w:multiLevelType w:val="hybridMultilevel"/>
    <w:tmpl w:val="CAEC39CC"/>
    <w:lvl w:ilvl="0" w:tplc="63A05AC6">
      <w:start w:val="1"/>
      <w:numFmt w:val="decimal"/>
      <w:suff w:val="space"/>
      <w:lvlText w:val="%1."/>
      <w:lvlJc w:val="left"/>
      <w:pPr>
        <w:ind w:left="720" w:hanging="360"/>
      </w:pPr>
      <w:rPr>
        <w:rFonts w:cs="Times New Roman" w:hint="default"/>
      </w:rPr>
    </w:lvl>
    <w:lvl w:ilvl="1" w:tplc="04020019" w:tentative="1">
      <w:start w:val="1"/>
      <w:numFmt w:val="lowerLetter"/>
      <w:lvlText w:val="%2."/>
      <w:lvlJc w:val="left"/>
      <w:pPr>
        <w:ind w:left="1790" w:hanging="360"/>
      </w:pPr>
      <w:rPr>
        <w:rFonts w:cs="Times New Roman"/>
      </w:rPr>
    </w:lvl>
    <w:lvl w:ilvl="2" w:tplc="0402001B" w:tentative="1">
      <w:start w:val="1"/>
      <w:numFmt w:val="lowerRoman"/>
      <w:lvlText w:val="%3."/>
      <w:lvlJc w:val="right"/>
      <w:pPr>
        <w:ind w:left="2510" w:hanging="180"/>
      </w:pPr>
      <w:rPr>
        <w:rFonts w:cs="Times New Roman"/>
      </w:rPr>
    </w:lvl>
    <w:lvl w:ilvl="3" w:tplc="0402000F" w:tentative="1">
      <w:start w:val="1"/>
      <w:numFmt w:val="decimal"/>
      <w:lvlText w:val="%4."/>
      <w:lvlJc w:val="left"/>
      <w:pPr>
        <w:ind w:left="3230" w:hanging="360"/>
      </w:pPr>
      <w:rPr>
        <w:rFonts w:cs="Times New Roman"/>
      </w:rPr>
    </w:lvl>
    <w:lvl w:ilvl="4" w:tplc="04020019" w:tentative="1">
      <w:start w:val="1"/>
      <w:numFmt w:val="lowerLetter"/>
      <w:lvlText w:val="%5."/>
      <w:lvlJc w:val="left"/>
      <w:pPr>
        <w:ind w:left="3950" w:hanging="360"/>
      </w:pPr>
      <w:rPr>
        <w:rFonts w:cs="Times New Roman"/>
      </w:rPr>
    </w:lvl>
    <w:lvl w:ilvl="5" w:tplc="0402001B" w:tentative="1">
      <w:start w:val="1"/>
      <w:numFmt w:val="lowerRoman"/>
      <w:lvlText w:val="%6."/>
      <w:lvlJc w:val="right"/>
      <w:pPr>
        <w:ind w:left="4670" w:hanging="180"/>
      </w:pPr>
      <w:rPr>
        <w:rFonts w:cs="Times New Roman"/>
      </w:rPr>
    </w:lvl>
    <w:lvl w:ilvl="6" w:tplc="0402000F" w:tentative="1">
      <w:start w:val="1"/>
      <w:numFmt w:val="decimal"/>
      <w:lvlText w:val="%7."/>
      <w:lvlJc w:val="left"/>
      <w:pPr>
        <w:ind w:left="5390" w:hanging="360"/>
      </w:pPr>
      <w:rPr>
        <w:rFonts w:cs="Times New Roman"/>
      </w:rPr>
    </w:lvl>
    <w:lvl w:ilvl="7" w:tplc="04020019" w:tentative="1">
      <w:start w:val="1"/>
      <w:numFmt w:val="lowerLetter"/>
      <w:lvlText w:val="%8."/>
      <w:lvlJc w:val="left"/>
      <w:pPr>
        <w:ind w:left="6110" w:hanging="360"/>
      </w:pPr>
      <w:rPr>
        <w:rFonts w:cs="Times New Roman"/>
      </w:rPr>
    </w:lvl>
    <w:lvl w:ilvl="8" w:tplc="0402001B" w:tentative="1">
      <w:start w:val="1"/>
      <w:numFmt w:val="lowerRoman"/>
      <w:lvlText w:val="%9."/>
      <w:lvlJc w:val="right"/>
      <w:pPr>
        <w:ind w:left="6830" w:hanging="180"/>
      </w:pPr>
      <w:rPr>
        <w:rFonts w:cs="Times New Roman"/>
      </w:rPr>
    </w:lvl>
  </w:abstractNum>
  <w:abstractNum w:abstractNumId="5" w15:restartNumberingAfterBreak="0">
    <w:nsid w:val="18E075FD"/>
    <w:multiLevelType w:val="hybridMultilevel"/>
    <w:tmpl w:val="8DA466B8"/>
    <w:lvl w:ilvl="0" w:tplc="CA0CDA56">
      <w:start w:val="1"/>
      <w:numFmt w:val="decimal"/>
      <w:suff w:val="space"/>
      <w:lvlText w:val="%1."/>
      <w:lvlJc w:val="left"/>
      <w:pPr>
        <w:ind w:left="107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abstractNum w:abstractNumId="6" w15:restartNumberingAfterBreak="0">
    <w:nsid w:val="192E2DF2"/>
    <w:multiLevelType w:val="multilevel"/>
    <w:tmpl w:val="9C863474"/>
    <w:lvl w:ilvl="0">
      <w:start w:val="1"/>
      <w:numFmt w:val="decimal"/>
      <w:pStyle w:val="FinTech2"/>
      <w:lvlText w:val="%1."/>
      <w:lvlJc w:val="left"/>
      <w:pPr>
        <w:ind w:left="1080" w:hanging="72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7" w15:restartNumberingAfterBreak="0">
    <w:nsid w:val="1B314E92"/>
    <w:multiLevelType w:val="multilevel"/>
    <w:tmpl w:val="EE3AE836"/>
    <w:lvl w:ilvl="0">
      <w:start w:val="2"/>
      <w:numFmt w:val="decimal"/>
      <w:lvlText w:val="%1."/>
      <w:lvlJc w:val="left"/>
      <w:pPr>
        <w:ind w:left="360" w:hanging="360"/>
      </w:pPr>
      <w:rPr>
        <w:rFonts w:hint="default"/>
        <w:b w:val="0"/>
      </w:rPr>
    </w:lvl>
    <w:lvl w:ilvl="1">
      <w:start w:val="3"/>
      <w:numFmt w:val="decimal"/>
      <w:isLgl/>
      <w:lvlText w:val="%1.%2."/>
      <w:lvlJc w:val="left"/>
      <w:pPr>
        <w:ind w:left="380" w:hanging="360"/>
      </w:pPr>
      <w:rPr>
        <w:rFonts w:hint="default"/>
        <w:b/>
      </w:rPr>
    </w:lvl>
    <w:lvl w:ilvl="2">
      <w:start w:val="1"/>
      <w:numFmt w:val="decimal"/>
      <w:isLgl/>
      <w:lvlText w:val="%1.%2.%3."/>
      <w:lvlJc w:val="left"/>
      <w:pPr>
        <w:ind w:left="76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1160" w:hanging="1080"/>
      </w:pPr>
      <w:rPr>
        <w:rFonts w:hint="default"/>
        <w:b/>
      </w:rPr>
    </w:lvl>
    <w:lvl w:ilvl="5">
      <w:start w:val="1"/>
      <w:numFmt w:val="decimal"/>
      <w:isLgl/>
      <w:lvlText w:val="%1.%2.%3.%4.%5.%6."/>
      <w:lvlJc w:val="left"/>
      <w:pPr>
        <w:ind w:left="1180" w:hanging="1080"/>
      </w:pPr>
      <w:rPr>
        <w:rFonts w:hint="default"/>
        <w:b/>
      </w:rPr>
    </w:lvl>
    <w:lvl w:ilvl="6">
      <w:start w:val="1"/>
      <w:numFmt w:val="decimal"/>
      <w:isLgl/>
      <w:lvlText w:val="%1.%2.%3.%4.%5.%6.%7."/>
      <w:lvlJc w:val="left"/>
      <w:pPr>
        <w:ind w:left="1560" w:hanging="1440"/>
      </w:pPr>
      <w:rPr>
        <w:rFonts w:hint="default"/>
        <w:b/>
      </w:rPr>
    </w:lvl>
    <w:lvl w:ilvl="7">
      <w:start w:val="1"/>
      <w:numFmt w:val="decimal"/>
      <w:isLgl/>
      <w:lvlText w:val="%1.%2.%3.%4.%5.%6.%7.%8."/>
      <w:lvlJc w:val="left"/>
      <w:pPr>
        <w:ind w:left="1580" w:hanging="1440"/>
      </w:pPr>
      <w:rPr>
        <w:rFonts w:hint="default"/>
        <w:b/>
      </w:rPr>
    </w:lvl>
    <w:lvl w:ilvl="8">
      <w:start w:val="1"/>
      <w:numFmt w:val="decimal"/>
      <w:isLgl/>
      <w:lvlText w:val="%1.%2.%3.%4.%5.%6.%7.%8.%9."/>
      <w:lvlJc w:val="left"/>
      <w:pPr>
        <w:ind w:left="1960" w:hanging="1800"/>
      </w:pPr>
      <w:rPr>
        <w:rFonts w:hint="default"/>
        <w:b/>
      </w:rPr>
    </w:lvl>
  </w:abstractNum>
  <w:abstractNum w:abstractNumId="8" w15:restartNumberingAfterBreak="0">
    <w:nsid w:val="1F291C0D"/>
    <w:multiLevelType w:val="hybridMultilevel"/>
    <w:tmpl w:val="6EA2B984"/>
    <w:lvl w:ilvl="0" w:tplc="D076CE78">
      <w:start w:val="1"/>
      <w:numFmt w:val="decimal"/>
      <w:suff w:val="space"/>
      <w:lvlText w:val="%1."/>
      <w:lvlJc w:val="left"/>
      <w:pPr>
        <w:ind w:left="107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abstractNum w:abstractNumId="9" w15:restartNumberingAfterBreak="0">
    <w:nsid w:val="2111485A"/>
    <w:multiLevelType w:val="hybridMultilevel"/>
    <w:tmpl w:val="7B98EB6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15:restartNumberingAfterBreak="0">
    <w:nsid w:val="244E0B86"/>
    <w:multiLevelType w:val="hybridMultilevel"/>
    <w:tmpl w:val="16C6ECF0"/>
    <w:lvl w:ilvl="0" w:tplc="4E546B8A">
      <w:start w:val="2"/>
      <w:numFmt w:val="decimal"/>
      <w:suff w:val="space"/>
      <w:lvlText w:val="%1."/>
      <w:lvlJc w:val="left"/>
      <w:pPr>
        <w:ind w:left="72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FCE2CB1"/>
    <w:multiLevelType w:val="hybridMultilevel"/>
    <w:tmpl w:val="1DC8ECB4"/>
    <w:lvl w:ilvl="0" w:tplc="7E24B958">
      <w:start w:val="1"/>
      <w:numFmt w:val="decimal"/>
      <w:suff w:val="space"/>
      <w:lvlText w:val="%1."/>
      <w:lvlJc w:val="left"/>
      <w:pPr>
        <w:ind w:left="1070" w:hanging="360"/>
      </w:pPr>
      <w:rPr>
        <w:rFonts w:ascii="Times New Roman" w:eastAsia="Times New Roman" w:hAnsi="Times New Roman" w:cs="Times New Roman" w:hint="default"/>
      </w:rPr>
    </w:lvl>
    <w:lvl w:ilvl="1" w:tplc="04020019" w:tentative="1">
      <w:start w:val="1"/>
      <w:numFmt w:val="lowerLetter"/>
      <w:lvlText w:val="%2."/>
      <w:lvlJc w:val="left"/>
      <w:pPr>
        <w:ind w:left="1600" w:hanging="360"/>
      </w:pPr>
      <w:rPr>
        <w:rFonts w:cs="Times New Roman"/>
      </w:rPr>
    </w:lvl>
    <w:lvl w:ilvl="2" w:tplc="0402001B" w:tentative="1">
      <w:start w:val="1"/>
      <w:numFmt w:val="lowerRoman"/>
      <w:lvlText w:val="%3."/>
      <w:lvlJc w:val="right"/>
      <w:pPr>
        <w:ind w:left="2320" w:hanging="180"/>
      </w:pPr>
      <w:rPr>
        <w:rFonts w:cs="Times New Roman"/>
      </w:rPr>
    </w:lvl>
    <w:lvl w:ilvl="3" w:tplc="0402000F" w:tentative="1">
      <w:start w:val="1"/>
      <w:numFmt w:val="decimal"/>
      <w:lvlText w:val="%4."/>
      <w:lvlJc w:val="left"/>
      <w:pPr>
        <w:ind w:left="3040" w:hanging="360"/>
      </w:pPr>
      <w:rPr>
        <w:rFonts w:cs="Times New Roman"/>
      </w:rPr>
    </w:lvl>
    <w:lvl w:ilvl="4" w:tplc="04020019" w:tentative="1">
      <w:start w:val="1"/>
      <w:numFmt w:val="lowerLetter"/>
      <w:lvlText w:val="%5."/>
      <w:lvlJc w:val="left"/>
      <w:pPr>
        <w:ind w:left="3760" w:hanging="360"/>
      </w:pPr>
      <w:rPr>
        <w:rFonts w:cs="Times New Roman"/>
      </w:rPr>
    </w:lvl>
    <w:lvl w:ilvl="5" w:tplc="0402001B" w:tentative="1">
      <w:start w:val="1"/>
      <w:numFmt w:val="lowerRoman"/>
      <w:lvlText w:val="%6."/>
      <w:lvlJc w:val="right"/>
      <w:pPr>
        <w:ind w:left="4480" w:hanging="180"/>
      </w:pPr>
      <w:rPr>
        <w:rFonts w:cs="Times New Roman"/>
      </w:rPr>
    </w:lvl>
    <w:lvl w:ilvl="6" w:tplc="0402000F" w:tentative="1">
      <w:start w:val="1"/>
      <w:numFmt w:val="decimal"/>
      <w:lvlText w:val="%7."/>
      <w:lvlJc w:val="left"/>
      <w:pPr>
        <w:ind w:left="5200" w:hanging="360"/>
      </w:pPr>
      <w:rPr>
        <w:rFonts w:cs="Times New Roman"/>
      </w:rPr>
    </w:lvl>
    <w:lvl w:ilvl="7" w:tplc="04020019" w:tentative="1">
      <w:start w:val="1"/>
      <w:numFmt w:val="lowerLetter"/>
      <w:lvlText w:val="%8."/>
      <w:lvlJc w:val="left"/>
      <w:pPr>
        <w:ind w:left="5920" w:hanging="360"/>
      </w:pPr>
      <w:rPr>
        <w:rFonts w:cs="Times New Roman"/>
      </w:rPr>
    </w:lvl>
    <w:lvl w:ilvl="8" w:tplc="0402001B" w:tentative="1">
      <w:start w:val="1"/>
      <w:numFmt w:val="lowerRoman"/>
      <w:lvlText w:val="%9."/>
      <w:lvlJc w:val="right"/>
      <w:pPr>
        <w:ind w:left="6640" w:hanging="180"/>
      </w:pPr>
      <w:rPr>
        <w:rFonts w:cs="Times New Roman"/>
      </w:rPr>
    </w:lvl>
  </w:abstractNum>
  <w:abstractNum w:abstractNumId="12" w15:restartNumberingAfterBreak="0">
    <w:nsid w:val="34E4522B"/>
    <w:multiLevelType w:val="hybridMultilevel"/>
    <w:tmpl w:val="EB3A9422"/>
    <w:lvl w:ilvl="0" w:tplc="46C68E84">
      <w:start w:val="1"/>
      <w:numFmt w:val="decimal"/>
      <w:suff w:val="space"/>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5CB78F6"/>
    <w:multiLevelType w:val="multilevel"/>
    <w:tmpl w:val="B5AABB7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eastAsiaTheme="minorEastAsia" w:hint="default"/>
        <w:color w:val="000000"/>
      </w:rPr>
    </w:lvl>
    <w:lvl w:ilvl="2">
      <w:start w:val="1"/>
      <w:numFmt w:val="decimal"/>
      <w:isLgl/>
      <w:lvlText w:val="%1.%2.%3."/>
      <w:lvlJc w:val="left"/>
      <w:pPr>
        <w:ind w:left="1080" w:hanging="720"/>
      </w:pPr>
      <w:rPr>
        <w:rFonts w:eastAsiaTheme="minorEastAsia" w:hint="default"/>
        <w:color w:val="000000"/>
      </w:rPr>
    </w:lvl>
    <w:lvl w:ilvl="3">
      <w:start w:val="1"/>
      <w:numFmt w:val="decimal"/>
      <w:isLgl/>
      <w:lvlText w:val="%1.%2.%3.%4."/>
      <w:lvlJc w:val="left"/>
      <w:pPr>
        <w:ind w:left="1440" w:hanging="1080"/>
      </w:pPr>
      <w:rPr>
        <w:rFonts w:eastAsiaTheme="minorEastAsia" w:hint="default"/>
        <w:color w:val="000000"/>
      </w:rPr>
    </w:lvl>
    <w:lvl w:ilvl="4">
      <w:start w:val="1"/>
      <w:numFmt w:val="decimal"/>
      <w:isLgl/>
      <w:lvlText w:val="%1.%2.%3.%4.%5."/>
      <w:lvlJc w:val="left"/>
      <w:pPr>
        <w:ind w:left="1440" w:hanging="1080"/>
      </w:pPr>
      <w:rPr>
        <w:rFonts w:eastAsiaTheme="minorEastAsia" w:hint="default"/>
        <w:color w:val="000000"/>
      </w:rPr>
    </w:lvl>
    <w:lvl w:ilvl="5">
      <w:start w:val="1"/>
      <w:numFmt w:val="decimal"/>
      <w:isLgl/>
      <w:lvlText w:val="%1.%2.%3.%4.%5.%6."/>
      <w:lvlJc w:val="left"/>
      <w:pPr>
        <w:ind w:left="1800" w:hanging="1440"/>
      </w:pPr>
      <w:rPr>
        <w:rFonts w:eastAsiaTheme="minorEastAsia" w:hint="default"/>
        <w:color w:val="000000"/>
      </w:rPr>
    </w:lvl>
    <w:lvl w:ilvl="6">
      <w:start w:val="1"/>
      <w:numFmt w:val="decimal"/>
      <w:isLgl/>
      <w:lvlText w:val="%1.%2.%3.%4.%5.%6.%7."/>
      <w:lvlJc w:val="left"/>
      <w:pPr>
        <w:ind w:left="1800" w:hanging="1440"/>
      </w:pPr>
      <w:rPr>
        <w:rFonts w:eastAsiaTheme="minorEastAsia" w:hint="default"/>
        <w:color w:val="000000"/>
      </w:rPr>
    </w:lvl>
    <w:lvl w:ilvl="7">
      <w:start w:val="1"/>
      <w:numFmt w:val="decimal"/>
      <w:isLgl/>
      <w:lvlText w:val="%1.%2.%3.%4.%5.%6.%7.%8."/>
      <w:lvlJc w:val="left"/>
      <w:pPr>
        <w:ind w:left="2160" w:hanging="1800"/>
      </w:pPr>
      <w:rPr>
        <w:rFonts w:eastAsiaTheme="minorEastAsia" w:hint="default"/>
        <w:color w:val="000000"/>
      </w:rPr>
    </w:lvl>
    <w:lvl w:ilvl="8">
      <w:start w:val="1"/>
      <w:numFmt w:val="decimal"/>
      <w:isLgl/>
      <w:lvlText w:val="%1.%2.%3.%4.%5.%6.%7.%8.%9."/>
      <w:lvlJc w:val="left"/>
      <w:pPr>
        <w:ind w:left="2520" w:hanging="2160"/>
      </w:pPr>
      <w:rPr>
        <w:rFonts w:eastAsiaTheme="minorEastAsia" w:hint="default"/>
        <w:color w:val="000000"/>
      </w:rPr>
    </w:lvl>
  </w:abstractNum>
  <w:abstractNum w:abstractNumId="14" w15:restartNumberingAfterBreak="0">
    <w:nsid w:val="3819534F"/>
    <w:multiLevelType w:val="multilevel"/>
    <w:tmpl w:val="89D2C1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42C12DA8"/>
    <w:multiLevelType w:val="hybridMultilevel"/>
    <w:tmpl w:val="77D47B5C"/>
    <w:lvl w:ilvl="0" w:tplc="4BC2A596">
      <w:numFmt w:val="bullet"/>
      <w:lvlText w:val=""/>
      <w:lvlJc w:val="left"/>
      <w:pPr>
        <w:ind w:left="720" w:hanging="360"/>
      </w:pPr>
      <w:rPr>
        <w:rFonts w:ascii="Symbol" w:eastAsiaTheme="minorEastAsia" w:hAnsi="Symbol" w:hint="default"/>
        <w:color w:val="00000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3EC7D97"/>
    <w:multiLevelType w:val="hybridMultilevel"/>
    <w:tmpl w:val="0CB25730"/>
    <w:lvl w:ilvl="0" w:tplc="9B882CCC">
      <w:start w:val="1"/>
      <w:numFmt w:val="upperRoman"/>
      <w:pStyle w:val="FinTech1"/>
      <w:lvlText w:val="%1."/>
      <w:lvlJc w:val="left"/>
      <w:pPr>
        <w:ind w:left="1080" w:hanging="720"/>
      </w:pPr>
      <w:rPr>
        <w:rFonts w:hint="default"/>
      </w:rPr>
    </w:lvl>
    <w:lvl w:ilvl="1" w:tplc="8C1EEADE">
      <w:numFmt w:val="bullet"/>
      <w:lvlText w:val="•"/>
      <w:lvlJc w:val="left"/>
      <w:pPr>
        <w:ind w:left="1785" w:hanging="705"/>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AA0243A"/>
    <w:multiLevelType w:val="hybridMultilevel"/>
    <w:tmpl w:val="AE6A8740"/>
    <w:lvl w:ilvl="0" w:tplc="3D26241C">
      <w:start w:val="1"/>
      <w:numFmt w:val="decimal"/>
      <w:suff w:val="space"/>
      <w:lvlText w:val="%1."/>
      <w:lvlJc w:val="left"/>
      <w:pPr>
        <w:ind w:left="1240" w:hanging="360"/>
      </w:pPr>
      <w:rPr>
        <w:rFonts w:cs="Times New Roman" w:hint="default"/>
      </w:rPr>
    </w:lvl>
    <w:lvl w:ilvl="1" w:tplc="04020019" w:tentative="1">
      <w:start w:val="1"/>
      <w:numFmt w:val="lowerLetter"/>
      <w:lvlText w:val="%2."/>
      <w:lvlJc w:val="left"/>
      <w:pPr>
        <w:ind w:left="1960" w:hanging="360"/>
      </w:pPr>
      <w:rPr>
        <w:rFonts w:cs="Times New Roman"/>
      </w:rPr>
    </w:lvl>
    <w:lvl w:ilvl="2" w:tplc="0402001B" w:tentative="1">
      <w:start w:val="1"/>
      <w:numFmt w:val="lowerRoman"/>
      <w:lvlText w:val="%3."/>
      <w:lvlJc w:val="right"/>
      <w:pPr>
        <w:ind w:left="2680" w:hanging="180"/>
      </w:pPr>
      <w:rPr>
        <w:rFonts w:cs="Times New Roman"/>
      </w:rPr>
    </w:lvl>
    <w:lvl w:ilvl="3" w:tplc="0402000F" w:tentative="1">
      <w:start w:val="1"/>
      <w:numFmt w:val="decimal"/>
      <w:lvlText w:val="%4."/>
      <w:lvlJc w:val="left"/>
      <w:pPr>
        <w:ind w:left="3400" w:hanging="360"/>
      </w:pPr>
      <w:rPr>
        <w:rFonts w:cs="Times New Roman"/>
      </w:rPr>
    </w:lvl>
    <w:lvl w:ilvl="4" w:tplc="04020019" w:tentative="1">
      <w:start w:val="1"/>
      <w:numFmt w:val="lowerLetter"/>
      <w:lvlText w:val="%5."/>
      <w:lvlJc w:val="left"/>
      <w:pPr>
        <w:ind w:left="4120" w:hanging="360"/>
      </w:pPr>
      <w:rPr>
        <w:rFonts w:cs="Times New Roman"/>
      </w:rPr>
    </w:lvl>
    <w:lvl w:ilvl="5" w:tplc="0402001B" w:tentative="1">
      <w:start w:val="1"/>
      <w:numFmt w:val="lowerRoman"/>
      <w:lvlText w:val="%6."/>
      <w:lvlJc w:val="right"/>
      <w:pPr>
        <w:ind w:left="4840" w:hanging="180"/>
      </w:pPr>
      <w:rPr>
        <w:rFonts w:cs="Times New Roman"/>
      </w:rPr>
    </w:lvl>
    <w:lvl w:ilvl="6" w:tplc="0402000F" w:tentative="1">
      <w:start w:val="1"/>
      <w:numFmt w:val="decimal"/>
      <w:lvlText w:val="%7."/>
      <w:lvlJc w:val="left"/>
      <w:pPr>
        <w:ind w:left="5560" w:hanging="360"/>
      </w:pPr>
      <w:rPr>
        <w:rFonts w:cs="Times New Roman"/>
      </w:rPr>
    </w:lvl>
    <w:lvl w:ilvl="7" w:tplc="04020019" w:tentative="1">
      <w:start w:val="1"/>
      <w:numFmt w:val="lowerLetter"/>
      <w:lvlText w:val="%8."/>
      <w:lvlJc w:val="left"/>
      <w:pPr>
        <w:ind w:left="6280" w:hanging="360"/>
      </w:pPr>
      <w:rPr>
        <w:rFonts w:cs="Times New Roman"/>
      </w:rPr>
    </w:lvl>
    <w:lvl w:ilvl="8" w:tplc="0402001B" w:tentative="1">
      <w:start w:val="1"/>
      <w:numFmt w:val="lowerRoman"/>
      <w:lvlText w:val="%9."/>
      <w:lvlJc w:val="right"/>
      <w:pPr>
        <w:ind w:left="7000" w:hanging="180"/>
      </w:pPr>
      <w:rPr>
        <w:rFonts w:cs="Times New Roman"/>
      </w:rPr>
    </w:lvl>
  </w:abstractNum>
  <w:abstractNum w:abstractNumId="18" w15:restartNumberingAfterBreak="0">
    <w:nsid w:val="4C577B9B"/>
    <w:multiLevelType w:val="hybridMultilevel"/>
    <w:tmpl w:val="2052600A"/>
    <w:lvl w:ilvl="0" w:tplc="EFF67AD8">
      <w:start w:val="1"/>
      <w:numFmt w:val="decimal"/>
      <w:suff w:val="space"/>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FDC5DEB"/>
    <w:multiLevelType w:val="hybridMultilevel"/>
    <w:tmpl w:val="BE682738"/>
    <w:lvl w:ilvl="0" w:tplc="C010ADFA">
      <w:start w:val="1"/>
      <w:numFmt w:val="decimal"/>
      <w:suff w:val="space"/>
      <w:lvlText w:val="%1."/>
      <w:lvlJc w:val="left"/>
      <w:pPr>
        <w:ind w:left="1240" w:hanging="360"/>
      </w:pPr>
      <w:rPr>
        <w:rFonts w:cs="Times New Roman" w:hint="default"/>
      </w:rPr>
    </w:lvl>
    <w:lvl w:ilvl="1" w:tplc="04020019" w:tentative="1">
      <w:start w:val="1"/>
      <w:numFmt w:val="lowerLetter"/>
      <w:lvlText w:val="%2."/>
      <w:lvlJc w:val="left"/>
      <w:pPr>
        <w:ind w:left="1960" w:hanging="360"/>
      </w:pPr>
      <w:rPr>
        <w:rFonts w:cs="Times New Roman"/>
      </w:rPr>
    </w:lvl>
    <w:lvl w:ilvl="2" w:tplc="0402001B" w:tentative="1">
      <w:start w:val="1"/>
      <w:numFmt w:val="lowerRoman"/>
      <w:lvlText w:val="%3."/>
      <w:lvlJc w:val="right"/>
      <w:pPr>
        <w:ind w:left="2680" w:hanging="180"/>
      </w:pPr>
      <w:rPr>
        <w:rFonts w:cs="Times New Roman"/>
      </w:rPr>
    </w:lvl>
    <w:lvl w:ilvl="3" w:tplc="0402000F" w:tentative="1">
      <w:start w:val="1"/>
      <w:numFmt w:val="decimal"/>
      <w:lvlText w:val="%4."/>
      <w:lvlJc w:val="left"/>
      <w:pPr>
        <w:ind w:left="3400" w:hanging="360"/>
      </w:pPr>
      <w:rPr>
        <w:rFonts w:cs="Times New Roman"/>
      </w:rPr>
    </w:lvl>
    <w:lvl w:ilvl="4" w:tplc="04020019" w:tentative="1">
      <w:start w:val="1"/>
      <w:numFmt w:val="lowerLetter"/>
      <w:lvlText w:val="%5."/>
      <w:lvlJc w:val="left"/>
      <w:pPr>
        <w:ind w:left="4120" w:hanging="360"/>
      </w:pPr>
      <w:rPr>
        <w:rFonts w:cs="Times New Roman"/>
      </w:rPr>
    </w:lvl>
    <w:lvl w:ilvl="5" w:tplc="0402001B" w:tentative="1">
      <w:start w:val="1"/>
      <w:numFmt w:val="lowerRoman"/>
      <w:lvlText w:val="%6."/>
      <w:lvlJc w:val="right"/>
      <w:pPr>
        <w:ind w:left="4840" w:hanging="180"/>
      </w:pPr>
      <w:rPr>
        <w:rFonts w:cs="Times New Roman"/>
      </w:rPr>
    </w:lvl>
    <w:lvl w:ilvl="6" w:tplc="0402000F" w:tentative="1">
      <w:start w:val="1"/>
      <w:numFmt w:val="decimal"/>
      <w:lvlText w:val="%7."/>
      <w:lvlJc w:val="left"/>
      <w:pPr>
        <w:ind w:left="5560" w:hanging="360"/>
      </w:pPr>
      <w:rPr>
        <w:rFonts w:cs="Times New Roman"/>
      </w:rPr>
    </w:lvl>
    <w:lvl w:ilvl="7" w:tplc="04020019" w:tentative="1">
      <w:start w:val="1"/>
      <w:numFmt w:val="lowerLetter"/>
      <w:lvlText w:val="%8."/>
      <w:lvlJc w:val="left"/>
      <w:pPr>
        <w:ind w:left="6280" w:hanging="360"/>
      </w:pPr>
      <w:rPr>
        <w:rFonts w:cs="Times New Roman"/>
      </w:rPr>
    </w:lvl>
    <w:lvl w:ilvl="8" w:tplc="0402001B" w:tentative="1">
      <w:start w:val="1"/>
      <w:numFmt w:val="lowerRoman"/>
      <w:lvlText w:val="%9."/>
      <w:lvlJc w:val="right"/>
      <w:pPr>
        <w:ind w:left="7000" w:hanging="180"/>
      </w:pPr>
      <w:rPr>
        <w:rFonts w:cs="Times New Roman"/>
      </w:rPr>
    </w:lvl>
  </w:abstractNum>
  <w:abstractNum w:abstractNumId="20" w15:restartNumberingAfterBreak="0">
    <w:nsid w:val="509706D1"/>
    <w:multiLevelType w:val="hybridMultilevel"/>
    <w:tmpl w:val="85DCD40E"/>
    <w:lvl w:ilvl="0" w:tplc="55EEE49A">
      <w:start w:val="1"/>
      <w:numFmt w:val="decimal"/>
      <w:suff w:val="space"/>
      <w:lvlText w:val="%1."/>
      <w:lvlJc w:val="left"/>
      <w:pPr>
        <w:ind w:left="1070" w:hanging="360"/>
      </w:pPr>
      <w:rPr>
        <w:rFonts w:hint="default"/>
        <w:b w:val="0"/>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abstractNum w:abstractNumId="21" w15:restartNumberingAfterBreak="0">
    <w:nsid w:val="620760AD"/>
    <w:multiLevelType w:val="hybridMultilevel"/>
    <w:tmpl w:val="81BA5FD6"/>
    <w:lvl w:ilvl="0" w:tplc="AC82864C">
      <w:start w:val="1"/>
      <w:numFmt w:val="decimal"/>
      <w:suff w:val="space"/>
      <w:lvlText w:val="%1."/>
      <w:lvlJc w:val="left"/>
      <w:pPr>
        <w:ind w:left="124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D4E162C"/>
    <w:multiLevelType w:val="hybridMultilevel"/>
    <w:tmpl w:val="CAE40348"/>
    <w:lvl w:ilvl="0" w:tplc="040ED2AC">
      <w:start w:val="1"/>
      <w:numFmt w:val="decimal"/>
      <w:suff w:val="space"/>
      <w:lvlText w:val="%1."/>
      <w:lvlJc w:val="left"/>
      <w:pPr>
        <w:ind w:left="1240" w:hanging="360"/>
      </w:pPr>
      <w:rPr>
        <w:rFonts w:ascii="Times New Roman" w:hAnsi="Times New Roman" w:cs="Times New Roman"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0217C5C"/>
    <w:multiLevelType w:val="hybridMultilevel"/>
    <w:tmpl w:val="D4A0BC14"/>
    <w:lvl w:ilvl="0" w:tplc="EB06D3C4">
      <w:start w:val="1"/>
      <w:numFmt w:val="decimal"/>
      <w:suff w:val="space"/>
      <w:lvlText w:val="%1."/>
      <w:lvlJc w:val="left"/>
      <w:pPr>
        <w:ind w:left="1070" w:hanging="360"/>
      </w:pPr>
      <w:rPr>
        <w:rFonts w:cs="Times New Roman" w:hint="default"/>
        <w:b w:val="0"/>
      </w:rPr>
    </w:lvl>
    <w:lvl w:ilvl="1" w:tplc="04020019" w:tentative="1">
      <w:start w:val="1"/>
      <w:numFmt w:val="lowerLetter"/>
      <w:lvlText w:val="%2."/>
      <w:lvlJc w:val="left"/>
      <w:pPr>
        <w:ind w:left="1790" w:hanging="360"/>
      </w:pPr>
      <w:rPr>
        <w:rFonts w:cs="Times New Roman"/>
      </w:rPr>
    </w:lvl>
    <w:lvl w:ilvl="2" w:tplc="0402001B" w:tentative="1">
      <w:start w:val="1"/>
      <w:numFmt w:val="lowerRoman"/>
      <w:lvlText w:val="%3."/>
      <w:lvlJc w:val="right"/>
      <w:pPr>
        <w:ind w:left="2510" w:hanging="180"/>
      </w:pPr>
      <w:rPr>
        <w:rFonts w:cs="Times New Roman"/>
      </w:rPr>
    </w:lvl>
    <w:lvl w:ilvl="3" w:tplc="0402000F" w:tentative="1">
      <w:start w:val="1"/>
      <w:numFmt w:val="decimal"/>
      <w:lvlText w:val="%4."/>
      <w:lvlJc w:val="left"/>
      <w:pPr>
        <w:ind w:left="3230" w:hanging="360"/>
      </w:pPr>
      <w:rPr>
        <w:rFonts w:cs="Times New Roman"/>
      </w:rPr>
    </w:lvl>
    <w:lvl w:ilvl="4" w:tplc="04020019" w:tentative="1">
      <w:start w:val="1"/>
      <w:numFmt w:val="lowerLetter"/>
      <w:lvlText w:val="%5."/>
      <w:lvlJc w:val="left"/>
      <w:pPr>
        <w:ind w:left="3950" w:hanging="360"/>
      </w:pPr>
      <w:rPr>
        <w:rFonts w:cs="Times New Roman"/>
      </w:rPr>
    </w:lvl>
    <w:lvl w:ilvl="5" w:tplc="0402001B" w:tentative="1">
      <w:start w:val="1"/>
      <w:numFmt w:val="lowerRoman"/>
      <w:lvlText w:val="%6."/>
      <w:lvlJc w:val="right"/>
      <w:pPr>
        <w:ind w:left="4670" w:hanging="180"/>
      </w:pPr>
      <w:rPr>
        <w:rFonts w:cs="Times New Roman"/>
      </w:rPr>
    </w:lvl>
    <w:lvl w:ilvl="6" w:tplc="0402000F" w:tentative="1">
      <w:start w:val="1"/>
      <w:numFmt w:val="decimal"/>
      <w:lvlText w:val="%7."/>
      <w:lvlJc w:val="left"/>
      <w:pPr>
        <w:ind w:left="5390" w:hanging="360"/>
      </w:pPr>
      <w:rPr>
        <w:rFonts w:cs="Times New Roman"/>
      </w:rPr>
    </w:lvl>
    <w:lvl w:ilvl="7" w:tplc="04020019" w:tentative="1">
      <w:start w:val="1"/>
      <w:numFmt w:val="lowerLetter"/>
      <w:lvlText w:val="%8."/>
      <w:lvlJc w:val="left"/>
      <w:pPr>
        <w:ind w:left="6110" w:hanging="360"/>
      </w:pPr>
      <w:rPr>
        <w:rFonts w:cs="Times New Roman"/>
      </w:rPr>
    </w:lvl>
    <w:lvl w:ilvl="8" w:tplc="0402001B" w:tentative="1">
      <w:start w:val="1"/>
      <w:numFmt w:val="lowerRoman"/>
      <w:lvlText w:val="%9."/>
      <w:lvlJc w:val="right"/>
      <w:pPr>
        <w:ind w:left="6830" w:hanging="180"/>
      </w:pPr>
      <w:rPr>
        <w:rFonts w:cs="Times New Roman"/>
      </w:rPr>
    </w:lvl>
  </w:abstractNum>
  <w:abstractNum w:abstractNumId="24" w15:restartNumberingAfterBreak="0">
    <w:nsid w:val="72FF6FE9"/>
    <w:multiLevelType w:val="multilevel"/>
    <w:tmpl w:val="BE0C5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762C52E7"/>
    <w:multiLevelType w:val="hybridMultilevel"/>
    <w:tmpl w:val="C63220B4"/>
    <w:lvl w:ilvl="0" w:tplc="66B257FC">
      <w:start w:val="5"/>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55"/>
        <w:lvlJc w:val="left"/>
        <w:rPr>
          <w:rFonts w:ascii="Times New Roman" w:hAnsi="Times New Roman" w:hint="default"/>
        </w:rPr>
      </w:lvl>
    </w:lvlOverride>
  </w:num>
  <w:num w:numId="2">
    <w:abstractNumId w:val="19"/>
  </w:num>
  <w:num w:numId="3">
    <w:abstractNumId w:val="4"/>
  </w:num>
  <w:num w:numId="4">
    <w:abstractNumId w:val="23"/>
  </w:num>
  <w:num w:numId="5">
    <w:abstractNumId w:val="11"/>
  </w:num>
  <w:num w:numId="6">
    <w:abstractNumId w:val="24"/>
  </w:num>
  <w:num w:numId="7">
    <w:abstractNumId w:val="17"/>
  </w:num>
  <w:num w:numId="8">
    <w:abstractNumId w:val="15"/>
  </w:num>
  <w:num w:numId="9">
    <w:abstractNumId w:val="1"/>
  </w:num>
  <w:num w:numId="10">
    <w:abstractNumId w:val="7"/>
  </w:num>
  <w:num w:numId="11">
    <w:abstractNumId w:val="5"/>
  </w:num>
  <w:num w:numId="12">
    <w:abstractNumId w:val="13"/>
  </w:num>
  <w:num w:numId="13">
    <w:abstractNumId w:val="8"/>
  </w:num>
  <w:num w:numId="14">
    <w:abstractNumId w:val="3"/>
  </w:num>
  <w:num w:numId="15">
    <w:abstractNumId w:val="18"/>
  </w:num>
  <w:num w:numId="16">
    <w:abstractNumId w:val="12"/>
  </w:num>
  <w:num w:numId="17">
    <w:abstractNumId w:val="10"/>
  </w:num>
  <w:num w:numId="18">
    <w:abstractNumId w:val="20"/>
  </w:num>
  <w:num w:numId="19">
    <w:abstractNumId w:val="14"/>
  </w:num>
  <w:num w:numId="20">
    <w:abstractNumId w:val="22"/>
  </w:num>
  <w:num w:numId="21">
    <w:abstractNumId w:val="6"/>
  </w:num>
  <w:num w:numId="22">
    <w:abstractNumId w:val="21"/>
  </w:num>
  <w:num w:numId="23">
    <w:abstractNumId w:val="2"/>
  </w:num>
  <w:num w:numId="24">
    <w:abstractNumId w:val="16"/>
  </w:num>
  <w:num w:numId="25">
    <w:abstractNumId w:val="25"/>
  </w:num>
  <w:num w:numId="2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1E"/>
    <w:rsid w:val="000065A0"/>
    <w:rsid w:val="00012F39"/>
    <w:rsid w:val="000322A0"/>
    <w:rsid w:val="00053897"/>
    <w:rsid w:val="00073954"/>
    <w:rsid w:val="00075D37"/>
    <w:rsid w:val="000B18BC"/>
    <w:rsid w:val="000B4412"/>
    <w:rsid w:val="000C7BD7"/>
    <w:rsid w:val="000D14F0"/>
    <w:rsid w:val="000F5B75"/>
    <w:rsid w:val="000F73AF"/>
    <w:rsid w:val="001052EF"/>
    <w:rsid w:val="001177B1"/>
    <w:rsid w:val="001202BE"/>
    <w:rsid w:val="00121C69"/>
    <w:rsid w:val="00124AED"/>
    <w:rsid w:val="00132DB3"/>
    <w:rsid w:val="00132EAC"/>
    <w:rsid w:val="0013355E"/>
    <w:rsid w:val="001509B4"/>
    <w:rsid w:val="001622D1"/>
    <w:rsid w:val="001670F6"/>
    <w:rsid w:val="00194844"/>
    <w:rsid w:val="00194B35"/>
    <w:rsid w:val="001A2417"/>
    <w:rsid w:val="001A259B"/>
    <w:rsid w:val="001A4E24"/>
    <w:rsid w:val="001B535D"/>
    <w:rsid w:val="001B7CF7"/>
    <w:rsid w:val="001C5D21"/>
    <w:rsid w:val="001D50F6"/>
    <w:rsid w:val="001F3F1C"/>
    <w:rsid w:val="001F5ECA"/>
    <w:rsid w:val="001F77AF"/>
    <w:rsid w:val="002018E2"/>
    <w:rsid w:val="00210953"/>
    <w:rsid w:val="00211628"/>
    <w:rsid w:val="00221BE5"/>
    <w:rsid w:val="0022385E"/>
    <w:rsid w:val="002275ED"/>
    <w:rsid w:val="002532F8"/>
    <w:rsid w:val="0025693B"/>
    <w:rsid w:val="00276180"/>
    <w:rsid w:val="00277925"/>
    <w:rsid w:val="00280DE2"/>
    <w:rsid w:val="00284C43"/>
    <w:rsid w:val="00293490"/>
    <w:rsid w:val="002B4EAF"/>
    <w:rsid w:val="002C0775"/>
    <w:rsid w:val="002C711E"/>
    <w:rsid w:val="002E0154"/>
    <w:rsid w:val="002F03F4"/>
    <w:rsid w:val="002F3121"/>
    <w:rsid w:val="0030024D"/>
    <w:rsid w:val="003018E0"/>
    <w:rsid w:val="00306B1B"/>
    <w:rsid w:val="00313D98"/>
    <w:rsid w:val="00321DE8"/>
    <w:rsid w:val="00321FD9"/>
    <w:rsid w:val="00336043"/>
    <w:rsid w:val="003409A0"/>
    <w:rsid w:val="00356F20"/>
    <w:rsid w:val="00383F5C"/>
    <w:rsid w:val="0038704F"/>
    <w:rsid w:val="003A2C4C"/>
    <w:rsid w:val="003A7D11"/>
    <w:rsid w:val="003D1D31"/>
    <w:rsid w:val="003D7B34"/>
    <w:rsid w:val="003E36D1"/>
    <w:rsid w:val="003F36EF"/>
    <w:rsid w:val="00400D69"/>
    <w:rsid w:val="004152D8"/>
    <w:rsid w:val="00415650"/>
    <w:rsid w:val="00425971"/>
    <w:rsid w:val="004308BA"/>
    <w:rsid w:val="0043163B"/>
    <w:rsid w:val="00434674"/>
    <w:rsid w:val="00435C7B"/>
    <w:rsid w:val="004711AA"/>
    <w:rsid w:val="00473B4A"/>
    <w:rsid w:val="0047635E"/>
    <w:rsid w:val="00483C6D"/>
    <w:rsid w:val="00484294"/>
    <w:rsid w:val="004A139E"/>
    <w:rsid w:val="004D27CC"/>
    <w:rsid w:val="004D3CA1"/>
    <w:rsid w:val="004E166C"/>
    <w:rsid w:val="004E35C3"/>
    <w:rsid w:val="005074C8"/>
    <w:rsid w:val="00514E7B"/>
    <w:rsid w:val="00520236"/>
    <w:rsid w:val="005225C1"/>
    <w:rsid w:val="0053157B"/>
    <w:rsid w:val="00537C33"/>
    <w:rsid w:val="00544152"/>
    <w:rsid w:val="00550270"/>
    <w:rsid w:val="00551FC5"/>
    <w:rsid w:val="005533C6"/>
    <w:rsid w:val="005653CF"/>
    <w:rsid w:val="0057105B"/>
    <w:rsid w:val="00580999"/>
    <w:rsid w:val="005914E2"/>
    <w:rsid w:val="00591B5C"/>
    <w:rsid w:val="00591C77"/>
    <w:rsid w:val="005A74CB"/>
    <w:rsid w:val="005A7823"/>
    <w:rsid w:val="005B11D8"/>
    <w:rsid w:val="005B56B8"/>
    <w:rsid w:val="005B7547"/>
    <w:rsid w:val="005B7B48"/>
    <w:rsid w:val="005D1F2B"/>
    <w:rsid w:val="005D788D"/>
    <w:rsid w:val="005F5867"/>
    <w:rsid w:val="005F6677"/>
    <w:rsid w:val="00600AD0"/>
    <w:rsid w:val="00606015"/>
    <w:rsid w:val="006300D8"/>
    <w:rsid w:val="00650364"/>
    <w:rsid w:val="00650513"/>
    <w:rsid w:val="0066246D"/>
    <w:rsid w:val="006754CF"/>
    <w:rsid w:val="00680C38"/>
    <w:rsid w:val="00685E0E"/>
    <w:rsid w:val="00697ED6"/>
    <w:rsid w:val="006B0AA8"/>
    <w:rsid w:val="006B3E08"/>
    <w:rsid w:val="006C038C"/>
    <w:rsid w:val="006C2629"/>
    <w:rsid w:val="006C2B0B"/>
    <w:rsid w:val="006D1858"/>
    <w:rsid w:val="006E419E"/>
    <w:rsid w:val="006E6426"/>
    <w:rsid w:val="006F48FB"/>
    <w:rsid w:val="007010FC"/>
    <w:rsid w:val="007123E3"/>
    <w:rsid w:val="00716E3C"/>
    <w:rsid w:val="007214E5"/>
    <w:rsid w:val="0072536E"/>
    <w:rsid w:val="00744BA1"/>
    <w:rsid w:val="00750E44"/>
    <w:rsid w:val="00760DD0"/>
    <w:rsid w:val="0076400E"/>
    <w:rsid w:val="00767FA7"/>
    <w:rsid w:val="0078428D"/>
    <w:rsid w:val="0078454A"/>
    <w:rsid w:val="007A0445"/>
    <w:rsid w:val="007A1DA1"/>
    <w:rsid w:val="007B2ED2"/>
    <w:rsid w:val="007B6026"/>
    <w:rsid w:val="007C1004"/>
    <w:rsid w:val="007C3193"/>
    <w:rsid w:val="007D0571"/>
    <w:rsid w:val="007F1D44"/>
    <w:rsid w:val="008212B7"/>
    <w:rsid w:val="00831787"/>
    <w:rsid w:val="00837A0E"/>
    <w:rsid w:val="00841A38"/>
    <w:rsid w:val="00850F82"/>
    <w:rsid w:val="008511CF"/>
    <w:rsid w:val="00853D73"/>
    <w:rsid w:val="008560B8"/>
    <w:rsid w:val="00863EFA"/>
    <w:rsid w:val="008649F2"/>
    <w:rsid w:val="00883EDC"/>
    <w:rsid w:val="00890C28"/>
    <w:rsid w:val="008A0E53"/>
    <w:rsid w:val="008A16D5"/>
    <w:rsid w:val="008B3C30"/>
    <w:rsid w:val="008B7197"/>
    <w:rsid w:val="008C66D1"/>
    <w:rsid w:val="008E2C03"/>
    <w:rsid w:val="008E2ECF"/>
    <w:rsid w:val="008F34D3"/>
    <w:rsid w:val="009049A0"/>
    <w:rsid w:val="00914BF9"/>
    <w:rsid w:val="009206B6"/>
    <w:rsid w:val="00924AD0"/>
    <w:rsid w:val="00934EEF"/>
    <w:rsid w:val="00936D3C"/>
    <w:rsid w:val="009439DB"/>
    <w:rsid w:val="00943EBE"/>
    <w:rsid w:val="009444D1"/>
    <w:rsid w:val="009445D1"/>
    <w:rsid w:val="00953D11"/>
    <w:rsid w:val="00954012"/>
    <w:rsid w:val="00963C82"/>
    <w:rsid w:val="00970A3E"/>
    <w:rsid w:val="00971098"/>
    <w:rsid w:val="00996C90"/>
    <w:rsid w:val="009A0F67"/>
    <w:rsid w:val="009A387A"/>
    <w:rsid w:val="009D3915"/>
    <w:rsid w:val="009F5012"/>
    <w:rsid w:val="00A05161"/>
    <w:rsid w:val="00A06690"/>
    <w:rsid w:val="00A1126B"/>
    <w:rsid w:val="00A14734"/>
    <w:rsid w:val="00A14989"/>
    <w:rsid w:val="00A36890"/>
    <w:rsid w:val="00A37408"/>
    <w:rsid w:val="00A40F55"/>
    <w:rsid w:val="00A460FA"/>
    <w:rsid w:val="00A5343A"/>
    <w:rsid w:val="00A62C71"/>
    <w:rsid w:val="00A71E7A"/>
    <w:rsid w:val="00A72B03"/>
    <w:rsid w:val="00A81D8C"/>
    <w:rsid w:val="00A92D00"/>
    <w:rsid w:val="00AB467B"/>
    <w:rsid w:val="00AB508A"/>
    <w:rsid w:val="00AB5C95"/>
    <w:rsid w:val="00AB5E9D"/>
    <w:rsid w:val="00AC4F38"/>
    <w:rsid w:val="00AC751A"/>
    <w:rsid w:val="00AD0C7D"/>
    <w:rsid w:val="00AD23DC"/>
    <w:rsid w:val="00AD549A"/>
    <w:rsid w:val="00AE0391"/>
    <w:rsid w:val="00AE16F6"/>
    <w:rsid w:val="00AE49E4"/>
    <w:rsid w:val="00B045C5"/>
    <w:rsid w:val="00B12318"/>
    <w:rsid w:val="00B22C99"/>
    <w:rsid w:val="00B2799B"/>
    <w:rsid w:val="00B3119A"/>
    <w:rsid w:val="00B37706"/>
    <w:rsid w:val="00B43B24"/>
    <w:rsid w:val="00B454F4"/>
    <w:rsid w:val="00B46D41"/>
    <w:rsid w:val="00B46DBE"/>
    <w:rsid w:val="00B50A3A"/>
    <w:rsid w:val="00B55B99"/>
    <w:rsid w:val="00B60BFB"/>
    <w:rsid w:val="00B621DB"/>
    <w:rsid w:val="00B75676"/>
    <w:rsid w:val="00B76492"/>
    <w:rsid w:val="00B96E07"/>
    <w:rsid w:val="00BB0AC2"/>
    <w:rsid w:val="00BD30AC"/>
    <w:rsid w:val="00BD4FA9"/>
    <w:rsid w:val="00C06340"/>
    <w:rsid w:val="00C07B12"/>
    <w:rsid w:val="00C1571B"/>
    <w:rsid w:val="00C164FC"/>
    <w:rsid w:val="00C17F86"/>
    <w:rsid w:val="00C20871"/>
    <w:rsid w:val="00C332E6"/>
    <w:rsid w:val="00C42A33"/>
    <w:rsid w:val="00C436DA"/>
    <w:rsid w:val="00C4611C"/>
    <w:rsid w:val="00C542E1"/>
    <w:rsid w:val="00C54457"/>
    <w:rsid w:val="00C82615"/>
    <w:rsid w:val="00C84BAC"/>
    <w:rsid w:val="00CA0BCC"/>
    <w:rsid w:val="00CA1529"/>
    <w:rsid w:val="00CB0BCA"/>
    <w:rsid w:val="00CB4F1E"/>
    <w:rsid w:val="00CC05F9"/>
    <w:rsid w:val="00CE6EDA"/>
    <w:rsid w:val="00CE79B2"/>
    <w:rsid w:val="00CF4838"/>
    <w:rsid w:val="00CF4DED"/>
    <w:rsid w:val="00CF5742"/>
    <w:rsid w:val="00CF5A78"/>
    <w:rsid w:val="00D00346"/>
    <w:rsid w:val="00D00F4E"/>
    <w:rsid w:val="00D31381"/>
    <w:rsid w:val="00D40322"/>
    <w:rsid w:val="00D45E27"/>
    <w:rsid w:val="00D47477"/>
    <w:rsid w:val="00D56E51"/>
    <w:rsid w:val="00D56F58"/>
    <w:rsid w:val="00D57BFB"/>
    <w:rsid w:val="00D87A28"/>
    <w:rsid w:val="00D93F96"/>
    <w:rsid w:val="00DB1236"/>
    <w:rsid w:val="00DB2384"/>
    <w:rsid w:val="00DB3F2E"/>
    <w:rsid w:val="00DB7EFB"/>
    <w:rsid w:val="00DC0885"/>
    <w:rsid w:val="00DD5F0D"/>
    <w:rsid w:val="00DE59AC"/>
    <w:rsid w:val="00DF008E"/>
    <w:rsid w:val="00DF50CE"/>
    <w:rsid w:val="00E10750"/>
    <w:rsid w:val="00E12FD3"/>
    <w:rsid w:val="00E377A8"/>
    <w:rsid w:val="00E4178C"/>
    <w:rsid w:val="00E436F8"/>
    <w:rsid w:val="00E4391A"/>
    <w:rsid w:val="00E511A0"/>
    <w:rsid w:val="00E51206"/>
    <w:rsid w:val="00E532BD"/>
    <w:rsid w:val="00E60B53"/>
    <w:rsid w:val="00E61307"/>
    <w:rsid w:val="00E865A4"/>
    <w:rsid w:val="00E97CE2"/>
    <w:rsid w:val="00EA2FF5"/>
    <w:rsid w:val="00EA6FF6"/>
    <w:rsid w:val="00EB4875"/>
    <w:rsid w:val="00EC51CC"/>
    <w:rsid w:val="00ED74FD"/>
    <w:rsid w:val="00EE1CF3"/>
    <w:rsid w:val="00EE678A"/>
    <w:rsid w:val="00F009B4"/>
    <w:rsid w:val="00F064F3"/>
    <w:rsid w:val="00F07135"/>
    <w:rsid w:val="00F10314"/>
    <w:rsid w:val="00F10710"/>
    <w:rsid w:val="00F14DBD"/>
    <w:rsid w:val="00F2325B"/>
    <w:rsid w:val="00F27E23"/>
    <w:rsid w:val="00F32537"/>
    <w:rsid w:val="00F42C21"/>
    <w:rsid w:val="00F4747A"/>
    <w:rsid w:val="00F47602"/>
    <w:rsid w:val="00F60E36"/>
    <w:rsid w:val="00F62C75"/>
    <w:rsid w:val="00F71052"/>
    <w:rsid w:val="00F75698"/>
    <w:rsid w:val="00F83573"/>
    <w:rsid w:val="00F84827"/>
    <w:rsid w:val="00F90EED"/>
    <w:rsid w:val="00FA63E5"/>
    <w:rsid w:val="00FB490F"/>
    <w:rsid w:val="00FB6EA0"/>
    <w:rsid w:val="00FC2974"/>
    <w:rsid w:val="00FD52B3"/>
    <w:rsid w:val="00FE1C75"/>
    <w:rsid w:val="00FE6DA9"/>
    <w:rsid w:val="00FE7147"/>
    <w:rsid w:val="00FF1B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C2023C5-5F02-4999-9AE9-86808F03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11E"/>
    <w:pPr>
      <w:widowControl w:val="0"/>
      <w:autoSpaceDE w:val="0"/>
      <w:autoSpaceDN w:val="0"/>
      <w:adjustRightInd w:val="0"/>
      <w:spacing w:after="0" w:line="240" w:lineRule="auto"/>
    </w:pPr>
    <w:rPr>
      <w:rFonts w:ascii="Arial" w:eastAsiaTheme="minorEastAsia" w:hAnsi="Arial" w:cs="Arial"/>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2C711E"/>
    <w:rPr>
      <w:rFonts w:ascii="Times New Roman" w:hAnsi="Times New Roman"/>
      <w:shd w:val="clear" w:color="auto" w:fill="FFFFFF"/>
    </w:rPr>
  </w:style>
  <w:style w:type="paragraph" w:styleId="BodyText">
    <w:name w:val="Body Text"/>
    <w:basedOn w:val="Normal"/>
    <w:link w:val="BodyTextChar"/>
    <w:qFormat/>
    <w:rsid w:val="002C711E"/>
    <w:pPr>
      <w:shd w:val="clear" w:color="auto" w:fill="FFFFFF"/>
      <w:autoSpaceDE/>
      <w:autoSpaceDN/>
      <w:adjustRightInd/>
      <w:ind w:firstLine="20"/>
      <w:jc w:val="both"/>
    </w:pPr>
    <w:rPr>
      <w:rFonts w:ascii="Times New Roman" w:eastAsiaTheme="minorHAnsi" w:hAnsi="Times New Roman" w:cstheme="minorBidi"/>
      <w:sz w:val="22"/>
      <w:szCs w:val="22"/>
      <w:lang w:eastAsia="en-US"/>
    </w:rPr>
  </w:style>
  <w:style w:type="character" w:customStyle="1" w:styleId="BodyTextChar1">
    <w:name w:val="Body Text Char1"/>
    <w:basedOn w:val="DefaultParagraphFont"/>
    <w:uiPriority w:val="99"/>
    <w:semiHidden/>
    <w:rsid w:val="002C711E"/>
    <w:rPr>
      <w:rFonts w:ascii="Arial" w:eastAsiaTheme="minorEastAsia" w:hAnsi="Arial" w:cs="Arial"/>
      <w:sz w:val="20"/>
      <w:szCs w:val="20"/>
      <w:lang w:eastAsia="bg-BG"/>
    </w:rPr>
  </w:style>
  <w:style w:type="character" w:customStyle="1" w:styleId="BodyTextChar16">
    <w:name w:val="Body Text Char16"/>
    <w:basedOn w:val="DefaultParagraphFont"/>
    <w:uiPriority w:val="99"/>
    <w:semiHidden/>
    <w:rsid w:val="002C711E"/>
    <w:rPr>
      <w:rFonts w:ascii="Arial" w:hAnsi="Arial" w:cs="Arial"/>
      <w:sz w:val="20"/>
      <w:szCs w:val="20"/>
    </w:rPr>
  </w:style>
  <w:style w:type="character" w:customStyle="1" w:styleId="BodyTextChar15">
    <w:name w:val="Body Text Char15"/>
    <w:basedOn w:val="DefaultParagraphFont"/>
    <w:uiPriority w:val="99"/>
    <w:semiHidden/>
    <w:rsid w:val="002C711E"/>
    <w:rPr>
      <w:rFonts w:ascii="Arial" w:hAnsi="Arial" w:cs="Arial"/>
      <w:sz w:val="20"/>
      <w:szCs w:val="20"/>
    </w:rPr>
  </w:style>
  <w:style w:type="character" w:customStyle="1" w:styleId="BodyTextChar14">
    <w:name w:val="Body Text Char14"/>
    <w:basedOn w:val="DefaultParagraphFont"/>
    <w:uiPriority w:val="99"/>
    <w:semiHidden/>
    <w:rsid w:val="002C711E"/>
    <w:rPr>
      <w:rFonts w:ascii="Arial" w:hAnsi="Arial" w:cs="Arial"/>
      <w:sz w:val="20"/>
      <w:szCs w:val="20"/>
    </w:rPr>
  </w:style>
  <w:style w:type="character" w:customStyle="1" w:styleId="BodyTextChar13">
    <w:name w:val="Body Text Char13"/>
    <w:basedOn w:val="DefaultParagraphFont"/>
    <w:uiPriority w:val="99"/>
    <w:semiHidden/>
    <w:rsid w:val="002C711E"/>
    <w:rPr>
      <w:rFonts w:ascii="Arial" w:hAnsi="Arial" w:cs="Arial"/>
      <w:sz w:val="20"/>
      <w:szCs w:val="20"/>
    </w:rPr>
  </w:style>
  <w:style w:type="character" w:customStyle="1" w:styleId="BodyTextChar12">
    <w:name w:val="Body Text Char12"/>
    <w:basedOn w:val="DefaultParagraphFont"/>
    <w:uiPriority w:val="99"/>
    <w:semiHidden/>
    <w:rsid w:val="002C711E"/>
    <w:rPr>
      <w:rFonts w:ascii="Arial" w:hAnsi="Arial" w:cs="Arial"/>
      <w:sz w:val="20"/>
      <w:szCs w:val="20"/>
    </w:rPr>
  </w:style>
  <w:style w:type="character" w:customStyle="1" w:styleId="BodyTextChar11">
    <w:name w:val="Body Text Char11"/>
    <w:basedOn w:val="DefaultParagraphFont"/>
    <w:uiPriority w:val="99"/>
    <w:semiHidden/>
    <w:rsid w:val="002C711E"/>
    <w:rPr>
      <w:rFonts w:ascii="Arial" w:hAnsi="Arial" w:cs="Arial"/>
      <w:sz w:val="20"/>
      <w:szCs w:val="20"/>
    </w:rPr>
  </w:style>
  <w:style w:type="character" w:customStyle="1" w:styleId="Bodytext3">
    <w:name w:val="Body text (3)_"/>
    <w:link w:val="Bodytext30"/>
    <w:locked/>
    <w:rsid w:val="002C711E"/>
    <w:rPr>
      <w:rFonts w:ascii="Times New Roman" w:hAnsi="Times New Roman"/>
      <w:sz w:val="32"/>
      <w:shd w:val="clear" w:color="auto" w:fill="FFFFFF"/>
    </w:rPr>
  </w:style>
  <w:style w:type="paragraph" w:customStyle="1" w:styleId="Bodytext30">
    <w:name w:val="Body text (3)"/>
    <w:basedOn w:val="Normal"/>
    <w:link w:val="Bodytext3"/>
    <w:rsid w:val="002C711E"/>
    <w:pPr>
      <w:shd w:val="clear" w:color="auto" w:fill="FFFFFF"/>
      <w:autoSpaceDE/>
      <w:autoSpaceDN/>
      <w:adjustRightInd/>
      <w:jc w:val="center"/>
    </w:pPr>
    <w:rPr>
      <w:rFonts w:ascii="Times New Roman" w:eastAsiaTheme="minorHAnsi" w:hAnsi="Times New Roman" w:cstheme="minorBidi"/>
      <w:sz w:val="32"/>
      <w:szCs w:val="22"/>
      <w:lang w:eastAsia="en-US"/>
    </w:rPr>
  </w:style>
  <w:style w:type="paragraph" w:styleId="NormalWeb">
    <w:name w:val="Normal (Web)"/>
    <w:basedOn w:val="Normal"/>
    <w:uiPriority w:val="99"/>
    <w:rsid w:val="002C711E"/>
    <w:pPr>
      <w:widowControl/>
      <w:autoSpaceDE/>
      <w:autoSpaceDN/>
      <w:adjustRightInd/>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2C711E"/>
    <w:pPr>
      <w:widowControl/>
      <w:autoSpaceDE/>
      <w:autoSpaceDN/>
      <w:adjustRightInd/>
      <w:ind w:left="720"/>
      <w:contextualSpacing/>
    </w:pPr>
    <w:rPr>
      <w:rFonts w:ascii="Times New Roman" w:eastAsia="Times New Roman" w:hAnsi="Times New Roman" w:cs="Times New Roman"/>
      <w:lang w:val="en-AU"/>
    </w:rPr>
  </w:style>
  <w:style w:type="paragraph" w:customStyle="1" w:styleId="Default">
    <w:name w:val="Default"/>
    <w:rsid w:val="002C711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rsid w:val="002C711E"/>
    <w:rPr>
      <w:color w:val="0000FF"/>
      <w:u w:val="single"/>
    </w:rPr>
  </w:style>
  <w:style w:type="paragraph" w:customStyle="1" w:styleId="ti-art">
    <w:name w:val="ti-art"/>
    <w:basedOn w:val="Normal"/>
    <w:rsid w:val="000C7BD7"/>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sti-art">
    <w:name w:val="sti-art"/>
    <w:basedOn w:val="Normal"/>
    <w:rsid w:val="000C7BD7"/>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Normal1">
    <w:name w:val="Normal1"/>
    <w:basedOn w:val="Normal"/>
    <w:rsid w:val="000C7BD7"/>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4C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C43"/>
    <w:rPr>
      <w:rFonts w:ascii="Segoe UI" w:eastAsiaTheme="minorEastAsia" w:hAnsi="Segoe UI" w:cs="Segoe UI"/>
      <w:sz w:val="18"/>
      <w:szCs w:val="18"/>
      <w:lang w:eastAsia="bg-BG"/>
    </w:rPr>
  </w:style>
  <w:style w:type="paragraph" w:styleId="BodyText2">
    <w:name w:val="Body Text 2"/>
    <w:basedOn w:val="Normal"/>
    <w:link w:val="BodyText2Char"/>
    <w:uiPriority w:val="99"/>
    <w:semiHidden/>
    <w:unhideWhenUsed/>
    <w:rsid w:val="00C20871"/>
    <w:pPr>
      <w:spacing w:after="120" w:line="480" w:lineRule="auto"/>
    </w:pPr>
  </w:style>
  <w:style w:type="character" w:customStyle="1" w:styleId="BodyText2Char">
    <w:name w:val="Body Text 2 Char"/>
    <w:basedOn w:val="DefaultParagraphFont"/>
    <w:link w:val="BodyText2"/>
    <w:uiPriority w:val="99"/>
    <w:semiHidden/>
    <w:rsid w:val="00C20871"/>
    <w:rPr>
      <w:rFonts w:ascii="Arial" w:eastAsiaTheme="minorEastAsia" w:hAnsi="Arial" w:cs="Arial"/>
      <w:sz w:val="20"/>
      <w:szCs w:val="20"/>
      <w:lang w:eastAsia="bg-BG"/>
    </w:rPr>
  </w:style>
  <w:style w:type="paragraph" w:customStyle="1" w:styleId="m">
    <w:name w:val="m"/>
    <w:basedOn w:val="Normal"/>
    <w:rsid w:val="00C20871"/>
    <w:pPr>
      <w:widowControl/>
      <w:autoSpaceDE/>
      <w:autoSpaceDN/>
      <w:adjustRightInd/>
      <w:ind w:firstLine="826"/>
      <w:jc w:val="both"/>
    </w:pPr>
    <w:rPr>
      <w:rFonts w:ascii="Times New Roman" w:eastAsia="Times New Roman" w:hAnsi="Times New Roman" w:cs="Times New Roman"/>
      <w:color w:val="000000"/>
      <w:sz w:val="24"/>
      <w:szCs w:val="24"/>
    </w:rPr>
  </w:style>
  <w:style w:type="character" w:customStyle="1" w:styleId="Heading1">
    <w:name w:val="Heading #1_"/>
    <w:basedOn w:val="DefaultParagraphFont"/>
    <w:link w:val="Heading10"/>
    <w:rsid w:val="00DF50CE"/>
    <w:rPr>
      <w:rFonts w:ascii="Times New Roman" w:eastAsia="Times New Roman" w:hAnsi="Times New Roman" w:cs="Times New Roman"/>
      <w:b/>
      <w:bCs/>
      <w:shd w:val="clear" w:color="auto" w:fill="FFFFFF"/>
    </w:rPr>
  </w:style>
  <w:style w:type="paragraph" w:customStyle="1" w:styleId="Heading10">
    <w:name w:val="Heading #1"/>
    <w:basedOn w:val="Normal"/>
    <w:link w:val="Heading1"/>
    <w:rsid w:val="00DF50CE"/>
    <w:pPr>
      <w:shd w:val="clear" w:color="auto" w:fill="FFFFFF"/>
      <w:autoSpaceDE/>
      <w:autoSpaceDN/>
      <w:adjustRightInd/>
      <w:spacing w:after="260"/>
      <w:ind w:left="220" w:firstLine="360"/>
      <w:jc w:val="both"/>
      <w:outlineLvl w:val="0"/>
    </w:pPr>
    <w:rPr>
      <w:rFonts w:ascii="Times New Roman" w:eastAsia="Times New Roman" w:hAnsi="Times New Roman" w:cs="Times New Roman"/>
      <w:b/>
      <w:bCs/>
      <w:sz w:val="22"/>
      <w:szCs w:val="22"/>
      <w:lang w:eastAsia="en-US"/>
    </w:rPr>
  </w:style>
  <w:style w:type="character" w:customStyle="1" w:styleId="notranslate">
    <w:name w:val="notranslate"/>
    <w:basedOn w:val="DefaultParagraphFont"/>
    <w:rsid w:val="00DF50CE"/>
  </w:style>
  <w:style w:type="character" w:styleId="CommentReference">
    <w:name w:val="annotation reference"/>
    <w:basedOn w:val="DefaultParagraphFont"/>
    <w:uiPriority w:val="99"/>
    <w:semiHidden/>
    <w:unhideWhenUsed/>
    <w:rsid w:val="00DD5F0D"/>
    <w:rPr>
      <w:sz w:val="16"/>
      <w:szCs w:val="16"/>
    </w:rPr>
  </w:style>
  <w:style w:type="paragraph" w:styleId="CommentText">
    <w:name w:val="annotation text"/>
    <w:basedOn w:val="Normal"/>
    <w:link w:val="CommentTextChar"/>
    <w:uiPriority w:val="99"/>
    <w:semiHidden/>
    <w:unhideWhenUsed/>
    <w:rsid w:val="00DD5F0D"/>
  </w:style>
  <w:style w:type="character" w:customStyle="1" w:styleId="CommentTextChar">
    <w:name w:val="Comment Text Char"/>
    <w:basedOn w:val="DefaultParagraphFont"/>
    <w:link w:val="CommentText"/>
    <w:uiPriority w:val="99"/>
    <w:semiHidden/>
    <w:rsid w:val="00DD5F0D"/>
    <w:rPr>
      <w:rFonts w:ascii="Arial" w:eastAsiaTheme="minorEastAsia" w:hAnsi="Arial" w:cs="Arial"/>
      <w:sz w:val="20"/>
      <w:szCs w:val="20"/>
      <w:lang w:eastAsia="bg-BG"/>
    </w:rPr>
  </w:style>
  <w:style w:type="paragraph" w:styleId="CommentSubject">
    <w:name w:val="annotation subject"/>
    <w:basedOn w:val="CommentText"/>
    <w:next w:val="CommentText"/>
    <w:link w:val="CommentSubjectChar"/>
    <w:uiPriority w:val="99"/>
    <w:semiHidden/>
    <w:unhideWhenUsed/>
    <w:rsid w:val="00DD5F0D"/>
    <w:rPr>
      <w:b/>
      <w:bCs/>
    </w:rPr>
  </w:style>
  <w:style w:type="character" w:customStyle="1" w:styleId="CommentSubjectChar">
    <w:name w:val="Comment Subject Char"/>
    <w:basedOn w:val="CommentTextChar"/>
    <w:link w:val="CommentSubject"/>
    <w:uiPriority w:val="99"/>
    <w:semiHidden/>
    <w:rsid w:val="00DD5F0D"/>
    <w:rPr>
      <w:rFonts w:ascii="Arial" w:eastAsiaTheme="minorEastAsia" w:hAnsi="Arial" w:cs="Arial"/>
      <w:b/>
      <w:bCs/>
      <w:sz w:val="20"/>
      <w:szCs w:val="20"/>
      <w:lang w:eastAsia="bg-BG"/>
    </w:rPr>
  </w:style>
  <w:style w:type="paragraph" w:styleId="Header">
    <w:name w:val="header"/>
    <w:basedOn w:val="Normal"/>
    <w:link w:val="HeaderChar"/>
    <w:uiPriority w:val="99"/>
    <w:unhideWhenUsed/>
    <w:rsid w:val="00AD549A"/>
    <w:pPr>
      <w:tabs>
        <w:tab w:val="center" w:pos="4536"/>
        <w:tab w:val="right" w:pos="9072"/>
      </w:tabs>
    </w:pPr>
  </w:style>
  <w:style w:type="character" w:customStyle="1" w:styleId="HeaderChar">
    <w:name w:val="Header Char"/>
    <w:basedOn w:val="DefaultParagraphFont"/>
    <w:link w:val="Header"/>
    <w:uiPriority w:val="99"/>
    <w:rsid w:val="00AD549A"/>
    <w:rPr>
      <w:rFonts w:ascii="Arial" w:eastAsiaTheme="minorEastAsia" w:hAnsi="Arial" w:cs="Arial"/>
      <w:sz w:val="20"/>
      <w:szCs w:val="20"/>
      <w:lang w:eastAsia="bg-BG"/>
    </w:rPr>
  </w:style>
  <w:style w:type="paragraph" w:styleId="Footer">
    <w:name w:val="footer"/>
    <w:basedOn w:val="Normal"/>
    <w:link w:val="FooterChar"/>
    <w:uiPriority w:val="99"/>
    <w:unhideWhenUsed/>
    <w:rsid w:val="00AD549A"/>
    <w:pPr>
      <w:tabs>
        <w:tab w:val="center" w:pos="4536"/>
        <w:tab w:val="right" w:pos="9072"/>
      </w:tabs>
    </w:pPr>
  </w:style>
  <w:style w:type="character" w:customStyle="1" w:styleId="FooterChar">
    <w:name w:val="Footer Char"/>
    <w:basedOn w:val="DefaultParagraphFont"/>
    <w:link w:val="Footer"/>
    <w:uiPriority w:val="99"/>
    <w:rsid w:val="00AD549A"/>
    <w:rPr>
      <w:rFonts w:ascii="Arial" w:eastAsiaTheme="minorEastAsia" w:hAnsi="Arial" w:cs="Arial"/>
      <w:sz w:val="20"/>
      <w:szCs w:val="20"/>
      <w:lang w:eastAsia="bg-BG"/>
    </w:rPr>
  </w:style>
  <w:style w:type="paragraph" w:styleId="NoSpacing">
    <w:name w:val="No Spacing"/>
    <w:link w:val="NoSpacingChar"/>
    <w:uiPriority w:val="1"/>
    <w:qFormat/>
    <w:rsid w:val="00BD4FA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D4FA9"/>
    <w:rPr>
      <w:rFonts w:eastAsiaTheme="minorEastAsia"/>
      <w:lang w:val="en-US"/>
    </w:rPr>
  </w:style>
  <w:style w:type="paragraph" w:customStyle="1" w:styleId="ecl-paragraph">
    <w:name w:val="ecl-paragraph"/>
    <w:basedOn w:val="Normal"/>
    <w:rsid w:val="003E36D1"/>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83F5C"/>
    <w:rPr>
      <w:b/>
      <w:bCs/>
    </w:rPr>
  </w:style>
  <w:style w:type="character" w:customStyle="1" w:styleId="Bodytext20">
    <w:name w:val="Body text (2)_"/>
    <w:basedOn w:val="DefaultParagraphFont"/>
    <w:link w:val="Bodytext21"/>
    <w:rsid w:val="00744BA1"/>
    <w:rPr>
      <w:rFonts w:ascii="Arial" w:eastAsia="Arial" w:hAnsi="Arial" w:cs="Arial"/>
      <w:shd w:val="clear" w:color="auto" w:fill="FFFFFF"/>
    </w:rPr>
  </w:style>
  <w:style w:type="paragraph" w:customStyle="1" w:styleId="Bodytext21">
    <w:name w:val="Body text (2)"/>
    <w:basedOn w:val="Normal"/>
    <w:link w:val="Bodytext20"/>
    <w:rsid w:val="00744BA1"/>
    <w:pPr>
      <w:shd w:val="clear" w:color="auto" w:fill="FFFFFF"/>
      <w:autoSpaceDE/>
      <w:autoSpaceDN/>
      <w:adjustRightInd/>
      <w:ind w:left="760" w:hanging="340"/>
      <w:jc w:val="both"/>
    </w:pPr>
    <w:rPr>
      <w:rFonts w:eastAsia="Arial"/>
      <w:sz w:val="22"/>
      <w:szCs w:val="22"/>
      <w:lang w:eastAsia="en-US"/>
    </w:rPr>
  </w:style>
  <w:style w:type="paragraph" w:customStyle="1" w:styleId="FinTech2">
    <w:name w:val="FinTech2"/>
    <w:basedOn w:val="ListParagraph"/>
    <w:link w:val="FinTech2Char"/>
    <w:qFormat/>
    <w:rsid w:val="00744BA1"/>
    <w:pPr>
      <w:numPr>
        <w:numId w:val="21"/>
      </w:numPr>
      <w:tabs>
        <w:tab w:val="left" w:pos="1560"/>
      </w:tabs>
      <w:spacing w:before="120"/>
      <w:ind w:left="1134" w:firstLine="0"/>
      <w:jc w:val="both"/>
    </w:pPr>
    <w:rPr>
      <w:rFonts w:eastAsia="Calibri"/>
      <w:b/>
      <w:sz w:val="24"/>
      <w:szCs w:val="24"/>
      <w:lang w:val="bg-BG" w:eastAsia="en-US"/>
    </w:rPr>
  </w:style>
  <w:style w:type="character" w:customStyle="1" w:styleId="FinTech2Char">
    <w:name w:val="FinTech2 Char"/>
    <w:basedOn w:val="DefaultParagraphFont"/>
    <w:link w:val="FinTech2"/>
    <w:rsid w:val="00744BA1"/>
    <w:rPr>
      <w:rFonts w:ascii="Times New Roman" w:eastAsia="Calibri" w:hAnsi="Times New Roman" w:cs="Times New Roman"/>
      <w:b/>
      <w:sz w:val="24"/>
      <w:szCs w:val="24"/>
    </w:rPr>
  </w:style>
  <w:style w:type="paragraph" w:styleId="Revision">
    <w:name w:val="Revision"/>
    <w:hidden/>
    <w:uiPriority w:val="99"/>
    <w:semiHidden/>
    <w:rsid w:val="00425971"/>
    <w:pPr>
      <w:spacing w:after="0" w:line="240" w:lineRule="auto"/>
    </w:pPr>
    <w:rPr>
      <w:rFonts w:ascii="Arial" w:eastAsiaTheme="minorEastAsia" w:hAnsi="Arial" w:cs="Arial"/>
      <w:sz w:val="20"/>
      <w:szCs w:val="20"/>
      <w:lang w:eastAsia="bg-BG"/>
    </w:rPr>
  </w:style>
  <w:style w:type="paragraph" w:customStyle="1" w:styleId="FinTech1">
    <w:name w:val="FinTech1"/>
    <w:basedOn w:val="ListParagraph"/>
    <w:link w:val="FinTech1Char"/>
    <w:qFormat/>
    <w:rsid w:val="008212B7"/>
    <w:pPr>
      <w:numPr>
        <w:numId w:val="24"/>
      </w:numPr>
      <w:spacing w:before="120" w:after="160"/>
      <w:jc w:val="both"/>
    </w:pPr>
    <w:rPr>
      <w:rFonts w:eastAsiaTheme="minorHAnsi" w:cstheme="minorBidi"/>
      <w:b/>
      <w:caps/>
      <w:sz w:val="24"/>
      <w:szCs w:val="22"/>
      <w:lang w:val="bg-BG" w:eastAsia="en-US"/>
    </w:rPr>
  </w:style>
  <w:style w:type="character" w:customStyle="1" w:styleId="FinTech1Char">
    <w:name w:val="FinTech1 Char"/>
    <w:basedOn w:val="DefaultParagraphFont"/>
    <w:link w:val="FinTech1"/>
    <w:rsid w:val="008212B7"/>
    <w:rPr>
      <w:rFonts w:ascii="Times New Roman" w:hAnsi="Times New Roman"/>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471769">
      <w:bodyDiv w:val="1"/>
      <w:marLeft w:val="0"/>
      <w:marRight w:val="0"/>
      <w:marTop w:val="0"/>
      <w:marBottom w:val="0"/>
      <w:divBdr>
        <w:top w:val="none" w:sz="0" w:space="0" w:color="auto"/>
        <w:left w:val="none" w:sz="0" w:space="0" w:color="auto"/>
        <w:bottom w:val="none" w:sz="0" w:space="0" w:color="auto"/>
        <w:right w:val="none" w:sz="0" w:space="0" w:color="auto"/>
      </w:divBdr>
    </w:div>
    <w:div w:id="391543869">
      <w:bodyDiv w:val="1"/>
      <w:marLeft w:val="0"/>
      <w:marRight w:val="0"/>
      <w:marTop w:val="0"/>
      <w:marBottom w:val="0"/>
      <w:divBdr>
        <w:top w:val="none" w:sz="0" w:space="0" w:color="auto"/>
        <w:left w:val="none" w:sz="0" w:space="0" w:color="auto"/>
        <w:bottom w:val="none" w:sz="0" w:space="0" w:color="auto"/>
        <w:right w:val="none" w:sz="0" w:space="0" w:color="auto"/>
      </w:divBdr>
    </w:div>
    <w:div w:id="862355139">
      <w:bodyDiv w:val="1"/>
      <w:marLeft w:val="0"/>
      <w:marRight w:val="0"/>
      <w:marTop w:val="0"/>
      <w:marBottom w:val="0"/>
      <w:divBdr>
        <w:top w:val="none" w:sz="0" w:space="0" w:color="auto"/>
        <w:left w:val="none" w:sz="0" w:space="0" w:color="auto"/>
        <w:bottom w:val="none" w:sz="0" w:space="0" w:color="auto"/>
        <w:right w:val="none" w:sz="0" w:space="0" w:color="auto"/>
      </w:divBdr>
    </w:div>
    <w:div w:id="983314772">
      <w:bodyDiv w:val="1"/>
      <w:marLeft w:val="0"/>
      <w:marRight w:val="0"/>
      <w:marTop w:val="0"/>
      <w:marBottom w:val="0"/>
      <w:divBdr>
        <w:top w:val="none" w:sz="0" w:space="0" w:color="auto"/>
        <w:left w:val="none" w:sz="0" w:space="0" w:color="auto"/>
        <w:bottom w:val="none" w:sz="0" w:space="0" w:color="auto"/>
        <w:right w:val="none" w:sz="0" w:space="0" w:color="auto"/>
      </w:divBdr>
    </w:div>
    <w:div w:id="1150558145">
      <w:bodyDiv w:val="1"/>
      <w:marLeft w:val="0"/>
      <w:marRight w:val="0"/>
      <w:marTop w:val="0"/>
      <w:marBottom w:val="0"/>
      <w:divBdr>
        <w:top w:val="none" w:sz="0" w:space="0" w:color="auto"/>
        <w:left w:val="none" w:sz="0" w:space="0" w:color="auto"/>
        <w:bottom w:val="none" w:sz="0" w:space="0" w:color="auto"/>
        <w:right w:val="none" w:sz="0" w:space="0" w:color="auto"/>
      </w:divBdr>
    </w:div>
    <w:div w:id="1214658180">
      <w:bodyDiv w:val="1"/>
      <w:marLeft w:val="0"/>
      <w:marRight w:val="0"/>
      <w:marTop w:val="0"/>
      <w:marBottom w:val="0"/>
      <w:divBdr>
        <w:top w:val="none" w:sz="0" w:space="0" w:color="auto"/>
        <w:left w:val="none" w:sz="0" w:space="0" w:color="auto"/>
        <w:bottom w:val="none" w:sz="0" w:space="0" w:color="auto"/>
        <w:right w:val="none" w:sz="0" w:space="0" w:color="auto"/>
      </w:divBdr>
    </w:div>
    <w:div w:id="1440874698">
      <w:bodyDiv w:val="1"/>
      <w:marLeft w:val="0"/>
      <w:marRight w:val="0"/>
      <w:marTop w:val="0"/>
      <w:marBottom w:val="0"/>
      <w:divBdr>
        <w:top w:val="none" w:sz="0" w:space="0" w:color="auto"/>
        <w:left w:val="none" w:sz="0" w:space="0" w:color="auto"/>
        <w:bottom w:val="none" w:sz="0" w:space="0" w:color="auto"/>
        <w:right w:val="none" w:sz="0" w:space="0" w:color="auto"/>
      </w:divBdr>
    </w:div>
    <w:div w:id="21031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apis://Base=APEV&amp;CELEX=32011L0061&amp;Type=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APEV&amp;CELEX=32009L0065&amp;Type=2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pis://Base=APEV&amp;CELEX=32002L0092&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4L0091&amp;Type=201/" TargetMode="External"/><Relationship Id="rId5" Type="http://schemas.openxmlformats.org/officeDocument/2006/relationships/webSettings" Target="webSettings.xml"/><Relationship Id="rId15" Type="http://schemas.openxmlformats.org/officeDocument/2006/relationships/hyperlink" Target="apis://Base=APEV&amp;CELEX=32009L0065&amp;Type=201/" TargetMode="External"/><Relationship Id="rId10" Type="http://schemas.openxmlformats.org/officeDocument/2006/relationships/hyperlink" Target="apis://Base=APEV&amp;CELEX=32009L0065&amp;Type=201/" TargetMode="External"/><Relationship Id="rId4" Type="http://schemas.openxmlformats.org/officeDocument/2006/relationships/settings" Target="settings.xml"/><Relationship Id="rId9" Type="http://schemas.openxmlformats.org/officeDocument/2006/relationships/hyperlink" Target="http://www.fsc.bg" TargetMode="External"/><Relationship Id="rId14" Type="http://schemas.openxmlformats.org/officeDocument/2006/relationships/hyperlink" Target="apis://Base=APEV&amp;CELEX=32003L0041&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F85DF-81A7-4216-9B51-7CC8DE08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32</Pages>
  <Words>15188</Words>
  <Characters>86578</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Stefanova</dc:creator>
  <cp:keywords/>
  <dc:description/>
  <cp:lastModifiedBy>Martina M. Malcheva</cp:lastModifiedBy>
  <cp:revision>24</cp:revision>
  <dcterms:created xsi:type="dcterms:W3CDTF">2018-06-14T12:13:00Z</dcterms:created>
  <dcterms:modified xsi:type="dcterms:W3CDTF">2018-06-28T13:58:00Z</dcterms:modified>
</cp:coreProperties>
</file>