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10268"/>
      </w:tblGrid>
      <w:tr w:rsidR="008503CB" w:rsidRPr="00CD0016" w:rsidTr="00C057E1">
        <w:trPr>
          <w:trHeight w:val="275"/>
        </w:trPr>
        <w:tc>
          <w:tcPr>
            <w:tcW w:w="647" w:type="dxa"/>
          </w:tcPr>
          <w:p w:rsidR="008503CB" w:rsidRPr="003F6B51" w:rsidRDefault="008503CB" w:rsidP="003F6B51">
            <w:pPr>
              <w:spacing w:after="0"/>
              <w:rPr>
                <w:rFonts w:ascii="Times New Roman" w:hAnsi="Times New Roman" w:cs="Times New Roman"/>
                <w:sz w:val="20"/>
                <w:szCs w:val="20"/>
                <w:lang w:val="bg-BG"/>
              </w:rPr>
            </w:pPr>
            <w:bookmarkStart w:id="0" w:name="_GoBack"/>
            <w:bookmarkEnd w:id="0"/>
          </w:p>
        </w:tc>
        <w:tc>
          <w:tcPr>
            <w:tcW w:w="10268" w:type="dxa"/>
            <w:shd w:val="clear" w:color="auto" w:fill="auto"/>
          </w:tcPr>
          <w:p w:rsidR="00301C7D" w:rsidRPr="00EC1BE2" w:rsidRDefault="00EB4E3E" w:rsidP="003F6B51">
            <w:pPr>
              <w:spacing w:after="0"/>
              <w:rPr>
                <w:rFonts w:ascii="Times New Roman" w:eastAsia="Calibri" w:hAnsi="Times New Roman" w:cs="Times New Roman"/>
                <w:b/>
                <w:bCs/>
                <w:sz w:val="20"/>
                <w:szCs w:val="20"/>
                <w:lang w:val="bg-BG"/>
              </w:rPr>
            </w:pPr>
            <w:r>
              <w:rPr>
                <w:rFonts w:ascii="Times New Roman" w:eastAsia="Calibri" w:hAnsi="Times New Roman" w:cs="Times New Roman"/>
                <w:b/>
                <w:bCs/>
                <w:sz w:val="20"/>
                <w:szCs w:val="20"/>
                <w:lang w:val="bg-BG"/>
              </w:rPr>
              <w:pict>
                <v:rect id="_x0000_i1025" style="width:0;height:1.5pt" o:hralign="center" o:hrstd="t" o:hr="t" fillcolor="#d5d5d5" stroked="f"/>
              </w:pict>
            </w:r>
          </w:p>
          <w:p w:rsidR="00EC7D98" w:rsidRPr="00C169EC" w:rsidRDefault="00EC7D98" w:rsidP="00EC7D98">
            <w:pPr>
              <w:spacing w:after="0"/>
              <w:jc w:val="center"/>
              <w:rPr>
                <w:rFonts w:ascii="Times New Roman" w:eastAsia="Calibri" w:hAnsi="Times New Roman" w:cs="Times New Roman"/>
                <w:b/>
                <w:bCs/>
                <w:sz w:val="20"/>
                <w:szCs w:val="20"/>
                <w:lang w:val="bg-BG"/>
              </w:rPr>
            </w:pPr>
            <w:r w:rsidRPr="00C169EC">
              <w:rPr>
                <w:rFonts w:ascii="Times New Roman" w:eastAsia="Calibri" w:hAnsi="Times New Roman" w:cs="Times New Roman"/>
                <w:b/>
                <w:bCs/>
                <w:sz w:val="20"/>
                <w:szCs w:val="20"/>
                <w:lang w:val="bg-BG"/>
              </w:rPr>
              <w:t>ПРОСПЕКТ ЗА ПЪРВИЧНО ПУБЛИЧНО ПРЕДЛАГАНЕ</w:t>
            </w:r>
          </w:p>
          <w:p w:rsidR="00301C7D" w:rsidRPr="00EC1BE2" w:rsidRDefault="00EC7D98" w:rsidP="003F6B51">
            <w:pPr>
              <w:spacing w:after="0"/>
              <w:jc w:val="center"/>
              <w:rPr>
                <w:rFonts w:ascii="Times New Roman" w:eastAsia="Calibri" w:hAnsi="Times New Roman" w:cs="Times New Roman"/>
                <w:b/>
                <w:sz w:val="20"/>
                <w:szCs w:val="20"/>
                <w:lang w:val="bg-BG"/>
              </w:rPr>
            </w:pPr>
            <w:r w:rsidRPr="00C169EC">
              <w:rPr>
                <w:rFonts w:ascii="Times New Roman" w:eastAsia="Calibri" w:hAnsi="Times New Roman" w:cs="Times New Roman"/>
                <w:b/>
                <w:bCs/>
                <w:sz w:val="20"/>
                <w:szCs w:val="20"/>
                <w:lang w:val="bg-BG"/>
              </w:rPr>
              <w:t>НА 150 000 БР. ОБИКНОВЕНИ, ПОИМЕННИ, БЕЗНАЛИЧНИ АКЦИИ ОТ ПЪРВОНАЧАЛНОТО УВЕЛИЧЕНИЕ НА КАПИТАЛА НА ГЛЕНМООР КЕПИТАЛ АДСИЦ, ISIN:  BG1100006177</w:t>
            </w:r>
            <w:r w:rsidR="00EB4E3E">
              <w:rPr>
                <w:rFonts w:ascii="Times New Roman" w:eastAsia="Calibri" w:hAnsi="Times New Roman" w:cs="Times New Roman"/>
                <w:b/>
                <w:sz w:val="20"/>
                <w:szCs w:val="20"/>
                <w:lang w:val="bg-BG"/>
              </w:rPr>
              <w:pict>
                <v:rect id="_x0000_i1026" style="width:0;height:1.5pt" o:hralign="center" o:hrstd="t" o:hr="t" fillcolor="#d5d5d5" stroked="f"/>
              </w:pict>
            </w:r>
            <w:bookmarkStart w:id="1" w:name="_Toc294098158"/>
          </w:p>
          <w:p w:rsidR="00301C7D" w:rsidRPr="00C169EC" w:rsidRDefault="00582800" w:rsidP="003F6B51">
            <w:pPr>
              <w:keepNext/>
              <w:keepLines/>
              <w:spacing w:after="0"/>
              <w:jc w:val="center"/>
              <w:outlineLvl w:val="0"/>
              <w:rPr>
                <w:rFonts w:ascii="Times New Roman" w:eastAsia="Calibri" w:hAnsi="Times New Roman" w:cs="Times New Roman"/>
                <w:b/>
                <w:sz w:val="20"/>
                <w:szCs w:val="20"/>
                <w:lang w:val="bg-BG"/>
              </w:rPr>
            </w:pPr>
            <w:bookmarkStart w:id="2" w:name="_Toc294098159"/>
            <w:bookmarkEnd w:id="1"/>
            <w:r w:rsidRPr="00C169EC">
              <w:rPr>
                <w:rFonts w:ascii="Times New Roman" w:eastAsia="Calibri" w:hAnsi="Times New Roman" w:cs="Times New Roman"/>
                <w:b/>
                <w:sz w:val="20"/>
                <w:szCs w:val="20"/>
                <w:lang w:val="bg-BG"/>
              </w:rPr>
              <w:t xml:space="preserve">РЕЗЮМЕ      </w:t>
            </w:r>
          </w:p>
          <w:p w:rsidR="00301C7D" w:rsidRPr="00EC1BE2" w:rsidRDefault="00EB4E3E" w:rsidP="003F6B51">
            <w:pPr>
              <w:keepNext/>
              <w:keepLines/>
              <w:spacing w:after="0"/>
              <w:jc w:val="center"/>
              <w:outlineLvl w:val="0"/>
              <w:rPr>
                <w:rFonts w:ascii="Times New Roman" w:eastAsia="Calibri" w:hAnsi="Times New Roman" w:cs="Times New Roman"/>
                <w:b/>
                <w:color w:val="365F91"/>
                <w:sz w:val="20"/>
                <w:szCs w:val="20"/>
                <w:lang w:val="bg-BG"/>
              </w:rPr>
            </w:pPr>
            <w:r>
              <w:rPr>
                <w:rFonts w:ascii="Times New Roman" w:eastAsia="Calibri" w:hAnsi="Times New Roman" w:cs="Times New Roman"/>
                <w:b/>
                <w:color w:val="365F91"/>
                <w:sz w:val="20"/>
                <w:szCs w:val="20"/>
                <w:lang w:val="bg-BG"/>
              </w:rPr>
              <w:pict>
                <v:rect id="_x0000_i1027" style="width:0;height:1.5pt" o:hralign="center" o:hrstd="t" o:hr="t" fillcolor="#d5d5d5" stroked="f"/>
              </w:pict>
            </w:r>
            <w:bookmarkEnd w:id="2"/>
          </w:p>
          <w:p w:rsidR="00301C7D" w:rsidRPr="00C169EC" w:rsidRDefault="00DB7D7D" w:rsidP="00DB7D7D">
            <w:pPr>
              <w:keepNext/>
              <w:keepLines/>
              <w:spacing w:after="0"/>
              <w:jc w:val="center"/>
              <w:outlineLvl w:val="1"/>
              <w:rPr>
                <w:rFonts w:ascii="Times New Roman" w:hAnsi="Times New Roman" w:cs="Times New Roman"/>
                <w:sz w:val="20"/>
                <w:szCs w:val="20"/>
                <w:lang w:val="bg-BG"/>
              </w:rPr>
            </w:pPr>
            <w:r w:rsidRPr="00EB4E3E">
              <w:rPr>
                <w:rFonts w:ascii="Times New Roman" w:eastAsia="Calibri" w:hAnsi="Times New Roman" w:cs="Times New Roman"/>
                <w:b/>
                <w:sz w:val="20"/>
                <w:szCs w:val="20"/>
              </w:rPr>
              <w:t>14</w:t>
            </w:r>
            <w:r w:rsidR="00E4627D" w:rsidRPr="00EC1BE2">
              <w:rPr>
                <w:rFonts w:ascii="Times New Roman" w:eastAsia="Calibri" w:hAnsi="Times New Roman" w:cs="Times New Roman"/>
                <w:b/>
                <w:sz w:val="20"/>
                <w:szCs w:val="20"/>
                <w:lang w:val="bg-BG"/>
              </w:rPr>
              <w:t xml:space="preserve"> Ноември</w:t>
            </w:r>
            <w:r w:rsidR="00E4627D" w:rsidRPr="00C169EC">
              <w:rPr>
                <w:rFonts w:ascii="Times New Roman" w:eastAsia="Calibri" w:hAnsi="Times New Roman" w:cs="Times New Roman"/>
                <w:b/>
                <w:sz w:val="20"/>
                <w:szCs w:val="20"/>
                <w:lang w:val="bg-BG"/>
              </w:rPr>
              <w:t xml:space="preserve"> 2017 </w:t>
            </w:r>
            <w:proofErr w:type="spellStart"/>
            <w:r w:rsidR="00E4627D" w:rsidRPr="00C169EC">
              <w:rPr>
                <w:rFonts w:ascii="Times New Roman" w:eastAsia="Calibri" w:hAnsi="Times New Roman" w:cs="Times New Roman"/>
                <w:b/>
                <w:sz w:val="20"/>
                <w:szCs w:val="20"/>
                <w:lang w:val="bg-BG"/>
              </w:rPr>
              <w:t>годинa</w:t>
            </w:r>
            <w:proofErr w:type="spellEnd"/>
          </w:p>
        </w:tc>
      </w:tr>
      <w:tr w:rsidR="00090254" w:rsidRPr="00CD0016" w:rsidTr="00C057E1">
        <w:trPr>
          <w:trHeight w:val="275"/>
        </w:trPr>
        <w:tc>
          <w:tcPr>
            <w:tcW w:w="10915" w:type="dxa"/>
            <w:gridSpan w:val="2"/>
            <w:vAlign w:val="center"/>
          </w:tcPr>
          <w:p w:rsidR="00090254" w:rsidRPr="00CD0016" w:rsidRDefault="00582800" w:rsidP="003F6B51">
            <w:pPr>
              <w:keepNext/>
              <w:keepLines/>
              <w:spacing w:after="0"/>
              <w:jc w:val="center"/>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РАЗДЕЛ А – ВЪВЕДЕНИЕ И ПРЕДУПРЕЖДЕНИЯ</w:t>
            </w:r>
          </w:p>
        </w:tc>
      </w:tr>
      <w:tr w:rsidR="00301C7D" w:rsidRPr="00CD0016" w:rsidTr="00C057E1">
        <w:trPr>
          <w:trHeight w:val="275"/>
        </w:trPr>
        <w:tc>
          <w:tcPr>
            <w:tcW w:w="647" w:type="dxa"/>
          </w:tcPr>
          <w:p w:rsidR="00301C7D" w:rsidRPr="00CD0016" w:rsidRDefault="00582800" w:rsidP="003F6B51">
            <w:pPr>
              <w:keepNext/>
              <w:keepLines/>
              <w:spacing w:after="0"/>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A.1</w:t>
            </w:r>
          </w:p>
        </w:tc>
        <w:tc>
          <w:tcPr>
            <w:tcW w:w="10268" w:type="dxa"/>
            <w:shd w:val="clear" w:color="auto" w:fill="auto"/>
          </w:tcPr>
          <w:p w:rsidR="00301C7D" w:rsidRPr="00CD0016" w:rsidRDefault="00582800" w:rsidP="003F6B51">
            <w:pPr>
              <w:keepNext/>
              <w:keepLines/>
              <w:spacing w:after="0"/>
              <w:jc w:val="both"/>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Това резюме следва да се разглежда като въведение към проспекта. Всяко решение да се инвестира в ценните книжа следва да се основава на разглеждане на целия проспект от инвеститора. Когато е заведен иск във връзка със съдържащата се в проспекта информация, ищецът инвеститор може, съгласно съответното национално законодателство, да поеме разноските във връзка с превода на проспекта преди началото на съдебното производство. Носят гражданска отговорност само тези лица, които са изготвили резюмето, включително негов превод, в случай че то е подвеждащо, неточно, несъответстващо на останалите части на проспекта или, четено заедно с другите части на проспекта, не представя ключовата информация, която да подпомогне инвеститорите при  взимането на решение дали да инвестират в такива ценни книжа. </w:t>
            </w:r>
          </w:p>
        </w:tc>
      </w:tr>
      <w:tr w:rsidR="0010561D" w:rsidRPr="00CD0016" w:rsidTr="00C057E1">
        <w:trPr>
          <w:trHeight w:val="275"/>
        </w:trPr>
        <w:tc>
          <w:tcPr>
            <w:tcW w:w="647" w:type="dxa"/>
          </w:tcPr>
          <w:p w:rsidR="0010561D" w:rsidRPr="00CD0016" w:rsidRDefault="00582800" w:rsidP="003F6B51">
            <w:pPr>
              <w:keepNext/>
              <w:keepLines/>
              <w:spacing w:after="0"/>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А.2</w:t>
            </w:r>
          </w:p>
        </w:tc>
        <w:tc>
          <w:tcPr>
            <w:tcW w:w="10268" w:type="dxa"/>
            <w:shd w:val="clear" w:color="auto" w:fill="auto"/>
          </w:tcPr>
          <w:p w:rsidR="0010561D" w:rsidRPr="00CD0016" w:rsidRDefault="00582800" w:rsidP="003F6B51">
            <w:pPr>
              <w:keepNext/>
              <w:keepLines/>
              <w:spacing w:after="0"/>
              <w:jc w:val="both"/>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Емитентът, както и лицата, отговорни за съставянето на проспекта, предоставят своето съгласие за използване на проспекта при последваща препродажба или окончателно пласиране на ценни книжа, осъществени от финансови посредници. Съгласието по предходното изречение е валидно за периода до окончателното пласиране на ценните книжа.</w:t>
            </w:r>
          </w:p>
          <w:p w:rsidR="000352AC" w:rsidRPr="00CD0016" w:rsidRDefault="00582800" w:rsidP="003F6B51">
            <w:pPr>
              <w:keepNext/>
              <w:keepLines/>
              <w:spacing w:after="0"/>
              <w:jc w:val="both"/>
              <w:outlineLvl w:val="1"/>
              <w:rPr>
                <w:rFonts w:ascii="Times New Roman" w:hAnsi="Times New Roman" w:cs="Times New Roman"/>
                <w:b/>
                <w:sz w:val="20"/>
                <w:szCs w:val="20"/>
                <w:lang w:val="bg-BG"/>
              </w:rPr>
            </w:pPr>
            <w:r w:rsidRPr="00CD0016">
              <w:rPr>
                <w:rFonts w:ascii="Times New Roman" w:hAnsi="Times New Roman" w:cs="Times New Roman"/>
                <w:b/>
                <w:sz w:val="20"/>
                <w:szCs w:val="20"/>
                <w:lang w:val="bg-BG"/>
              </w:rPr>
              <w:t>Информацията относно условията и параметрите на офертата от всеки един финансов посредник се предоставя към момента на офертата от съответния финансов посредник.</w:t>
            </w:r>
          </w:p>
        </w:tc>
      </w:tr>
      <w:tr w:rsidR="006645B4" w:rsidRPr="00CD0016" w:rsidTr="00C057E1">
        <w:trPr>
          <w:trHeight w:val="275"/>
        </w:trPr>
        <w:tc>
          <w:tcPr>
            <w:tcW w:w="10915" w:type="dxa"/>
            <w:gridSpan w:val="2"/>
            <w:vAlign w:val="center"/>
          </w:tcPr>
          <w:p w:rsidR="006645B4" w:rsidRPr="00CD0016" w:rsidRDefault="00582800" w:rsidP="003F6B51">
            <w:pPr>
              <w:keepNext/>
              <w:keepLines/>
              <w:spacing w:after="0"/>
              <w:jc w:val="center"/>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РАЗДЕЛ Б - ЕМИТЕНТ</w:t>
            </w:r>
          </w:p>
        </w:tc>
      </w:tr>
      <w:tr w:rsidR="008503CB" w:rsidRPr="00CD0016" w:rsidTr="00C057E1">
        <w:trPr>
          <w:trHeight w:val="275"/>
        </w:trPr>
        <w:tc>
          <w:tcPr>
            <w:tcW w:w="647" w:type="dxa"/>
          </w:tcPr>
          <w:p w:rsidR="008503CB" w:rsidRPr="00CD0016" w:rsidRDefault="00582800" w:rsidP="003F6B51">
            <w:pPr>
              <w:keepNext/>
              <w:keepLines/>
              <w:spacing w:after="0"/>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Б.1</w:t>
            </w:r>
          </w:p>
        </w:tc>
        <w:tc>
          <w:tcPr>
            <w:tcW w:w="10268" w:type="dxa"/>
            <w:shd w:val="clear" w:color="auto" w:fill="auto"/>
          </w:tcPr>
          <w:p w:rsidR="008503CB" w:rsidRPr="00CD0016" w:rsidRDefault="00582800" w:rsidP="003F6B51">
            <w:pPr>
              <w:keepNext/>
              <w:keepLines/>
              <w:spacing w:after="0"/>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w:t>
            </w:r>
            <w:r w:rsidR="00236C59" w:rsidRPr="00CD0016">
              <w:rPr>
                <w:rFonts w:ascii="Times New Roman" w:hAnsi="Times New Roman" w:cs="Times New Roman"/>
                <w:sz w:val="20"/>
                <w:szCs w:val="20"/>
                <w:lang w:val="bg-BG"/>
              </w:rPr>
              <w:t>ГЛЕНМООР КЕПИТАЛ</w:t>
            </w:r>
            <w:r w:rsidRPr="00CD0016">
              <w:rPr>
                <w:rFonts w:ascii="Times New Roman" w:hAnsi="Times New Roman" w:cs="Times New Roman"/>
                <w:sz w:val="20"/>
                <w:szCs w:val="20"/>
                <w:lang w:val="bg-BG"/>
              </w:rPr>
              <w:t>” АДСИЦ</w:t>
            </w:r>
          </w:p>
        </w:tc>
      </w:tr>
      <w:tr w:rsidR="003F7A64" w:rsidRPr="00CD0016" w:rsidTr="00C057E1">
        <w:trPr>
          <w:trHeight w:val="275"/>
        </w:trPr>
        <w:tc>
          <w:tcPr>
            <w:tcW w:w="647" w:type="dxa"/>
          </w:tcPr>
          <w:p w:rsidR="003F7A64" w:rsidRPr="00CD0016" w:rsidRDefault="00582800" w:rsidP="003F6B51">
            <w:pPr>
              <w:keepNext/>
              <w:keepLines/>
              <w:spacing w:after="0"/>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Б.2</w:t>
            </w:r>
          </w:p>
        </w:tc>
        <w:tc>
          <w:tcPr>
            <w:tcW w:w="10268" w:type="dxa"/>
            <w:shd w:val="clear" w:color="auto" w:fill="auto"/>
          </w:tcPr>
          <w:p w:rsidR="003F7A64" w:rsidRPr="00CD0016" w:rsidRDefault="00582800" w:rsidP="003F6B51">
            <w:pPr>
              <w:keepNext/>
              <w:keepLines/>
              <w:spacing w:after="0"/>
              <w:jc w:val="both"/>
              <w:outlineLvl w:val="1"/>
              <w:rPr>
                <w:rFonts w:ascii="Times New Roman" w:hAnsi="Times New Roman" w:cs="Times New Roman"/>
                <w:sz w:val="20"/>
                <w:szCs w:val="20"/>
                <w:lang w:val="bg-BG"/>
              </w:rPr>
            </w:pPr>
            <w:r w:rsidRPr="00CD0016">
              <w:rPr>
                <w:rFonts w:ascii="Times New Roman" w:hAnsi="Times New Roman" w:cs="Times New Roman"/>
                <w:sz w:val="20"/>
                <w:szCs w:val="20"/>
                <w:lang w:val="bg-BG"/>
              </w:rPr>
              <w:t>Наименованието на Дружеството е „</w:t>
            </w:r>
            <w:r w:rsidR="00236C59" w:rsidRPr="00CD0016">
              <w:rPr>
                <w:rFonts w:ascii="Times New Roman" w:hAnsi="Times New Roman" w:cs="Times New Roman"/>
                <w:sz w:val="20"/>
                <w:szCs w:val="20"/>
                <w:lang w:val="bg-BG"/>
              </w:rPr>
              <w:t>ГЛЕНМООР КЕПИТАЛ</w:t>
            </w:r>
            <w:r w:rsidRPr="00CD0016">
              <w:rPr>
                <w:rFonts w:ascii="Times New Roman" w:hAnsi="Times New Roman" w:cs="Times New Roman"/>
                <w:sz w:val="20"/>
                <w:szCs w:val="20"/>
                <w:lang w:val="bg-BG"/>
              </w:rPr>
              <w:t>” АДСИЦ. Дружеството е учредено и регистрирано като акционерно дружество със специална инвестиционна цел, съгласно законодателството на Република България. Седалището и адресът на управление на „</w:t>
            </w:r>
            <w:r w:rsidR="00236C59" w:rsidRPr="00CD0016">
              <w:rPr>
                <w:rFonts w:ascii="Times New Roman" w:hAnsi="Times New Roman" w:cs="Times New Roman"/>
                <w:sz w:val="20"/>
                <w:szCs w:val="20"/>
                <w:lang w:val="bg-BG"/>
              </w:rPr>
              <w:t>ГЛЕНМООР КЕПИТАЛ</w:t>
            </w:r>
            <w:r w:rsidRPr="00CD0016">
              <w:rPr>
                <w:rFonts w:ascii="Times New Roman" w:hAnsi="Times New Roman" w:cs="Times New Roman"/>
                <w:sz w:val="20"/>
                <w:szCs w:val="20"/>
                <w:lang w:val="bg-BG"/>
              </w:rPr>
              <w:t xml:space="preserve">” АДСИЦ са: </w:t>
            </w:r>
            <w:r w:rsidR="00236C59" w:rsidRPr="00CD0016">
              <w:rPr>
                <w:rFonts w:ascii="Times New Roman" w:hAnsi="Times New Roman" w:cs="Times New Roman"/>
                <w:sz w:val="20"/>
                <w:szCs w:val="20"/>
                <w:lang w:val="bg-BG"/>
              </w:rPr>
              <w:t>гр. Варна, р-н Одесос, пощенски код: 9000, ул. „Шипка” № 10, ет.5</w:t>
            </w:r>
            <w:r w:rsidRPr="00CD0016">
              <w:rPr>
                <w:rFonts w:ascii="Times New Roman" w:hAnsi="Times New Roman" w:cs="Times New Roman"/>
                <w:sz w:val="20"/>
                <w:szCs w:val="20"/>
                <w:lang w:val="bg-BG"/>
              </w:rPr>
              <w:t xml:space="preserve">. </w:t>
            </w:r>
          </w:p>
        </w:tc>
      </w:tr>
      <w:tr w:rsidR="00903E8E" w:rsidRPr="00CD0016" w:rsidTr="00C057E1">
        <w:trPr>
          <w:trHeight w:val="275"/>
        </w:trPr>
        <w:tc>
          <w:tcPr>
            <w:tcW w:w="647" w:type="dxa"/>
          </w:tcPr>
          <w:p w:rsidR="00903E8E"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Б.3</w:t>
            </w:r>
          </w:p>
        </w:tc>
        <w:tc>
          <w:tcPr>
            <w:tcW w:w="10268" w:type="dxa"/>
            <w:shd w:val="clear" w:color="auto" w:fill="auto"/>
          </w:tcPr>
          <w:p w:rsidR="00903E8E" w:rsidRPr="00CD0016" w:rsidRDefault="00C646C1" w:rsidP="00DE64A7">
            <w:pPr>
              <w:spacing w:after="0"/>
              <w:jc w:val="both"/>
              <w:rPr>
                <w:rFonts w:ascii="Times New Roman" w:hAnsi="Times New Roman" w:cs="Times New Roman"/>
                <w:sz w:val="20"/>
                <w:szCs w:val="20"/>
                <w:lang w:val="bg-BG"/>
              </w:rPr>
            </w:pPr>
            <w:bookmarkStart w:id="3" w:name="OLE_LINK1"/>
            <w:bookmarkStart w:id="4" w:name="OLE_LINK2"/>
            <w:bookmarkStart w:id="5" w:name="OLE_LINK3"/>
            <w:r w:rsidRPr="00CD0016">
              <w:rPr>
                <w:rFonts w:ascii="Times New Roman" w:hAnsi="Times New Roman" w:cs="Times New Roman"/>
                <w:sz w:val="20"/>
                <w:szCs w:val="20"/>
                <w:lang w:val="bg-BG"/>
              </w:rPr>
              <w:t xml:space="preserve">Предметът на дейност на “ГЛЕНМООР КЕПИТАЛ” АДСИЦ е: инвестиране на паричните средства, набрани чрез издаване на ценни книжа, в недвижими имоти (секюритизация на недвижими имоти) посредством покупка на право на собственост и други вещни права върху недвижими имоти (в това число урегулирани поземлени имоти, земеделски земи, гори, сгради и постройки с всякакво предназначение и всякакви други недвижими имоти), и извършване на строежи и подобрения в тях, с цел предоставянето им за управление, отдаване под наем, лизинг, аренда и/или продажбата им. Съгласно Закона за дружествата със специална инвестиционна цел Дружеството не може да извършва други търговски сделки, различни от описаните в предмета му на дейност, освен ако са разрешени от Закона за дружествата със специална инвестиционна цел. Към датата на изготвяне на </w:t>
            </w:r>
            <w:r w:rsidR="008848DE" w:rsidRPr="00CD0016">
              <w:rPr>
                <w:rFonts w:ascii="Times New Roman" w:hAnsi="Times New Roman" w:cs="Times New Roman"/>
                <w:sz w:val="20"/>
                <w:szCs w:val="20"/>
                <w:lang w:val="bg-BG"/>
              </w:rPr>
              <w:t xml:space="preserve">този документ </w:t>
            </w:r>
            <w:r w:rsidRPr="00CD0016">
              <w:rPr>
                <w:rFonts w:ascii="Times New Roman" w:hAnsi="Times New Roman" w:cs="Times New Roman"/>
                <w:sz w:val="20"/>
                <w:szCs w:val="20"/>
                <w:lang w:val="bg-BG"/>
              </w:rPr>
              <w:t>Дружеството не е стартирало активна дейност и не притежава недвижими имоти, нито е започнало процес по придобиване на такива.</w:t>
            </w:r>
            <w:bookmarkEnd w:id="3"/>
            <w:bookmarkEnd w:id="4"/>
            <w:bookmarkEnd w:id="5"/>
          </w:p>
        </w:tc>
      </w:tr>
      <w:tr w:rsidR="00CA5D1C" w:rsidRPr="00CD0016" w:rsidTr="00C057E1">
        <w:trPr>
          <w:trHeight w:val="416"/>
        </w:trPr>
        <w:tc>
          <w:tcPr>
            <w:tcW w:w="647" w:type="dxa"/>
          </w:tcPr>
          <w:p w:rsidR="00CA5D1C"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Б.4а</w:t>
            </w:r>
          </w:p>
        </w:tc>
        <w:tc>
          <w:tcPr>
            <w:tcW w:w="10268" w:type="dxa"/>
            <w:shd w:val="clear" w:color="auto" w:fill="auto"/>
          </w:tcPr>
          <w:p w:rsidR="00911B01" w:rsidRPr="00CD0016" w:rsidRDefault="00C646C1" w:rsidP="003F6B51">
            <w:pPr>
              <w:pStyle w:val="Style6"/>
              <w:widowControl/>
              <w:spacing w:line="240" w:lineRule="auto"/>
              <w:rPr>
                <w:rFonts w:ascii="Times New Roman" w:hAnsi="Times New Roman"/>
                <w:sz w:val="20"/>
                <w:szCs w:val="20"/>
              </w:rPr>
            </w:pPr>
            <w:r w:rsidRPr="00CD0016">
              <w:rPr>
                <w:rFonts w:ascii="Times New Roman" w:hAnsi="Times New Roman"/>
                <w:sz w:val="20"/>
                <w:szCs w:val="20"/>
              </w:rPr>
              <w:t>Към момента на изготвяне на този документ не са налице необичайни събития или изключителни фактори, отразили се негативно върху дейността на “ГЛЕНМООР КЕПИТАЛ” АДСИЦ, като следва да се отчита влиянието, което макроикономическата среда оказва върху дейността на Дружеството, както и върху всички останали стопански субекти.</w:t>
            </w:r>
          </w:p>
        </w:tc>
      </w:tr>
      <w:tr w:rsidR="00CA5D1C" w:rsidRPr="00CD0016" w:rsidTr="00C057E1">
        <w:trPr>
          <w:trHeight w:val="275"/>
        </w:trPr>
        <w:tc>
          <w:tcPr>
            <w:tcW w:w="647" w:type="dxa"/>
            <w:shd w:val="clear" w:color="auto" w:fill="auto"/>
          </w:tcPr>
          <w:p w:rsidR="00CA5D1C" w:rsidRPr="00CD0016" w:rsidRDefault="00582800"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Б.5</w:t>
            </w:r>
          </w:p>
        </w:tc>
        <w:tc>
          <w:tcPr>
            <w:tcW w:w="10268" w:type="dxa"/>
            <w:shd w:val="clear" w:color="auto" w:fill="auto"/>
          </w:tcPr>
          <w:p w:rsidR="00CA5D1C" w:rsidRPr="00CD0016" w:rsidRDefault="00003F17" w:rsidP="003F6B51">
            <w:pPr>
              <w:spacing w:after="0"/>
              <w:jc w:val="both"/>
              <w:rPr>
                <w:rFonts w:ascii="Times New Roman" w:hAnsi="Times New Roman" w:cs="Times New Roman"/>
                <w:sz w:val="20"/>
                <w:szCs w:val="20"/>
                <w:lang w:val="bg-BG"/>
              </w:rPr>
            </w:pPr>
            <w:bookmarkStart w:id="6" w:name="OLE_LINK22"/>
            <w:bookmarkStart w:id="7" w:name="OLE_LINK23"/>
            <w:bookmarkStart w:id="8" w:name="OLE_LINK24"/>
            <w:r w:rsidRPr="00CD0016">
              <w:rPr>
                <w:rFonts w:ascii="Times New Roman" w:hAnsi="Times New Roman" w:cs="Times New Roman"/>
                <w:sz w:val="20"/>
                <w:szCs w:val="20"/>
                <w:lang w:val="bg-BG"/>
              </w:rPr>
              <w:t xml:space="preserve">“ГЛЕНМООР КЕПИТАЛ” АДСИЦ </w:t>
            </w:r>
            <w:r w:rsidR="00582800" w:rsidRPr="00CD0016">
              <w:rPr>
                <w:rFonts w:ascii="Times New Roman" w:hAnsi="Times New Roman" w:cs="Times New Roman"/>
                <w:sz w:val="20"/>
                <w:szCs w:val="20"/>
                <w:lang w:val="bg-BG"/>
              </w:rPr>
              <w:t xml:space="preserve">не е част от икономическа група по смисъла на § 1, т. 7 от ДР на Наредба № 2/17.09.2003г. за проспектите при публично предлагане и допускане до търговия на регулиран пазар на ценни книжа и за разкриването на информация от публичните дружества и другите емитенти на ценни книжа. </w:t>
            </w:r>
            <w:bookmarkEnd w:id="6"/>
            <w:bookmarkEnd w:id="7"/>
            <w:bookmarkEnd w:id="8"/>
          </w:p>
        </w:tc>
      </w:tr>
      <w:tr w:rsidR="00CA5D1C" w:rsidRPr="00CD0016" w:rsidTr="00C057E1">
        <w:trPr>
          <w:trHeight w:val="275"/>
        </w:trPr>
        <w:tc>
          <w:tcPr>
            <w:tcW w:w="647" w:type="dxa"/>
          </w:tcPr>
          <w:p w:rsidR="00CA5D1C"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Б.6</w:t>
            </w:r>
          </w:p>
        </w:tc>
        <w:tc>
          <w:tcPr>
            <w:tcW w:w="10268" w:type="dxa"/>
            <w:shd w:val="clear" w:color="auto" w:fill="auto"/>
          </w:tcPr>
          <w:p w:rsidR="00807F84" w:rsidRPr="00CD0016" w:rsidRDefault="00582800"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Акционерите, притежаващи пряко над 5 на сто от акциите с право на глас на Дружеството, към </w:t>
            </w:r>
            <w:r w:rsidR="000B7C81" w:rsidRPr="00CD0016">
              <w:rPr>
                <w:rFonts w:ascii="Times New Roman" w:hAnsi="Times New Roman" w:cs="Times New Roman"/>
                <w:sz w:val="20"/>
                <w:szCs w:val="20"/>
                <w:lang w:val="bg-BG"/>
              </w:rPr>
              <w:t>30</w:t>
            </w:r>
            <w:r w:rsidRPr="00CD0016">
              <w:rPr>
                <w:rFonts w:ascii="Times New Roman" w:hAnsi="Times New Roman" w:cs="Times New Roman"/>
                <w:sz w:val="20"/>
                <w:szCs w:val="20"/>
                <w:lang w:val="bg-BG"/>
              </w:rPr>
              <w:t>.06.201</w:t>
            </w:r>
            <w:r w:rsidR="000B7C81" w:rsidRPr="00CD0016">
              <w:rPr>
                <w:rFonts w:ascii="Times New Roman" w:hAnsi="Times New Roman" w:cs="Times New Roman"/>
                <w:sz w:val="20"/>
                <w:szCs w:val="20"/>
                <w:lang w:val="bg-BG"/>
              </w:rPr>
              <w:t>7</w:t>
            </w:r>
            <w:r w:rsidRPr="00CD0016">
              <w:rPr>
                <w:rFonts w:ascii="Times New Roman" w:hAnsi="Times New Roman" w:cs="Times New Roman"/>
                <w:sz w:val="20"/>
                <w:szCs w:val="20"/>
                <w:lang w:val="bg-BG"/>
              </w:rPr>
              <w:t xml:space="preserve"> г. са следните: </w:t>
            </w:r>
            <w:r w:rsidR="00C546F9" w:rsidRPr="00CD0016">
              <w:rPr>
                <w:rFonts w:ascii="Times New Roman" w:hAnsi="Times New Roman" w:cs="Times New Roman"/>
                <w:sz w:val="20"/>
                <w:szCs w:val="20"/>
                <w:lang w:val="bg-BG"/>
              </w:rPr>
              <w:t>: “Интерреклама” ЕООД, „Ти Ай Секюрити Варна” ЕООД, „Шипка Консулт Груп” EООД, Договорен фонд Юг Маркет Максимум и Договорен фонд Юг Маркет Оптимум</w:t>
            </w:r>
          </w:p>
          <w:p w:rsidR="00CA5D1C" w:rsidRPr="00CD0016" w:rsidRDefault="00582800"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Главните акционери в „</w:t>
            </w:r>
            <w:r w:rsidR="00C546F9" w:rsidRPr="00CD0016">
              <w:rPr>
                <w:rFonts w:ascii="Times New Roman" w:hAnsi="Times New Roman" w:cs="Times New Roman"/>
                <w:sz w:val="20"/>
                <w:szCs w:val="20"/>
                <w:lang w:val="bg-BG"/>
              </w:rPr>
              <w:t>ГЛЕНМООР КЕПИТАЛ</w:t>
            </w:r>
            <w:r w:rsidRPr="00CD0016">
              <w:rPr>
                <w:rFonts w:ascii="Times New Roman" w:hAnsi="Times New Roman" w:cs="Times New Roman"/>
                <w:sz w:val="20"/>
                <w:szCs w:val="20"/>
                <w:lang w:val="bg-BG"/>
              </w:rPr>
              <w:t>” АДСИЦ нямат различни права на глас от всички останали акционери. Няма физическо или юридическо лице, което упражнява контрол върху „</w:t>
            </w:r>
            <w:r w:rsidR="00C546F9" w:rsidRPr="00CD0016">
              <w:rPr>
                <w:rFonts w:ascii="Times New Roman" w:hAnsi="Times New Roman" w:cs="Times New Roman"/>
                <w:sz w:val="20"/>
                <w:szCs w:val="20"/>
                <w:lang w:val="bg-BG"/>
              </w:rPr>
              <w:t>ГЛЕНМООР КЕПИТАЛ</w:t>
            </w:r>
            <w:r w:rsidRPr="00CD0016">
              <w:rPr>
                <w:rFonts w:ascii="Times New Roman" w:hAnsi="Times New Roman" w:cs="Times New Roman"/>
                <w:sz w:val="20"/>
                <w:szCs w:val="20"/>
                <w:lang w:val="bg-BG"/>
              </w:rPr>
              <w:t>” АДСИЦ по смисъла на § 1, т. 14 от Закона за публично предлагане на ценни книжа.</w:t>
            </w:r>
          </w:p>
        </w:tc>
      </w:tr>
      <w:tr w:rsidR="00CA5D1C" w:rsidRPr="00CD0016" w:rsidTr="00C057E1">
        <w:trPr>
          <w:trHeight w:val="275"/>
        </w:trPr>
        <w:tc>
          <w:tcPr>
            <w:tcW w:w="647" w:type="dxa"/>
          </w:tcPr>
          <w:p w:rsidR="00CA5D1C"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Б.7</w:t>
            </w:r>
          </w:p>
        </w:tc>
        <w:tc>
          <w:tcPr>
            <w:tcW w:w="10268" w:type="dxa"/>
            <w:shd w:val="clear" w:color="auto" w:fill="auto"/>
          </w:tcPr>
          <w:p w:rsidR="00595526" w:rsidRPr="00CD0016" w:rsidRDefault="00595526" w:rsidP="003F6B51">
            <w:pPr>
              <w:pStyle w:val="NoSpacing"/>
              <w:jc w:val="both"/>
              <w:rPr>
                <w:rFonts w:ascii="Times New Roman" w:hAnsi="Times New Roman"/>
                <w:sz w:val="20"/>
                <w:szCs w:val="20"/>
              </w:rPr>
            </w:pPr>
            <w:r w:rsidRPr="00CD0016">
              <w:rPr>
                <w:rFonts w:ascii="Times New Roman" w:hAnsi="Times New Roman"/>
                <w:b/>
                <w:sz w:val="20"/>
                <w:szCs w:val="20"/>
              </w:rPr>
              <w:t xml:space="preserve"> </w:t>
            </w:r>
            <w:r w:rsidR="00FA6415" w:rsidRPr="00CD0016">
              <w:rPr>
                <w:rFonts w:ascii="Times New Roman" w:hAnsi="Times New Roman"/>
                <w:sz w:val="20"/>
                <w:szCs w:val="20"/>
              </w:rPr>
              <w:t xml:space="preserve">Към датата на съставяне на Регистрационния документи “ГЛЕНМООР КЕПИТАЛ” АДСИЦ не е стартирало активна дейност, поради което не е реализирало приходи, а разходите са в размер на 2 хил. лв. </w:t>
            </w:r>
          </w:p>
          <w:p w:rsidR="00FA6415" w:rsidRPr="00CD0016" w:rsidRDefault="00FA6415" w:rsidP="003F6B51">
            <w:pPr>
              <w:pStyle w:val="NoSpacing"/>
              <w:jc w:val="both"/>
              <w:rPr>
                <w:rFonts w:ascii="Times New Roman" w:hAnsi="Times New Roman"/>
                <w:b/>
                <w:sz w:val="20"/>
                <w:szCs w:val="20"/>
              </w:rPr>
            </w:pPr>
          </w:p>
          <w:p w:rsidR="00595526" w:rsidRPr="00CD0016" w:rsidRDefault="00595526" w:rsidP="003F6B51">
            <w:pPr>
              <w:spacing w:after="0"/>
              <w:rPr>
                <w:rFonts w:ascii="Times New Roman" w:hAnsi="Times New Roman" w:cs="Times New Roman"/>
                <w:sz w:val="20"/>
                <w:szCs w:val="20"/>
                <w:lang w:val="bg-BG"/>
              </w:rPr>
            </w:pPr>
            <w:r w:rsidRPr="00CD0016">
              <w:rPr>
                <w:rFonts w:ascii="Times New Roman" w:hAnsi="Times New Roman" w:cs="Times New Roman"/>
                <w:b/>
                <w:sz w:val="20"/>
                <w:szCs w:val="20"/>
                <w:lang w:val="bg-BG"/>
              </w:rPr>
              <w:lastRenderedPageBreak/>
              <w:t>Таблица № 1:</w:t>
            </w:r>
            <w:r w:rsidRPr="00CD0016">
              <w:rPr>
                <w:rFonts w:ascii="Times New Roman" w:hAnsi="Times New Roman" w:cs="Times New Roman"/>
                <w:sz w:val="20"/>
                <w:szCs w:val="20"/>
                <w:lang w:val="bg-BG"/>
              </w:rPr>
              <w:t xml:space="preserve"> Капиталова структура на “ГЛЕНМООР КЕПИТАЛ” АДСИЦ </w:t>
            </w:r>
          </w:p>
          <w:tbl>
            <w:tblPr>
              <w:tblW w:w="6784" w:type="dxa"/>
              <w:tblLayout w:type="fixed"/>
              <w:tblCellMar>
                <w:left w:w="70" w:type="dxa"/>
                <w:right w:w="70" w:type="dxa"/>
              </w:tblCellMar>
              <w:tblLook w:val="00A0" w:firstRow="1" w:lastRow="0" w:firstColumn="1" w:lastColumn="0" w:noHBand="0" w:noVBand="0"/>
            </w:tblPr>
            <w:tblGrid>
              <w:gridCol w:w="5296"/>
              <w:gridCol w:w="1488"/>
            </w:tblGrid>
            <w:tr w:rsidR="00595526" w:rsidRPr="00CD0016" w:rsidTr="00564985">
              <w:trPr>
                <w:trHeight w:val="255"/>
              </w:trPr>
              <w:tc>
                <w:tcPr>
                  <w:tcW w:w="5296" w:type="dxa"/>
                  <w:tcBorders>
                    <w:top w:val="nil"/>
                    <w:left w:val="nil"/>
                    <w:bottom w:val="nil"/>
                    <w:right w:val="nil"/>
                  </w:tcBorders>
                  <w:shd w:val="clear" w:color="000000" w:fill="1F497D"/>
                  <w:noWrap/>
                  <w:vAlign w:val="bottom"/>
                </w:tcPr>
                <w:p w:rsidR="00595526" w:rsidRPr="00CD0016" w:rsidRDefault="00595526" w:rsidP="003F6B51">
                  <w:pPr>
                    <w:spacing w:after="0"/>
                    <w:rPr>
                      <w:rFonts w:ascii="Times New Roman" w:hAnsi="Times New Roman" w:cs="Times New Roman"/>
                      <w:color w:val="FFFFFF"/>
                      <w:sz w:val="20"/>
                      <w:szCs w:val="20"/>
                      <w:lang w:val="bg-BG" w:eastAsia="bg-BG"/>
                    </w:rPr>
                  </w:pPr>
                  <w:r w:rsidRPr="00CD0016">
                    <w:rPr>
                      <w:rFonts w:ascii="Times New Roman" w:hAnsi="Times New Roman" w:cs="Times New Roman"/>
                      <w:color w:val="FFFFFF"/>
                      <w:sz w:val="20"/>
                      <w:szCs w:val="20"/>
                      <w:lang w:val="bg-BG" w:eastAsia="bg-BG"/>
                    </w:rPr>
                    <w:t> </w:t>
                  </w:r>
                </w:p>
              </w:tc>
              <w:tc>
                <w:tcPr>
                  <w:tcW w:w="1488" w:type="dxa"/>
                  <w:tcBorders>
                    <w:top w:val="nil"/>
                    <w:left w:val="nil"/>
                    <w:bottom w:val="nil"/>
                    <w:right w:val="nil"/>
                  </w:tcBorders>
                  <w:shd w:val="clear" w:color="000000" w:fill="1F497D"/>
                  <w:noWrap/>
                  <w:vAlign w:val="bottom"/>
                </w:tcPr>
                <w:p w:rsidR="00595526" w:rsidRPr="00CD0016" w:rsidRDefault="00595526" w:rsidP="003F6B51">
                  <w:pPr>
                    <w:spacing w:after="0"/>
                    <w:jc w:val="center"/>
                    <w:rPr>
                      <w:rFonts w:ascii="Times New Roman" w:hAnsi="Times New Roman" w:cs="Times New Roman"/>
                      <w:b/>
                      <w:bCs/>
                      <w:color w:val="FFFFFF"/>
                      <w:sz w:val="20"/>
                      <w:szCs w:val="20"/>
                      <w:lang w:val="bg-BG" w:eastAsia="bg-BG"/>
                    </w:rPr>
                  </w:pPr>
                  <w:r w:rsidRPr="00CD0016">
                    <w:rPr>
                      <w:rFonts w:ascii="Times New Roman" w:hAnsi="Times New Roman" w:cs="Times New Roman"/>
                      <w:b/>
                      <w:bCs/>
                      <w:color w:val="FFFFFF"/>
                      <w:sz w:val="20"/>
                      <w:szCs w:val="20"/>
                      <w:lang w:val="bg-BG" w:eastAsia="bg-BG"/>
                    </w:rPr>
                    <w:t>30.06.2017</w:t>
                  </w:r>
                </w:p>
              </w:tc>
            </w:tr>
            <w:tr w:rsidR="00595526" w:rsidRPr="00CD0016" w:rsidTr="00564985">
              <w:trPr>
                <w:trHeight w:val="270"/>
              </w:trPr>
              <w:tc>
                <w:tcPr>
                  <w:tcW w:w="5296" w:type="dxa"/>
                  <w:tcBorders>
                    <w:top w:val="nil"/>
                    <w:left w:val="nil"/>
                    <w:bottom w:val="nil"/>
                    <w:right w:val="nil"/>
                  </w:tcBorders>
                  <w:shd w:val="clear" w:color="000000" w:fill="D9D9D9"/>
                  <w:noWrap/>
                  <w:vAlign w:val="bottom"/>
                </w:tcPr>
                <w:p w:rsidR="00595526" w:rsidRPr="00CD0016" w:rsidRDefault="00595526" w:rsidP="003F6B51">
                  <w:pPr>
                    <w:spacing w:after="0"/>
                    <w:rPr>
                      <w:rFonts w:ascii="Times New Roman" w:hAnsi="Times New Roman" w:cs="Times New Roman"/>
                      <w:sz w:val="20"/>
                      <w:szCs w:val="20"/>
                      <w:lang w:val="bg-BG" w:eastAsia="bg-BG"/>
                    </w:rPr>
                  </w:pPr>
                  <w:r w:rsidRPr="00CD0016">
                    <w:rPr>
                      <w:rFonts w:ascii="Times New Roman" w:hAnsi="Times New Roman" w:cs="Times New Roman"/>
                      <w:sz w:val="20"/>
                      <w:szCs w:val="20"/>
                      <w:lang w:val="bg-BG" w:eastAsia="bg-BG"/>
                    </w:rPr>
                    <w:t> </w:t>
                  </w:r>
                </w:p>
              </w:tc>
              <w:tc>
                <w:tcPr>
                  <w:tcW w:w="1488" w:type="dxa"/>
                  <w:tcBorders>
                    <w:top w:val="nil"/>
                    <w:left w:val="nil"/>
                    <w:bottom w:val="nil"/>
                    <w:right w:val="nil"/>
                  </w:tcBorders>
                  <w:shd w:val="clear" w:color="000000" w:fill="D9D9D9"/>
                  <w:noWrap/>
                  <w:vAlign w:val="bottom"/>
                </w:tcPr>
                <w:p w:rsidR="00595526" w:rsidRPr="00CD0016" w:rsidRDefault="00595526" w:rsidP="003F6B51">
                  <w:pPr>
                    <w:spacing w:after="0"/>
                    <w:jc w:val="center"/>
                    <w:rPr>
                      <w:rFonts w:ascii="Times New Roman" w:hAnsi="Times New Roman" w:cs="Times New Roman"/>
                      <w:b/>
                      <w:bCs/>
                      <w:i/>
                      <w:iCs/>
                      <w:sz w:val="20"/>
                      <w:szCs w:val="20"/>
                      <w:lang w:val="bg-BG" w:eastAsia="bg-BG"/>
                    </w:rPr>
                  </w:pPr>
                  <w:r w:rsidRPr="00CD0016">
                    <w:rPr>
                      <w:rFonts w:ascii="Times New Roman" w:hAnsi="Times New Roman" w:cs="Times New Roman"/>
                      <w:b/>
                      <w:bCs/>
                      <w:i/>
                      <w:iCs/>
                      <w:sz w:val="20"/>
                      <w:szCs w:val="20"/>
                      <w:lang w:val="bg-BG" w:eastAsia="bg-BG"/>
                    </w:rPr>
                    <w:t>хил.лв.</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АКТИВИ</w:t>
                  </w:r>
                </w:p>
              </w:tc>
              <w:tc>
                <w:tcPr>
                  <w:tcW w:w="1488"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Нетекущи активи</w:t>
                  </w:r>
                </w:p>
              </w:tc>
              <w:tc>
                <w:tcPr>
                  <w:tcW w:w="1488"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Инвестиционни имоти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Инвестиционни имоти под строителство</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sz w:val="20"/>
                      <w:szCs w:val="20"/>
                      <w:lang w:val="bg-BG" w:eastAsia="bg-BG"/>
                    </w:rPr>
                  </w:pPr>
                  <w:r w:rsidRPr="00CD0016">
                    <w:rPr>
                      <w:rFonts w:ascii="Times New Roman" w:hAnsi="Times New Roman" w:cs="Times New Roman"/>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Други дълготрайни материални активи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Нематериални активи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single" w:sz="4" w:space="0" w:color="auto"/>
                    <w:left w:val="nil"/>
                    <w:bottom w:val="single" w:sz="4" w:space="0" w:color="auto"/>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 Нетекущи активи</w:t>
                  </w:r>
                </w:p>
              </w:tc>
              <w:tc>
                <w:tcPr>
                  <w:tcW w:w="1488" w:type="dxa"/>
                  <w:tcBorders>
                    <w:top w:val="single" w:sz="4" w:space="0" w:color="auto"/>
                    <w:left w:val="nil"/>
                    <w:bottom w:val="single" w:sz="4" w:space="0" w:color="auto"/>
                    <w:right w:val="nil"/>
                  </w:tcBorders>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Текущи активи</w:t>
                  </w:r>
                </w:p>
              </w:tc>
              <w:tc>
                <w:tcPr>
                  <w:tcW w:w="1488"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Вземания от свързани предприятия</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Търговски вземания</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Данъци за възстановяване</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sz w:val="20"/>
                      <w:szCs w:val="20"/>
                      <w:lang w:val="bg-BG" w:eastAsia="bg-BG"/>
                    </w:rPr>
                  </w:pPr>
                  <w:r w:rsidRPr="00CD0016">
                    <w:rPr>
                      <w:rFonts w:ascii="Times New Roman" w:hAnsi="Times New Roman" w:cs="Times New Roman"/>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Други текущи вземания и предплатени разходи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Парични средства и парични еквиваленти</w:t>
                  </w:r>
                </w:p>
              </w:tc>
              <w:tc>
                <w:tcPr>
                  <w:tcW w:w="1488" w:type="dxa"/>
                  <w:tcBorders>
                    <w:top w:val="nil"/>
                    <w:left w:val="nil"/>
                    <w:bottom w:val="nil"/>
                    <w:right w:val="nil"/>
                  </w:tcBorders>
                  <w:shd w:val="clear" w:color="auto" w:fill="auto"/>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499</w:t>
                  </w:r>
                </w:p>
              </w:tc>
            </w:tr>
            <w:tr w:rsidR="00595526" w:rsidRPr="00CD0016" w:rsidTr="00564985">
              <w:trPr>
                <w:trHeight w:val="255"/>
              </w:trPr>
              <w:tc>
                <w:tcPr>
                  <w:tcW w:w="5296" w:type="dxa"/>
                  <w:tcBorders>
                    <w:top w:val="single" w:sz="4" w:space="0" w:color="auto"/>
                    <w:left w:val="nil"/>
                    <w:bottom w:val="single" w:sz="4" w:space="0" w:color="auto"/>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 Текущи активи</w:t>
                  </w:r>
                </w:p>
              </w:tc>
              <w:tc>
                <w:tcPr>
                  <w:tcW w:w="1488" w:type="dxa"/>
                  <w:tcBorders>
                    <w:top w:val="single" w:sz="4" w:space="0" w:color="auto"/>
                    <w:left w:val="nil"/>
                    <w:bottom w:val="single" w:sz="4" w:space="0" w:color="auto"/>
                    <w:right w:val="nil"/>
                  </w:tcBorders>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499</w:t>
                  </w:r>
                </w:p>
              </w:tc>
            </w:tr>
            <w:tr w:rsidR="00595526" w:rsidRPr="00CD0016" w:rsidTr="00564985">
              <w:trPr>
                <w:trHeight w:val="270"/>
              </w:trPr>
              <w:tc>
                <w:tcPr>
                  <w:tcW w:w="5296" w:type="dxa"/>
                  <w:tcBorders>
                    <w:top w:val="nil"/>
                    <w:left w:val="nil"/>
                    <w:bottom w:val="double" w:sz="6" w:space="0" w:color="auto"/>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ОБЩО АКТИВИ</w:t>
                  </w:r>
                </w:p>
              </w:tc>
              <w:tc>
                <w:tcPr>
                  <w:tcW w:w="1488" w:type="dxa"/>
                  <w:tcBorders>
                    <w:top w:val="nil"/>
                    <w:left w:val="nil"/>
                    <w:bottom w:val="double" w:sz="6" w:space="0" w:color="auto"/>
                    <w:right w:val="nil"/>
                  </w:tcBorders>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500</w:t>
                  </w:r>
                </w:p>
              </w:tc>
            </w:tr>
            <w:tr w:rsidR="00595526" w:rsidRPr="00CD0016" w:rsidTr="00564985">
              <w:trPr>
                <w:trHeight w:val="270"/>
              </w:trPr>
              <w:tc>
                <w:tcPr>
                  <w:tcW w:w="5296"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p>
                <w:p w:rsidR="00595526" w:rsidRPr="00CD0016" w:rsidRDefault="00595526" w:rsidP="003F6B51">
                  <w:pPr>
                    <w:spacing w:after="0"/>
                    <w:jc w:val="right"/>
                    <w:rPr>
                      <w:rFonts w:ascii="Times New Roman" w:hAnsi="Times New Roman" w:cs="Times New Roman"/>
                      <w:b/>
                      <w:bCs/>
                      <w:color w:val="000000"/>
                      <w:sz w:val="20"/>
                      <w:szCs w:val="20"/>
                      <w:lang w:val="bg-BG" w:eastAsia="bg-BG"/>
                    </w:rPr>
                  </w:pPr>
                </w:p>
              </w:tc>
              <w:tc>
                <w:tcPr>
                  <w:tcW w:w="1488"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shd w:val="clear" w:color="auto" w:fill="auto"/>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ОБСТВЕН КАПИТАЛ И ПАСИВИ</w:t>
                  </w:r>
                </w:p>
              </w:tc>
              <w:tc>
                <w:tcPr>
                  <w:tcW w:w="1488" w:type="dxa"/>
                  <w:tcBorders>
                    <w:top w:val="nil"/>
                    <w:left w:val="nil"/>
                    <w:bottom w:val="nil"/>
                    <w:right w:val="nil"/>
                  </w:tcBorders>
                  <w:shd w:val="clear" w:color="auto" w:fill="auto"/>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shd w:val="clear" w:color="auto" w:fill="auto"/>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СОБСТВЕН КАПИТАЛ</w:t>
                  </w:r>
                </w:p>
              </w:tc>
              <w:tc>
                <w:tcPr>
                  <w:tcW w:w="1488" w:type="dxa"/>
                  <w:tcBorders>
                    <w:top w:val="nil"/>
                    <w:left w:val="nil"/>
                    <w:bottom w:val="nil"/>
                    <w:right w:val="nil"/>
                  </w:tcBorders>
                  <w:shd w:val="clear" w:color="auto" w:fill="auto"/>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shd w:val="clear" w:color="auto" w:fill="auto"/>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Основен акционерен капитал</w:t>
                  </w:r>
                </w:p>
              </w:tc>
              <w:tc>
                <w:tcPr>
                  <w:tcW w:w="1488" w:type="dxa"/>
                  <w:tcBorders>
                    <w:top w:val="nil"/>
                    <w:left w:val="nil"/>
                    <w:bottom w:val="nil"/>
                    <w:right w:val="nil"/>
                  </w:tcBorders>
                  <w:shd w:val="clear" w:color="auto" w:fill="auto"/>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500</w:t>
                  </w:r>
                </w:p>
              </w:tc>
            </w:tr>
            <w:tr w:rsidR="00595526" w:rsidRPr="00CD0016" w:rsidTr="00564985">
              <w:trPr>
                <w:trHeight w:val="255"/>
              </w:trPr>
              <w:tc>
                <w:tcPr>
                  <w:tcW w:w="5296" w:type="dxa"/>
                  <w:tcBorders>
                    <w:top w:val="nil"/>
                    <w:left w:val="nil"/>
                    <w:bottom w:val="nil"/>
                    <w:right w:val="nil"/>
                  </w:tcBorders>
                  <w:shd w:val="clear" w:color="auto" w:fill="auto"/>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Резерви</w:t>
                  </w:r>
                </w:p>
              </w:tc>
              <w:tc>
                <w:tcPr>
                  <w:tcW w:w="1488" w:type="dxa"/>
                  <w:tcBorders>
                    <w:top w:val="nil"/>
                    <w:left w:val="nil"/>
                    <w:bottom w:val="nil"/>
                    <w:right w:val="nil"/>
                  </w:tcBorders>
                  <w:shd w:val="clear" w:color="auto" w:fill="auto"/>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shd w:val="clear" w:color="auto" w:fill="auto"/>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Неразпределена печалба</w:t>
                  </w:r>
                </w:p>
              </w:tc>
              <w:tc>
                <w:tcPr>
                  <w:tcW w:w="1488" w:type="dxa"/>
                  <w:tcBorders>
                    <w:top w:val="nil"/>
                    <w:left w:val="nil"/>
                    <w:bottom w:val="nil"/>
                    <w:right w:val="nil"/>
                  </w:tcBorders>
                  <w:shd w:val="clear" w:color="auto" w:fill="auto"/>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(2)</w:t>
                  </w:r>
                </w:p>
              </w:tc>
            </w:tr>
            <w:tr w:rsidR="00595526" w:rsidRPr="00CD0016" w:rsidTr="00564985">
              <w:trPr>
                <w:trHeight w:val="270"/>
              </w:trPr>
              <w:tc>
                <w:tcPr>
                  <w:tcW w:w="5296" w:type="dxa"/>
                  <w:tcBorders>
                    <w:top w:val="single" w:sz="4" w:space="0" w:color="auto"/>
                    <w:left w:val="nil"/>
                    <w:bottom w:val="double" w:sz="6" w:space="0" w:color="auto"/>
                    <w:right w:val="nil"/>
                  </w:tcBorders>
                  <w:shd w:val="clear" w:color="auto" w:fill="auto"/>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ОБЩО СОБСТВЕН КАПИТАЛ</w:t>
                  </w:r>
                </w:p>
              </w:tc>
              <w:tc>
                <w:tcPr>
                  <w:tcW w:w="1488" w:type="dxa"/>
                  <w:tcBorders>
                    <w:top w:val="single" w:sz="4" w:space="0" w:color="auto"/>
                    <w:left w:val="nil"/>
                    <w:bottom w:val="double" w:sz="6" w:space="0" w:color="auto"/>
                    <w:right w:val="nil"/>
                  </w:tcBorders>
                  <w:shd w:val="clear" w:color="auto" w:fill="auto"/>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498</w:t>
                  </w:r>
                </w:p>
              </w:tc>
            </w:tr>
            <w:tr w:rsidR="00595526" w:rsidRPr="00CD0016" w:rsidTr="00564985">
              <w:trPr>
                <w:trHeight w:val="270"/>
              </w:trPr>
              <w:tc>
                <w:tcPr>
                  <w:tcW w:w="5296"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p>
              </w:tc>
              <w:tc>
                <w:tcPr>
                  <w:tcW w:w="1488"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ПАСИВИ</w:t>
                  </w:r>
                </w:p>
              </w:tc>
              <w:tc>
                <w:tcPr>
                  <w:tcW w:w="1488"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Нетекущи задължения</w:t>
                  </w:r>
                </w:p>
              </w:tc>
              <w:tc>
                <w:tcPr>
                  <w:tcW w:w="1488"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Дългосрочни банкови заеми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Дългосрочни задължения към персонала</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single" w:sz="4" w:space="0" w:color="auto"/>
                    <w:left w:val="nil"/>
                    <w:bottom w:val="single" w:sz="4" w:space="0" w:color="auto"/>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 Нетекущи задължения</w:t>
                  </w:r>
                </w:p>
              </w:tc>
              <w:tc>
                <w:tcPr>
                  <w:tcW w:w="1488" w:type="dxa"/>
                  <w:tcBorders>
                    <w:top w:val="single" w:sz="4" w:space="0" w:color="auto"/>
                    <w:left w:val="nil"/>
                    <w:bottom w:val="single" w:sz="4" w:space="0" w:color="auto"/>
                    <w:right w:val="nil"/>
                  </w:tcBorders>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Текущи задължения</w:t>
                  </w:r>
                </w:p>
              </w:tc>
              <w:tc>
                <w:tcPr>
                  <w:tcW w:w="1488"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sz w:val="20"/>
                      <w:szCs w:val="20"/>
                      <w:lang w:val="bg-BG" w:eastAsia="bg-BG"/>
                    </w:rPr>
                  </w:pP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Задължения към свързани предприятия</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Краткосрочна част на дългосрочните банкови заеми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Краткосрочни банкови заеми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Задължения за дивиденти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Търговски задължения</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1</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Задължения за данъци</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nil"/>
                    <w:left w:val="nil"/>
                    <w:bottom w:val="nil"/>
                    <w:right w:val="nil"/>
                  </w:tcBorders>
                  <w:noWrap/>
                  <w:vAlign w:val="bottom"/>
                </w:tcPr>
                <w:p w:rsidR="00595526" w:rsidRPr="00CD0016" w:rsidRDefault="00595526"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Други текущи задължения</w:t>
                  </w:r>
                </w:p>
              </w:tc>
              <w:tc>
                <w:tcPr>
                  <w:tcW w:w="1488" w:type="dxa"/>
                  <w:tcBorders>
                    <w:top w:val="nil"/>
                    <w:left w:val="nil"/>
                    <w:bottom w:val="nil"/>
                    <w:right w:val="nil"/>
                  </w:tcBorders>
                  <w:noWrap/>
                  <w:vAlign w:val="bottom"/>
                </w:tcPr>
                <w:p w:rsidR="00595526" w:rsidRPr="00CD0016" w:rsidRDefault="00595526"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w:t>
                  </w:r>
                </w:p>
              </w:tc>
            </w:tr>
            <w:tr w:rsidR="00595526" w:rsidRPr="00CD0016" w:rsidTr="00564985">
              <w:trPr>
                <w:trHeight w:val="255"/>
              </w:trPr>
              <w:tc>
                <w:tcPr>
                  <w:tcW w:w="5296" w:type="dxa"/>
                  <w:tcBorders>
                    <w:top w:val="single" w:sz="4" w:space="0" w:color="auto"/>
                    <w:left w:val="nil"/>
                    <w:bottom w:val="single" w:sz="4" w:space="0" w:color="auto"/>
                    <w:right w:val="nil"/>
                  </w:tcBorders>
                  <w:shd w:val="clear" w:color="auto" w:fill="auto"/>
                  <w:noWrap/>
                  <w:vAlign w:val="bottom"/>
                </w:tcPr>
                <w:p w:rsidR="00595526" w:rsidRPr="00CD0016" w:rsidRDefault="00595526" w:rsidP="003F6B51">
                  <w:pPr>
                    <w:spacing w:after="0"/>
                    <w:rPr>
                      <w:rFonts w:ascii="Times New Roman" w:hAnsi="Times New Roman" w:cs="Times New Roman"/>
                      <w:b/>
                      <w:color w:val="000000"/>
                      <w:sz w:val="20"/>
                      <w:szCs w:val="20"/>
                      <w:lang w:val="bg-BG" w:eastAsia="bg-BG"/>
                    </w:rPr>
                  </w:pPr>
                  <w:r w:rsidRPr="00CD0016">
                    <w:rPr>
                      <w:rFonts w:ascii="Times New Roman" w:hAnsi="Times New Roman" w:cs="Times New Roman"/>
                      <w:b/>
                      <w:color w:val="000000"/>
                      <w:sz w:val="20"/>
                      <w:szCs w:val="20"/>
                      <w:lang w:val="bg-BG" w:eastAsia="bg-BG"/>
                    </w:rPr>
                    <w:t> Текущи задължения</w:t>
                  </w:r>
                </w:p>
              </w:tc>
              <w:tc>
                <w:tcPr>
                  <w:tcW w:w="1488" w:type="dxa"/>
                  <w:tcBorders>
                    <w:top w:val="single" w:sz="4" w:space="0" w:color="auto"/>
                    <w:left w:val="nil"/>
                    <w:bottom w:val="single" w:sz="4" w:space="0" w:color="auto"/>
                    <w:right w:val="nil"/>
                  </w:tcBorders>
                  <w:shd w:val="clear" w:color="auto" w:fill="auto"/>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1</w:t>
                  </w:r>
                </w:p>
              </w:tc>
            </w:tr>
            <w:tr w:rsidR="00595526" w:rsidRPr="00CD0016" w:rsidTr="00564985">
              <w:trPr>
                <w:trHeight w:val="255"/>
              </w:trPr>
              <w:tc>
                <w:tcPr>
                  <w:tcW w:w="5296" w:type="dxa"/>
                  <w:tcBorders>
                    <w:top w:val="nil"/>
                    <w:left w:val="nil"/>
                    <w:bottom w:val="single" w:sz="4" w:space="0" w:color="auto"/>
                    <w:right w:val="nil"/>
                  </w:tcBorders>
                  <w:shd w:val="clear" w:color="auto" w:fill="auto"/>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ОБЩО ПАСИВИ</w:t>
                  </w:r>
                </w:p>
              </w:tc>
              <w:tc>
                <w:tcPr>
                  <w:tcW w:w="1488" w:type="dxa"/>
                  <w:tcBorders>
                    <w:top w:val="nil"/>
                    <w:left w:val="nil"/>
                    <w:bottom w:val="single" w:sz="4" w:space="0" w:color="auto"/>
                    <w:right w:val="nil"/>
                  </w:tcBorders>
                  <w:shd w:val="clear" w:color="auto" w:fill="auto"/>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1</w:t>
                  </w:r>
                </w:p>
              </w:tc>
            </w:tr>
            <w:tr w:rsidR="00595526" w:rsidRPr="00CD0016" w:rsidTr="00564985">
              <w:trPr>
                <w:trHeight w:val="270"/>
              </w:trPr>
              <w:tc>
                <w:tcPr>
                  <w:tcW w:w="5296" w:type="dxa"/>
                  <w:tcBorders>
                    <w:top w:val="nil"/>
                    <w:left w:val="nil"/>
                    <w:bottom w:val="double" w:sz="6" w:space="0" w:color="auto"/>
                    <w:right w:val="nil"/>
                  </w:tcBorders>
                  <w:noWrap/>
                  <w:vAlign w:val="bottom"/>
                </w:tcPr>
                <w:p w:rsidR="00595526" w:rsidRPr="00CD0016" w:rsidRDefault="00595526"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ОБЩО СОБСТВЕН КАПИТАЛ И ПАСИВИ</w:t>
                  </w:r>
                </w:p>
              </w:tc>
              <w:tc>
                <w:tcPr>
                  <w:tcW w:w="1488" w:type="dxa"/>
                  <w:tcBorders>
                    <w:top w:val="nil"/>
                    <w:left w:val="nil"/>
                    <w:bottom w:val="double" w:sz="6" w:space="0" w:color="auto"/>
                    <w:right w:val="nil"/>
                  </w:tcBorders>
                  <w:noWrap/>
                  <w:vAlign w:val="bottom"/>
                </w:tcPr>
                <w:p w:rsidR="00595526" w:rsidRPr="00CD0016" w:rsidRDefault="00595526"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499</w:t>
                  </w:r>
                </w:p>
              </w:tc>
            </w:tr>
          </w:tbl>
          <w:p w:rsidR="00CA5D1C" w:rsidRPr="00CD0016" w:rsidRDefault="00595526" w:rsidP="003F6B51">
            <w:pPr>
              <w:spacing w:after="0"/>
              <w:rPr>
                <w:rFonts w:ascii="Times New Roman" w:hAnsi="Times New Roman" w:cs="Times New Roman"/>
                <w:sz w:val="20"/>
                <w:szCs w:val="20"/>
                <w:lang w:val="bg-BG"/>
              </w:rPr>
            </w:pPr>
            <w:r w:rsidRPr="00CD0016">
              <w:rPr>
                <w:rFonts w:ascii="Times New Roman" w:hAnsi="Times New Roman" w:cs="Times New Roman"/>
                <w:b/>
                <w:i/>
                <w:sz w:val="20"/>
                <w:szCs w:val="20"/>
                <w:lang w:val="bg-BG"/>
              </w:rPr>
              <w:t>Източник:</w:t>
            </w:r>
            <w:r w:rsidRPr="00CD0016">
              <w:rPr>
                <w:rFonts w:ascii="Times New Roman" w:hAnsi="Times New Roman" w:cs="Times New Roman"/>
                <w:i/>
                <w:sz w:val="20"/>
                <w:szCs w:val="20"/>
                <w:lang w:val="bg-BG"/>
              </w:rPr>
              <w:t xml:space="preserve"> Одитиран междинен финансов отчет на “ГЛЕНМООР КЕПИТАЛ” АДСИЦ за периода 21.03.2017- 30.06.2017 г.</w:t>
            </w:r>
          </w:p>
        </w:tc>
      </w:tr>
      <w:tr w:rsidR="00CA5D1C" w:rsidRPr="00CD0016" w:rsidTr="00C057E1">
        <w:trPr>
          <w:trHeight w:val="275"/>
        </w:trPr>
        <w:tc>
          <w:tcPr>
            <w:tcW w:w="647" w:type="dxa"/>
          </w:tcPr>
          <w:p w:rsidR="00CA5D1C"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Б.8</w:t>
            </w:r>
          </w:p>
        </w:tc>
        <w:tc>
          <w:tcPr>
            <w:tcW w:w="10268" w:type="dxa"/>
            <w:shd w:val="clear" w:color="auto" w:fill="auto"/>
          </w:tcPr>
          <w:p w:rsidR="00CA5D1C" w:rsidRPr="00CD0016" w:rsidRDefault="008848DE" w:rsidP="003F6B51">
            <w:pPr>
              <w:pStyle w:val="NoSpacing"/>
              <w:jc w:val="both"/>
              <w:rPr>
                <w:rFonts w:ascii="Times New Roman" w:hAnsi="Times New Roman"/>
                <w:sz w:val="20"/>
                <w:szCs w:val="20"/>
              </w:rPr>
            </w:pPr>
            <w:r w:rsidRPr="00CD0016">
              <w:rPr>
                <w:rFonts w:ascii="Times New Roman" w:hAnsi="Times New Roman"/>
                <w:sz w:val="20"/>
                <w:szCs w:val="20"/>
              </w:rPr>
              <w:t>Към момента на изготвянето на този документ не са налице обстоятелства, които да налагат представяне на проформа финансова информация.</w:t>
            </w:r>
          </w:p>
        </w:tc>
      </w:tr>
      <w:tr w:rsidR="00CA5D1C" w:rsidRPr="00CD0016" w:rsidTr="00C057E1">
        <w:trPr>
          <w:trHeight w:val="275"/>
        </w:trPr>
        <w:tc>
          <w:tcPr>
            <w:tcW w:w="647" w:type="dxa"/>
          </w:tcPr>
          <w:p w:rsidR="00CA5D1C"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Б.9</w:t>
            </w:r>
          </w:p>
        </w:tc>
        <w:tc>
          <w:tcPr>
            <w:tcW w:w="10268" w:type="dxa"/>
            <w:shd w:val="clear" w:color="auto" w:fill="auto"/>
          </w:tcPr>
          <w:p w:rsidR="00CA5D1C"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Емитентът не прави допускания за прогнозни или приблизителни стойности на печалбите.</w:t>
            </w:r>
          </w:p>
        </w:tc>
      </w:tr>
      <w:tr w:rsidR="00BC2695" w:rsidRPr="00CD0016" w:rsidTr="00C057E1">
        <w:trPr>
          <w:trHeight w:val="275"/>
        </w:trPr>
        <w:tc>
          <w:tcPr>
            <w:tcW w:w="647" w:type="dxa"/>
          </w:tcPr>
          <w:p w:rsidR="00BC2695"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Б.10</w:t>
            </w:r>
          </w:p>
        </w:tc>
        <w:tc>
          <w:tcPr>
            <w:tcW w:w="10268" w:type="dxa"/>
            <w:shd w:val="clear" w:color="auto" w:fill="auto"/>
          </w:tcPr>
          <w:p w:rsidR="00BC2695" w:rsidRPr="00CD0016" w:rsidRDefault="00595526"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Одиторският </w:t>
            </w:r>
            <w:r w:rsidR="00582800" w:rsidRPr="00CD0016">
              <w:rPr>
                <w:rFonts w:ascii="Times New Roman" w:hAnsi="Times New Roman" w:cs="Times New Roman"/>
                <w:sz w:val="20"/>
                <w:szCs w:val="20"/>
                <w:lang w:val="bg-BG"/>
              </w:rPr>
              <w:t xml:space="preserve">доклад върху </w:t>
            </w:r>
            <w:r w:rsidRPr="00CD0016">
              <w:rPr>
                <w:rFonts w:ascii="Times New Roman" w:hAnsi="Times New Roman" w:cs="Times New Roman"/>
                <w:sz w:val="20"/>
                <w:szCs w:val="20"/>
                <w:lang w:val="bg-BG"/>
              </w:rPr>
              <w:t xml:space="preserve">отчета </w:t>
            </w:r>
            <w:r w:rsidR="00582800" w:rsidRPr="00CD0016">
              <w:rPr>
                <w:rFonts w:ascii="Times New Roman" w:hAnsi="Times New Roman" w:cs="Times New Roman"/>
                <w:sz w:val="20"/>
                <w:szCs w:val="20"/>
                <w:lang w:val="bg-BG"/>
              </w:rPr>
              <w:t>на „</w:t>
            </w:r>
            <w:r w:rsidRPr="00CD0016">
              <w:rPr>
                <w:rFonts w:ascii="Times New Roman" w:hAnsi="Times New Roman" w:cs="Times New Roman"/>
                <w:sz w:val="20"/>
                <w:szCs w:val="20"/>
                <w:lang w:val="bg-BG"/>
              </w:rPr>
              <w:t>ГЛЕНМООР КЕПИТАЛ</w:t>
            </w:r>
            <w:r w:rsidR="00582800" w:rsidRPr="00CD0016">
              <w:rPr>
                <w:rFonts w:ascii="Times New Roman" w:hAnsi="Times New Roman" w:cs="Times New Roman"/>
                <w:sz w:val="20"/>
                <w:szCs w:val="20"/>
                <w:lang w:val="bg-BG"/>
              </w:rPr>
              <w:t xml:space="preserve">” АДСИЦ </w:t>
            </w:r>
            <w:r w:rsidRPr="00CD0016">
              <w:rPr>
                <w:rFonts w:ascii="Times New Roman" w:hAnsi="Times New Roman" w:cs="Times New Roman"/>
                <w:sz w:val="20"/>
                <w:szCs w:val="20"/>
                <w:lang w:val="bg-BG"/>
              </w:rPr>
              <w:t>към 30.06.2017 г</w:t>
            </w:r>
            <w:r w:rsidR="0060641B" w:rsidRPr="00CD0016">
              <w:rPr>
                <w:rFonts w:ascii="Times New Roman" w:hAnsi="Times New Roman" w:cs="Times New Roman"/>
                <w:sz w:val="20"/>
                <w:szCs w:val="20"/>
                <w:lang w:val="bg-BG"/>
              </w:rPr>
              <w:t>.</w:t>
            </w:r>
            <w:r w:rsidR="00582800" w:rsidRPr="00CD0016">
              <w:rPr>
                <w:rFonts w:ascii="Times New Roman" w:hAnsi="Times New Roman" w:cs="Times New Roman"/>
                <w:sz w:val="20"/>
                <w:szCs w:val="20"/>
                <w:lang w:val="bg-BG"/>
              </w:rPr>
              <w:t xml:space="preserve"> не съдържат </w:t>
            </w:r>
            <w:r w:rsidR="0060641B" w:rsidRPr="00CD0016">
              <w:rPr>
                <w:rFonts w:ascii="Times New Roman" w:hAnsi="Times New Roman" w:cs="Times New Roman"/>
                <w:sz w:val="20"/>
                <w:szCs w:val="20"/>
                <w:lang w:val="bg-BG"/>
              </w:rPr>
              <w:t>квалифицирано мнение.</w:t>
            </w:r>
          </w:p>
        </w:tc>
      </w:tr>
      <w:tr w:rsidR="00BC2695" w:rsidRPr="00CD0016" w:rsidTr="00C057E1">
        <w:trPr>
          <w:trHeight w:val="275"/>
        </w:trPr>
        <w:tc>
          <w:tcPr>
            <w:tcW w:w="647" w:type="dxa"/>
          </w:tcPr>
          <w:p w:rsidR="00BC2695"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Б.11</w:t>
            </w:r>
          </w:p>
        </w:tc>
        <w:tc>
          <w:tcPr>
            <w:tcW w:w="10268" w:type="dxa"/>
            <w:shd w:val="clear" w:color="auto" w:fill="auto"/>
          </w:tcPr>
          <w:p w:rsidR="008E3DB3" w:rsidRPr="00CD0016" w:rsidRDefault="00595526" w:rsidP="003F6B51">
            <w:pPr>
              <w:spacing w:after="0"/>
              <w:jc w:val="both"/>
              <w:rPr>
                <w:rFonts w:ascii="Times New Roman" w:eastAsia="Calibri" w:hAnsi="Times New Roman" w:cs="Times New Roman"/>
                <w:sz w:val="20"/>
                <w:szCs w:val="20"/>
                <w:lang w:val="bg-BG"/>
              </w:rPr>
            </w:pPr>
            <w:r w:rsidRPr="00CD0016">
              <w:rPr>
                <w:rFonts w:ascii="Times New Roman" w:hAnsi="Times New Roman" w:cs="Times New Roman"/>
                <w:sz w:val="20"/>
                <w:szCs w:val="20"/>
                <w:lang w:val="bg-BG"/>
              </w:rPr>
              <w:t xml:space="preserve">Гергана Атанасова Маринова, в качеството й на изпълнителен директор и представляващ  “ГЛЕНМООР КЕПИТАЛ” АДСИЦ, с подписа си в края на Документа за предлаганите ценни книжа, декларира, че по нейно мнение, оборотният капитал е достатъчен за настоящите нужди на Емитента. </w:t>
            </w:r>
          </w:p>
        </w:tc>
      </w:tr>
      <w:tr w:rsidR="006645B4" w:rsidRPr="00CD0016" w:rsidTr="00C057E1">
        <w:trPr>
          <w:trHeight w:val="275"/>
        </w:trPr>
        <w:tc>
          <w:tcPr>
            <w:tcW w:w="10915" w:type="dxa"/>
            <w:gridSpan w:val="2"/>
            <w:vAlign w:val="center"/>
          </w:tcPr>
          <w:p w:rsidR="006645B4" w:rsidRPr="00CD0016" w:rsidRDefault="00582800" w:rsidP="003F6B51">
            <w:pPr>
              <w:spacing w:after="0"/>
              <w:jc w:val="center"/>
              <w:rPr>
                <w:rFonts w:ascii="Times New Roman" w:eastAsia="Calibri" w:hAnsi="Times New Roman" w:cs="Times New Roman"/>
                <w:sz w:val="20"/>
                <w:szCs w:val="20"/>
                <w:lang w:val="bg-BG"/>
              </w:rPr>
            </w:pPr>
            <w:r w:rsidRPr="00CD0016">
              <w:rPr>
                <w:rFonts w:ascii="Times New Roman" w:eastAsia="Calibri" w:hAnsi="Times New Roman" w:cs="Times New Roman"/>
                <w:sz w:val="20"/>
                <w:szCs w:val="20"/>
                <w:lang w:val="bg-BG"/>
              </w:rPr>
              <w:t>РАЗДЕЛ В – ЦЕННИ КНИЖА</w:t>
            </w:r>
          </w:p>
        </w:tc>
      </w:tr>
      <w:tr w:rsidR="00D97BCB" w:rsidRPr="00CD0016" w:rsidTr="00C057E1">
        <w:trPr>
          <w:trHeight w:val="275"/>
        </w:trPr>
        <w:tc>
          <w:tcPr>
            <w:tcW w:w="647" w:type="dxa"/>
          </w:tcPr>
          <w:p w:rsidR="00D97BCB"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В.1</w:t>
            </w:r>
          </w:p>
        </w:tc>
        <w:tc>
          <w:tcPr>
            <w:tcW w:w="10268" w:type="dxa"/>
            <w:shd w:val="clear" w:color="auto" w:fill="auto"/>
          </w:tcPr>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Предмет на публично предлагане са 150 000 бр. обикновени, поименни, безналични акции от първоначалното увеличение на капитала на Дружеството. Акциите от тази емисия са от същия клас, както вече издадените акции на Дружеството и дават еднакви права на притежателите си – право на един глас в общото събрание на акционерите, право на дивидент и на ликвидационен дял, съразмерни с номиналната стойност на акцията. </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Международният номер за идентификация на акциите на “ГЛЕНМООР КЕПИТАЛ” АДСИЦ  (ISIN код) е:  </w:t>
            </w:r>
            <w:r w:rsidRPr="00CD0016">
              <w:rPr>
                <w:rStyle w:val="apple-style-span"/>
                <w:rFonts w:ascii="Times New Roman" w:hAnsi="Times New Roman" w:cs="Times New Roman"/>
                <w:color w:val="000000"/>
                <w:sz w:val="20"/>
                <w:szCs w:val="20"/>
                <w:lang w:val="bg-BG"/>
              </w:rPr>
              <w:t>BG1100006177</w:t>
            </w:r>
            <w:r w:rsidRPr="00CD0016">
              <w:rPr>
                <w:rFonts w:ascii="Times New Roman" w:hAnsi="Times New Roman" w:cs="Times New Roman"/>
                <w:sz w:val="20"/>
                <w:szCs w:val="20"/>
                <w:lang w:val="bg-BG"/>
              </w:rPr>
              <w:t>.</w:t>
            </w:r>
          </w:p>
          <w:p w:rsidR="00D97BCB" w:rsidRPr="00CD0016" w:rsidRDefault="00B323B7" w:rsidP="003F6B51">
            <w:pPr>
              <w:spacing w:after="0"/>
              <w:jc w:val="both"/>
              <w:rPr>
                <w:rFonts w:ascii="Times New Roman" w:eastAsia="Calibri" w:hAnsi="Times New Roman" w:cs="Times New Roman"/>
                <w:sz w:val="20"/>
                <w:szCs w:val="20"/>
                <w:lang w:val="bg-BG"/>
              </w:rPr>
            </w:pPr>
            <w:r w:rsidRPr="00CD0016">
              <w:rPr>
                <w:rFonts w:ascii="Times New Roman" w:hAnsi="Times New Roman" w:cs="Times New Roman"/>
                <w:sz w:val="20"/>
                <w:szCs w:val="20"/>
                <w:lang w:val="bg-BG"/>
              </w:rPr>
              <w:t>Акциите ще се предлагат само в Република България и няма да бъдат предмет на международно предлагане.</w:t>
            </w:r>
          </w:p>
        </w:tc>
      </w:tr>
      <w:tr w:rsidR="00D97BCB" w:rsidRPr="00CD0016" w:rsidTr="00C057E1">
        <w:trPr>
          <w:trHeight w:val="275"/>
        </w:trPr>
        <w:tc>
          <w:tcPr>
            <w:tcW w:w="647" w:type="dxa"/>
            <w:shd w:val="clear" w:color="auto" w:fill="auto"/>
          </w:tcPr>
          <w:p w:rsidR="00D97BCB"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В.2</w:t>
            </w:r>
          </w:p>
        </w:tc>
        <w:tc>
          <w:tcPr>
            <w:tcW w:w="10268" w:type="dxa"/>
            <w:shd w:val="clear" w:color="auto" w:fill="auto"/>
          </w:tcPr>
          <w:p w:rsidR="00D97BCB" w:rsidRPr="00CD0016" w:rsidRDefault="00B323B7" w:rsidP="003F6B51">
            <w:pPr>
              <w:spacing w:after="0"/>
              <w:jc w:val="both"/>
              <w:rPr>
                <w:rFonts w:ascii="Times New Roman" w:eastAsia="Calibri" w:hAnsi="Times New Roman" w:cs="Times New Roman"/>
                <w:sz w:val="20"/>
                <w:szCs w:val="20"/>
                <w:lang w:val="bg-BG"/>
              </w:rPr>
            </w:pPr>
            <w:r w:rsidRPr="00CD0016">
              <w:rPr>
                <w:rFonts w:ascii="Times New Roman" w:hAnsi="Times New Roman" w:cs="Times New Roman"/>
                <w:sz w:val="20"/>
                <w:szCs w:val="20"/>
                <w:lang w:val="bg-BG"/>
              </w:rPr>
              <w:t xml:space="preserve">Емисията акции от увеличението на капитала “ГЛЕНМООР КЕПИТАЛ” АДСИЦ е деноминирана в български лева. Номиналната стойност на предлаганите акции е 1 (един) лев, а емисионната им стойност също е 1 (един) лев. </w:t>
            </w:r>
          </w:p>
        </w:tc>
      </w:tr>
      <w:tr w:rsidR="00D97BCB" w:rsidRPr="00CD0016" w:rsidTr="00C057E1">
        <w:trPr>
          <w:trHeight w:val="275"/>
        </w:trPr>
        <w:tc>
          <w:tcPr>
            <w:tcW w:w="647" w:type="dxa"/>
            <w:shd w:val="clear" w:color="auto" w:fill="auto"/>
          </w:tcPr>
          <w:p w:rsidR="00D97BCB"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В.3</w:t>
            </w:r>
          </w:p>
        </w:tc>
        <w:tc>
          <w:tcPr>
            <w:tcW w:w="10268" w:type="dxa"/>
            <w:shd w:val="clear" w:color="auto" w:fill="auto"/>
          </w:tcPr>
          <w:p w:rsidR="00D97BCB" w:rsidRPr="00CD0016" w:rsidRDefault="00582800" w:rsidP="003F6B51">
            <w:pPr>
              <w:spacing w:after="0"/>
              <w:jc w:val="both"/>
              <w:rPr>
                <w:rFonts w:ascii="Times New Roman" w:eastAsia="Calibri" w:hAnsi="Times New Roman" w:cs="Times New Roman"/>
                <w:sz w:val="20"/>
                <w:szCs w:val="20"/>
                <w:lang w:val="bg-BG"/>
              </w:rPr>
            </w:pPr>
            <w:r w:rsidRPr="00CD0016">
              <w:rPr>
                <w:rFonts w:ascii="Times New Roman" w:eastAsia="Calibri" w:hAnsi="Times New Roman" w:cs="Times New Roman"/>
                <w:sz w:val="20"/>
                <w:szCs w:val="20"/>
                <w:lang w:val="bg-BG"/>
              </w:rPr>
              <w:t>Регистрираният капитал на „</w:t>
            </w:r>
            <w:r w:rsidR="00B323B7" w:rsidRPr="00CD0016">
              <w:rPr>
                <w:rFonts w:ascii="Times New Roman" w:hAnsi="Times New Roman" w:cs="Times New Roman"/>
                <w:sz w:val="20"/>
                <w:szCs w:val="20"/>
                <w:lang w:val="bg-BG"/>
              </w:rPr>
              <w:t>ГЛЕНМООР КЕПИТАЛ</w:t>
            </w:r>
            <w:r w:rsidRPr="00CD0016">
              <w:rPr>
                <w:rFonts w:ascii="Times New Roman" w:eastAsia="Calibri" w:hAnsi="Times New Roman" w:cs="Times New Roman"/>
                <w:sz w:val="20"/>
                <w:szCs w:val="20"/>
                <w:lang w:val="bg-BG"/>
              </w:rPr>
              <w:t xml:space="preserve">” АДСИЦ е в размер на </w:t>
            </w:r>
            <w:r w:rsidR="00B323B7" w:rsidRPr="00CD0016">
              <w:rPr>
                <w:rFonts w:ascii="Times New Roman" w:eastAsia="Calibri" w:hAnsi="Times New Roman" w:cs="Times New Roman"/>
                <w:sz w:val="20"/>
                <w:szCs w:val="20"/>
                <w:lang w:val="bg-BG"/>
              </w:rPr>
              <w:t>500 000</w:t>
            </w:r>
            <w:r w:rsidRPr="00CD0016">
              <w:rPr>
                <w:rFonts w:ascii="Times New Roman" w:eastAsia="Calibri" w:hAnsi="Times New Roman" w:cs="Times New Roman"/>
                <w:sz w:val="20"/>
                <w:szCs w:val="20"/>
                <w:lang w:val="bg-BG"/>
              </w:rPr>
              <w:t xml:space="preserve"> лв. и е разпределен в </w:t>
            </w:r>
            <w:r w:rsidR="00B323B7" w:rsidRPr="00CD0016">
              <w:rPr>
                <w:rFonts w:ascii="Times New Roman" w:eastAsia="Calibri" w:hAnsi="Times New Roman" w:cs="Times New Roman"/>
                <w:sz w:val="20"/>
                <w:szCs w:val="20"/>
                <w:lang w:val="bg-BG"/>
              </w:rPr>
              <w:t>500 000</w:t>
            </w:r>
            <w:r w:rsidRPr="00CD0016">
              <w:rPr>
                <w:rFonts w:ascii="Times New Roman" w:eastAsia="Calibri" w:hAnsi="Times New Roman" w:cs="Times New Roman"/>
                <w:sz w:val="20"/>
                <w:szCs w:val="20"/>
                <w:lang w:val="bg-BG"/>
              </w:rPr>
              <w:t xml:space="preserve"> броя безналични поименни акции с номинал 1 лев всяка една от тях. Всички акции са изцяло платени.</w:t>
            </w:r>
          </w:p>
        </w:tc>
      </w:tr>
      <w:tr w:rsidR="00D97BCB" w:rsidRPr="00CD0016" w:rsidTr="00C057E1">
        <w:trPr>
          <w:trHeight w:val="275"/>
        </w:trPr>
        <w:tc>
          <w:tcPr>
            <w:tcW w:w="647" w:type="dxa"/>
          </w:tcPr>
          <w:p w:rsidR="00D97BCB"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В.4</w:t>
            </w:r>
          </w:p>
        </w:tc>
        <w:tc>
          <w:tcPr>
            <w:tcW w:w="10268" w:type="dxa"/>
            <w:shd w:val="clear" w:color="auto" w:fill="auto"/>
          </w:tcPr>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Всяка обикновена акция на “ГЛЕНМООР КЕПИТАЛ” АДСИЦ дава право на глас в Общото събрание на акционерите, право на дивидент и на ликвидационен дял, пропорционални с номиналната стойност на акцията.</w:t>
            </w:r>
          </w:p>
          <w:p w:rsidR="00B323B7" w:rsidRPr="00CD0016" w:rsidRDefault="00B323B7" w:rsidP="003F6B51">
            <w:pPr>
              <w:pStyle w:val="BodyText2"/>
              <w:rPr>
                <w:b/>
                <w:sz w:val="20"/>
              </w:rPr>
            </w:pPr>
            <w:r w:rsidRPr="00CD0016">
              <w:rPr>
                <w:b/>
                <w:sz w:val="20"/>
              </w:rPr>
              <w:t>Право на дивидент</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Дивиденти се разпределят по решение на Общото събрание на акционерите с право на глас по предложение на Съвета на директорите.</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Дружеството не може да изплаща на своите акционери авансово суми срещу дивиденти преди окончателното приемане на годишния финансов отчет по реда на Търговския закон и Устава на Дружеството.</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Право да получат дивидент имат лицата, вписани в регистрите на Централния депозитар като акционери на 14-тия ден след датата на Общото събрание, на което е приет годишният финансов отчет и е прието решение за разпределяне на печалбата. </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Централният депозитар предоставя на Дружеството списък на акционерите към горепосочената дата. Присъствието на лицето в този списък е достатъчно условие то да получи дивидент, след надлежната му легитимация (вж. по-долу).</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color w:val="000000"/>
                <w:sz w:val="20"/>
                <w:szCs w:val="20"/>
                <w:lang w:val="bg-BG"/>
              </w:rPr>
              <w:t>Дружеството разпределя задължително като дивидент най-малко 90 % от печалбата си за финансовата година, определена по реда на чл. 10, ал. 3 ЗДСИЦ.</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color w:val="000000"/>
                <w:sz w:val="20"/>
                <w:szCs w:val="20"/>
                <w:lang w:val="bg-BG"/>
              </w:rPr>
              <w:t>Дивидентите се изплащат на акционерите в срок 12 (дванадесет) месеца от края на съответната финансова година</w:t>
            </w:r>
            <w:r w:rsidRPr="00CD0016">
              <w:rPr>
                <w:rFonts w:ascii="Times New Roman" w:hAnsi="Times New Roman" w:cs="Times New Roman"/>
                <w:sz w:val="20"/>
                <w:szCs w:val="20"/>
                <w:lang w:val="bg-BG"/>
              </w:rPr>
              <w:t>. Изплащането на дивидента се извършва по банков път със съдействието на Централния депозитар.</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Разходите по изплащането на дивидента са за сметка на Дружеството. </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Лицата, имащи право на дивидент, които не го потърсят в посочения срок, могат да упражнят това право до изтичане на общия 5-годишен давностен срок, след което правото се погасява и неполучените дивиденти остават в Дружеството. </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Няма ограничения и специални процедури за непребиваващи държатели.</w:t>
            </w:r>
          </w:p>
          <w:p w:rsidR="00B323B7" w:rsidRPr="00CD0016" w:rsidRDefault="00B323B7" w:rsidP="003F6B51">
            <w:pPr>
              <w:pStyle w:val="BodyText2"/>
              <w:rPr>
                <w:b/>
                <w:sz w:val="20"/>
              </w:rPr>
            </w:pPr>
            <w:r w:rsidRPr="00CD0016">
              <w:rPr>
                <w:b/>
                <w:sz w:val="20"/>
              </w:rPr>
              <w:t>Право на глас</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Правото на глас възниква с пълното изплащане на емисионната стойност и вписването на увеличението на капитала в Търговския регистър.</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Правото на глас в Общото събрание на акционерите се упражнява от лицата, вписани в регистрите на Централния депозитар като акционери 14 дни преди датата на Общото събрание. (Купувачът на акции, вписан в регистъра на Централния депозитар на 13-тия ден преди Общото събрание, няма да може да гласува; правото на глас по тези акции може да бъде упражнено от предишния им притежател). Централният депозитар предоставя на Дружеството списък на акционерите към горепосочената дата (14 дни преди Общото събрание). Присъствието на лицето в този списък е достатъчно условие то да участва в Общото събрание и да упражни правото си на глас, след надлежната му легитимация (лична карта за физическите лица; удостоверение за актуално състояние на акционер – юридическо лице и съответно легитимиране на неговия представител). Притежателите на правото на глас участват в Общото събрание лично или чрез представител, упълномощен с изрично писмено пълномощно, издадено от съответния акционер, което да бъде за конкретното общо събрание и да има минимално съдържание, определено по закон.</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При увеличение на капитала на Дружеството всеки акционер има право да придобие част от акциите от всяка допълнителна емисия от същия клас, която съответства на неговия дял в капитала преди увеличението. Право да участват в увеличението имат лицата, придобили акции най-късно 14 дни след датата на решението на Общото събрание за увеличаване на капитала, а когато решението за увеличението на капитала се взема от Съвета на директорите – лицата, придобили акции най-късно 7 дни след датата на публикуване на съобщението за публично </w:t>
            </w:r>
            <w:r w:rsidRPr="00CD0016">
              <w:rPr>
                <w:rFonts w:ascii="Times New Roman" w:hAnsi="Times New Roman" w:cs="Times New Roman"/>
                <w:sz w:val="20"/>
                <w:szCs w:val="20"/>
                <w:lang w:val="bg-BG"/>
              </w:rPr>
              <w:lastRenderedPageBreak/>
              <w:t xml:space="preserve">предлагане по чл. 92а от ЗППЦК. Съгласно чл. 13, ал. 3 от ЗДСИЦ това право не се прилага при първоначалното увеличение на капитала на “ГЛЕНМООР КЕПИТАЛ” АДСИЦ, което е предмет на настоящото публично предлагане.  </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При увеличаване на капитала на Дружеството чрез записване на акции се издават права по смисъла на § 1, т. 3 от Допълнителните разпоредби на ЗППЦК. Срещу всяка съществуваща акция се издава едно право. Съотношението между издадените права и една нова акция се определя в решението за увеличаване на капитала.</w:t>
            </w:r>
          </w:p>
          <w:p w:rsidR="00B323B7" w:rsidRPr="00CD0016" w:rsidRDefault="00B323B7" w:rsidP="003F6B51">
            <w:pPr>
              <w:pStyle w:val="BodyText2"/>
              <w:rPr>
                <w:b/>
                <w:sz w:val="20"/>
              </w:rPr>
            </w:pPr>
            <w:r w:rsidRPr="00CD0016">
              <w:rPr>
                <w:b/>
                <w:sz w:val="20"/>
              </w:rPr>
              <w:t xml:space="preserve">Право на дял от печалбите на Емитента </w:t>
            </w:r>
          </w:p>
          <w:p w:rsidR="00B323B7" w:rsidRPr="00CD0016" w:rsidRDefault="00B323B7" w:rsidP="003F6B51">
            <w:pPr>
              <w:shd w:val="clear" w:color="auto" w:fill="FFFFFF"/>
              <w:autoSpaceDE w:val="0"/>
              <w:autoSpaceDN w:val="0"/>
              <w:adjustRightInd w:val="0"/>
              <w:spacing w:after="0"/>
              <w:jc w:val="both"/>
              <w:rPr>
                <w:rFonts w:ascii="Times New Roman" w:hAnsi="Times New Roman" w:cs="Times New Roman"/>
                <w:color w:val="000000"/>
                <w:sz w:val="20"/>
                <w:szCs w:val="20"/>
                <w:lang w:val="bg-BG"/>
              </w:rPr>
            </w:pPr>
            <w:r w:rsidRPr="00CD0016">
              <w:rPr>
                <w:rFonts w:ascii="Times New Roman" w:hAnsi="Times New Roman" w:cs="Times New Roman"/>
                <w:color w:val="000000"/>
                <w:sz w:val="20"/>
                <w:szCs w:val="20"/>
                <w:lang w:val="bg-BG"/>
              </w:rPr>
              <w:t>Дивиденти се изплащат, ако според проверения и приет финансов отчет за съответната година чистата стойност на имуществото, намалена с дивидентите, подлежащи на изплащане, е не по-малка от сумата на капитала на Дружеството, фонд „Резервен</w:t>
            </w:r>
            <w:r w:rsidRPr="00CD0016">
              <w:rPr>
                <w:rFonts w:ascii="Times New Roman" w:hAnsi="Times New Roman" w:cs="Times New Roman"/>
                <w:sz w:val="20"/>
                <w:szCs w:val="20"/>
                <w:lang w:val="bg-BG"/>
              </w:rPr>
              <w:t>”</w:t>
            </w:r>
            <w:r w:rsidRPr="00CD0016">
              <w:rPr>
                <w:rFonts w:ascii="Times New Roman" w:hAnsi="Times New Roman" w:cs="Times New Roman"/>
                <w:color w:val="000000"/>
                <w:sz w:val="20"/>
                <w:szCs w:val="20"/>
                <w:lang w:val="bg-BG"/>
              </w:rPr>
              <w:t xml:space="preserve"> и другите фондове, които Дружеството е длъжно да образува по закон или Устав. Дружеството разпределя задължително като дивидент най-малко 90 % от печалбата си за финансовата година, определена по реда на чл. 10, ал. 3 ЗДСИЦ. Дивидентите се изплащат на акционерите в срок 12 (дванадесет) месеца от края на съответната финансова година.</w:t>
            </w:r>
          </w:p>
          <w:p w:rsidR="00B323B7" w:rsidRPr="00CD0016" w:rsidRDefault="00B323B7" w:rsidP="003F6B51">
            <w:pPr>
              <w:pStyle w:val="BodyText2"/>
              <w:rPr>
                <w:b/>
                <w:sz w:val="20"/>
              </w:rPr>
            </w:pPr>
            <w:r w:rsidRPr="00CD0016">
              <w:rPr>
                <w:b/>
                <w:sz w:val="20"/>
              </w:rPr>
              <w:t>Право на ликвидационен дял</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Обикновената акция на Дружеството дава право на ликвидационен дял, пропорционален с номиналната стойност на акцията. Това право е условно – то възниква и може да бъде упражнено, само в случай че (и доколкото) при ликвидацията на Дружеството след удовлетворяването на претенциите на всички кредитори е останало имущество за разпределяне между акционерите и до размера на това имущество. С право на ликвидационен дял разполагат само лицата, вписани в регистрите на „Централен депозитар” АД като акционери към момента на прекратяване на Дружеството. Дружеството се прекратява по решение на Общото събрание на акционерите и в другите предвидени в закона и Устава случаи. Съгласно действащото законодателство, правото на ликвидационен дял се погасява с изтичането на общия 5-годишен давностен срок.</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Всяка акция дава и допълнителни права, произтичащи от основните, както следва:</w:t>
            </w:r>
          </w:p>
          <w:p w:rsidR="00B323B7" w:rsidRPr="00CD0016" w:rsidRDefault="00B323B7" w:rsidP="003F6B51">
            <w:pPr>
              <w:numPr>
                <w:ilvl w:val="0"/>
                <w:numId w:val="10"/>
              </w:numPr>
              <w:spacing w:after="0"/>
              <w:ind w:left="360" w:hanging="360"/>
              <w:jc w:val="both"/>
              <w:rPr>
                <w:rFonts w:ascii="Times New Roman" w:hAnsi="Times New Roman" w:cs="Times New Roman"/>
                <w:i/>
                <w:sz w:val="20"/>
                <w:szCs w:val="20"/>
                <w:lang w:val="bg-BG"/>
              </w:rPr>
            </w:pPr>
            <w:r w:rsidRPr="00CD0016">
              <w:rPr>
                <w:rFonts w:ascii="Times New Roman" w:hAnsi="Times New Roman" w:cs="Times New Roman"/>
                <w:i/>
                <w:sz w:val="20"/>
                <w:szCs w:val="20"/>
                <w:lang w:val="bg-BG"/>
              </w:rPr>
              <w:t>право на всеки акционер да участва в управлението, да избира и да бъде избиран в органите на управление;</w:t>
            </w:r>
          </w:p>
          <w:p w:rsidR="00B323B7" w:rsidRPr="00CD0016" w:rsidRDefault="00B323B7" w:rsidP="003F6B51">
            <w:pPr>
              <w:numPr>
                <w:ilvl w:val="0"/>
                <w:numId w:val="10"/>
              </w:numPr>
              <w:spacing w:after="0"/>
              <w:ind w:left="360" w:hanging="360"/>
              <w:jc w:val="both"/>
              <w:rPr>
                <w:rFonts w:ascii="Times New Roman" w:hAnsi="Times New Roman" w:cs="Times New Roman"/>
                <w:sz w:val="20"/>
                <w:szCs w:val="20"/>
                <w:lang w:val="bg-BG"/>
              </w:rPr>
            </w:pPr>
            <w:r w:rsidRPr="00CD0016">
              <w:rPr>
                <w:rFonts w:ascii="Times New Roman" w:hAnsi="Times New Roman" w:cs="Times New Roman"/>
                <w:i/>
                <w:sz w:val="20"/>
                <w:szCs w:val="20"/>
                <w:lang w:val="bg-BG"/>
              </w:rPr>
              <w:t>право на информация, в това число и правото на предварително запознаване с писмените материали по обявения дневен ред на Общото събрание на акционерите и свободното им получаване при поискване</w:t>
            </w:r>
            <w:r w:rsidRPr="00CD0016">
              <w:rPr>
                <w:rFonts w:ascii="Times New Roman" w:hAnsi="Times New Roman" w:cs="Times New Roman"/>
                <w:sz w:val="20"/>
                <w:szCs w:val="20"/>
                <w:lang w:val="bg-BG"/>
              </w:rPr>
              <w:t>;</w:t>
            </w:r>
          </w:p>
          <w:p w:rsidR="00B323B7" w:rsidRPr="00CD0016" w:rsidRDefault="00B323B7" w:rsidP="003F6B51">
            <w:pPr>
              <w:numPr>
                <w:ilvl w:val="0"/>
                <w:numId w:val="10"/>
              </w:numPr>
              <w:spacing w:after="0"/>
              <w:ind w:left="360" w:hanging="360"/>
              <w:jc w:val="both"/>
              <w:rPr>
                <w:rFonts w:ascii="Times New Roman" w:hAnsi="Times New Roman" w:cs="Times New Roman"/>
                <w:i/>
                <w:sz w:val="20"/>
                <w:szCs w:val="20"/>
                <w:lang w:val="bg-BG"/>
              </w:rPr>
            </w:pPr>
            <w:r w:rsidRPr="00CD0016">
              <w:rPr>
                <w:rFonts w:ascii="Times New Roman" w:hAnsi="Times New Roman" w:cs="Times New Roman"/>
                <w:i/>
                <w:sz w:val="20"/>
                <w:szCs w:val="20"/>
                <w:lang w:val="bg-BG"/>
              </w:rPr>
              <w:t>право да обжалва пред съда решения на Общото събрание, противоречащи на закона или Устава.</w:t>
            </w:r>
          </w:p>
          <w:p w:rsidR="00B323B7" w:rsidRPr="00CD0016" w:rsidRDefault="00B323B7" w:rsidP="003F6B51">
            <w:pPr>
              <w:autoSpaceDE w:val="0"/>
              <w:autoSpaceDN w:val="0"/>
              <w:adjustRightInd w:val="0"/>
              <w:spacing w:after="0"/>
              <w:rPr>
                <w:rFonts w:ascii="Times New Roman" w:hAnsi="Times New Roman" w:cs="Times New Roman"/>
                <w:b/>
                <w:sz w:val="20"/>
                <w:szCs w:val="20"/>
                <w:lang w:val="bg-BG" w:eastAsia="bg-BG"/>
              </w:rPr>
            </w:pPr>
            <w:r w:rsidRPr="00CD0016">
              <w:rPr>
                <w:rFonts w:ascii="Times New Roman" w:hAnsi="Times New Roman" w:cs="Times New Roman"/>
                <w:b/>
                <w:sz w:val="20"/>
                <w:szCs w:val="20"/>
                <w:lang w:val="bg-BG" w:eastAsia="bg-BG"/>
              </w:rPr>
              <w:t>Права на миноритарните акционери:</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Акционери, притежаващи заедно или поотделно най-малко 5 на сто от капитала на Дружеството могат:</w:t>
            </w:r>
          </w:p>
          <w:p w:rsidR="00B323B7" w:rsidRPr="00CD0016" w:rsidRDefault="00B323B7" w:rsidP="003F6B51">
            <w:pPr>
              <w:numPr>
                <w:ilvl w:val="0"/>
                <w:numId w:val="10"/>
              </w:numPr>
              <w:spacing w:after="0"/>
              <w:ind w:left="360" w:hanging="360"/>
              <w:jc w:val="both"/>
              <w:rPr>
                <w:rFonts w:ascii="Times New Roman" w:hAnsi="Times New Roman" w:cs="Times New Roman"/>
                <w:i/>
                <w:sz w:val="20"/>
                <w:szCs w:val="20"/>
                <w:lang w:val="bg-BG"/>
              </w:rPr>
            </w:pPr>
            <w:r w:rsidRPr="00CD0016">
              <w:rPr>
                <w:rFonts w:ascii="Times New Roman" w:hAnsi="Times New Roman" w:cs="Times New Roman"/>
                <w:i/>
                <w:sz w:val="20"/>
                <w:szCs w:val="20"/>
                <w:lang w:val="bg-BG"/>
              </w:rPr>
              <w:t>при бездействие на управителните му органи, което застрашава интересите на Дружеството, да предявят пред съда исковете на Дружеството срещу трети лица;</w:t>
            </w:r>
          </w:p>
          <w:p w:rsidR="00B323B7" w:rsidRPr="00CD0016" w:rsidRDefault="00B323B7" w:rsidP="003F6B51">
            <w:pPr>
              <w:numPr>
                <w:ilvl w:val="0"/>
                <w:numId w:val="10"/>
              </w:numPr>
              <w:spacing w:after="0"/>
              <w:ind w:left="360" w:hanging="360"/>
              <w:jc w:val="both"/>
              <w:rPr>
                <w:rFonts w:ascii="Times New Roman" w:hAnsi="Times New Roman" w:cs="Times New Roman"/>
                <w:i/>
                <w:sz w:val="20"/>
                <w:szCs w:val="20"/>
                <w:lang w:val="bg-BG"/>
              </w:rPr>
            </w:pPr>
            <w:r w:rsidRPr="00CD0016">
              <w:rPr>
                <w:rFonts w:ascii="Times New Roman" w:hAnsi="Times New Roman" w:cs="Times New Roman"/>
                <w:i/>
                <w:sz w:val="20"/>
                <w:szCs w:val="20"/>
                <w:lang w:val="bg-BG"/>
              </w:rPr>
              <w:t xml:space="preserve"> да предявят иск пред окръжния съд по седалището на Дружеството за обезщетение на вреди, причинени на Дружеството от действия или бездействия на членовете на управителните и контролните органи и на прокуристите на Дружеството;</w:t>
            </w:r>
          </w:p>
          <w:p w:rsidR="00B323B7" w:rsidRPr="00CD0016" w:rsidRDefault="00B323B7" w:rsidP="003F6B51">
            <w:pPr>
              <w:numPr>
                <w:ilvl w:val="0"/>
                <w:numId w:val="10"/>
              </w:numPr>
              <w:spacing w:after="0"/>
              <w:ind w:left="360" w:hanging="360"/>
              <w:jc w:val="both"/>
              <w:rPr>
                <w:rFonts w:ascii="Times New Roman" w:hAnsi="Times New Roman" w:cs="Times New Roman"/>
                <w:i/>
                <w:sz w:val="20"/>
                <w:szCs w:val="20"/>
                <w:lang w:val="bg-BG"/>
              </w:rPr>
            </w:pPr>
            <w:r w:rsidRPr="00CD0016">
              <w:rPr>
                <w:rFonts w:ascii="Times New Roman" w:hAnsi="Times New Roman" w:cs="Times New Roman"/>
                <w:i/>
                <w:sz w:val="20"/>
                <w:szCs w:val="20"/>
                <w:lang w:val="bg-BG"/>
              </w:rPr>
              <w:t>да искат от Общото събрание или от окръжния съд назначаването на контрольори, които да проверят цялата счетоводна документация на Дружеството и да изготвят доклад за констатациите си;</w:t>
            </w:r>
          </w:p>
          <w:p w:rsidR="00B323B7" w:rsidRPr="00CD0016" w:rsidRDefault="00B323B7" w:rsidP="003F6B51">
            <w:pPr>
              <w:numPr>
                <w:ilvl w:val="0"/>
                <w:numId w:val="10"/>
              </w:numPr>
              <w:spacing w:after="0"/>
              <w:ind w:left="360" w:hanging="360"/>
              <w:jc w:val="both"/>
              <w:rPr>
                <w:rFonts w:ascii="Times New Roman" w:hAnsi="Times New Roman" w:cs="Times New Roman"/>
                <w:i/>
                <w:sz w:val="20"/>
                <w:szCs w:val="20"/>
                <w:lang w:val="bg-BG"/>
              </w:rPr>
            </w:pPr>
            <w:r w:rsidRPr="00CD0016">
              <w:rPr>
                <w:rFonts w:ascii="Times New Roman" w:hAnsi="Times New Roman" w:cs="Times New Roman"/>
                <w:i/>
                <w:sz w:val="20"/>
                <w:szCs w:val="20"/>
                <w:lang w:val="bg-BG"/>
              </w:rPr>
              <w:t>да искат от окръжния съд свикване на Общо събрание или овластяване на техен представител да свика Общо събрание по определен от тях дневен ред;</w:t>
            </w:r>
          </w:p>
          <w:p w:rsidR="00B323B7" w:rsidRPr="00CD0016" w:rsidRDefault="00B323B7" w:rsidP="003F6B51">
            <w:pPr>
              <w:numPr>
                <w:ilvl w:val="0"/>
                <w:numId w:val="10"/>
              </w:numPr>
              <w:spacing w:after="0"/>
              <w:ind w:left="360" w:hanging="360"/>
              <w:jc w:val="both"/>
              <w:rPr>
                <w:rFonts w:ascii="Times New Roman" w:hAnsi="Times New Roman" w:cs="Times New Roman"/>
                <w:i/>
                <w:sz w:val="20"/>
                <w:szCs w:val="20"/>
                <w:lang w:val="bg-BG"/>
              </w:rPr>
            </w:pPr>
            <w:r w:rsidRPr="00CD0016">
              <w:rPr>
                <w:rFonts w:ascii="Times New Roman" w:hAnsi="Times New Roman" w:cs="Times New Roman"/>
                <w:i/>
                <w:sz w:val="20"/>
                <w:szCs w:val="20"/>
                <w:lang w:val="bg-BG"/>
              </w:rPr>
              <w:t>да включат нови въпроси и да предлагат решения по вече включени въпроси в дневния ред на вече свикано Общо събрание на акционерите по реда на чл. 223а от Търговския закон.</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Акционери, които повече от три месеца притежават акции, представляващи поне 5 на сто от капитала на Дружеството, могат след обявяване в търговския регистър или изпращане на поканата да включат и други въпроси в дневния ред на общото събрание, съгласно чл. 223а от ТЗ.</w:t>
            </w:r>
          </w:p>
          <w:p w:rsidR="00B323B7"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Уставът на “ГЛЕНМООР КЕПИТАЛ” АДСИЦ не предвижда други особени права и привилегии по акциите, предмет на публично предлагане. Правата, предоставяни от акциите, предмет на настоящото публично предлагане, не могат да бъдат ограничени от права, предоставяни от друг клас ценни книжа или от разпоредбите на договор или друг документ.</w:t>
            </w:r>
          </w:p>
          <w:p w:rsidR="00B323B7" w:rsidRPr="00CD0016" w:rsidRDefault="00B323B7" w:rsidP="003F6B51">
            <w:pPr>
              <w:pStyle w:val="BodyText2"/>
              <w:rPr>
                <w:b/>
                <w:sz w:val="20"/>
                <w:lang w:eastAsia="bg-BG"/>
              </w:rPr>
            </w:pPr>
            <w:r w:rsidRPr="00CD0016">
              <w:rPr>
                <w:b/>
                <w:sz w:val="20"/>
                <w:lang w:eastAsia="bg-BG"/>
              </w:rPr>
              <w:t>Условия за обратно изкупуване</w:t>
            </w:r>
          </w:p>
          <w:p w:rsidR="00B323B7" w:rsidRPr="00CD0016" w:rsidRDefault="00B323B7" w:rsidP="003F6B51">
            <w:pPr>
              <w:pStyle w:val="BodyText2"/>
              <w:rPr>
                <w:sz w:val="20"/>
              </w:rPr>
            </w:pPr>
            <w:r w:rsidRPr="00CD0016">
              <w:rPr>
                <w:sz w:val="20"/>
              </w:rPr>
              <w:t>Съгласно чл. 22, ал. 4 от ЗДСИЦ, Дружеството не може да извършва обратно изкупуване по реда на чл. 111, ал. 5 от ЗППЦК.</w:t>
            </w:r>
          </w:p>
          <w:p w:rsidR="00B323B7" w:rsidRPr="00CD0016" w:rsidRDefault="00B323B7" w:rsidP="003F6B51">
            <w:pPr>
              <w:pStyle w:val="BodyText2"/>
              <w:rPr>
                <w:b/>
                <w:sz w:val="20"/>
                <w:lang w:eastAsia="bg-BG"/>
              </w:rPr>
            </w:pPr>
            <w:r w:rsidRPr="00CD0016" w:rsidDel="00591D82">
              <w:rPr>
                <w:sz w:val="20"/>
              </w:rPr>
              <w:t xml:space="preserve"> </w:t>
            </w:r>
            <w:r w:rsidRPr="00CD0016">
              <w:rPr>
                <w:b/>
                <w:sz w:val="20"/>
                <w:lang w:eastAsia="bg-BG"/>
              </w:rPr>
              <w:t>Условия за конвертиране</w:t>
            </w:r>
          </w:p>
          <w:p w:rsidR="00D97BCB" w:rsidRPr="00CD0016" w:rsidRDefault="00B323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Няма издадени конвертируеми ценни книжа.</w:t>
            </w:r>
          </w:p>
        </w:tc>
      </w:tr>
      <w:tr w:rsidR="00D97BCB" w:rsidRPr="00CD0016" w:rsidTr="00C057E1">
        <w:trPr>
          <w:trHeight w:val="275"/>
        </w:trPr>
        <w:tc>
          <w:tcPr>
            <w:tcW w:w="647" w:type="dxa"/>
          </w:tcPr>
          <w:p w:rsidR="00D97BCB"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В.5</w:t>
            </w:r>
          </w:p>
        </w:tc>
        <w:tc>
          <w:tcPr>
            <w:tcW w:w="10268" w:type="dxa"/>
            <w:shd w:val="clear" w:color="auto" w:fill="auto"/>
          </w:tcPr>
          <w:p w:rsidR="00634225" w:rsidRPr="00CD0016" w:rsidRDefault="00634225" w:rsidP="003F6B51">
            <w:pPr>
              <w:spacing w:after="0"/>
              <w:jc w:val="both"/>
              <w:rPr>
                <w:rFonts w:ascii="Times New Roman" w:hAnsi="Times New Roman" w:cs="Times New Roman"/>
                <w:sz w:val="20"/>
                <w:szCs w:val="20"/>
                <w:lang w:val="bg-BG"/>
              </w:rPr>
            </w:pPr>
            <w:bookmarkStart w:id="9" w:name="OLE_LINK33"/>
            <w:bookmarkStart w:id="10" w:name="OLE_LINK34"/>
            <w:r w:rsidRPr="00CD0016">
              <w:rPr>
                <w:rFonts w:ascii="Times New Roman" w:hAnsi="Times New Roman" w:cs="Times New Roman"/>
                <w:sz w:val="20"/>
                <w:szCs w:val="20"/>
                <w:lang w:val="bg-BG"/>
              </w:rPr>
              <w:t>Издадените от “ГЛЕНМООР КЕПИТАЛ” АДСИЦ акции се прехвърлят свободно, без ограничения, според волята на притежателя им и по реда, предвиден в ЗПФИ, Наредба № 38 на КФН за изискванията към дейността на инвестиционните посредници, Правилникът на „Централен депозитар“ АД (ЦД) и Правилата на БФБ (вж. по-долу). Прехвърлянето на акциите се счита за извършено от момента на регистрация на сделката в Централния депозитар.</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Търговията с акции на Дружеството на регулиран пазар ще се извършва на БФБ чрез лицензиран инвестиционен </w:t>
            </w:r>
            <w:r w:rsidRPr="00CD0016">
              <w:rPr>
                <w:rFonts w:ascii="Times New Roman" w:hAnsi="Times New Roman" w:cs="Times New Roman"/>
                <w:sz w:val="20"/>
                <w:szCs w:val="20"/>
                <w:lang w:val="bg-BG"/>
              </w:rPr>
              <w:lastRenderedPageBreak/>
              <w:t>посредник, член на БФБ. Търговия с акции от капитала на “ГЛЕНМООР КЕПИТАЛ” АДСИЦ може да се извършва и извън регулиран пазар при спазване на изискванията на приложимата нормативна уредба и Правилника на ЦД.</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За да закупят или продадат акции на БФБ, инвеститорите следва да подадат съответните нареждания за покупка или продажба до инвестиционния посредник, с който имат сключен договор. След сключване на борсовата сделка инвестиционният посредник извършва необходимите действия за регистрация на сделката в ЦД и за извършване на сетълмента, с което акциите се прехвърлят от сметката на продавача в сметката на купувача.</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Страните по сделки с акции от капитала на Дружеството, предварително сключени пряко между тях, страните по сключен договор за дарение с предмет акции от капитала на Дружеството, както и наследниците на починал акционер, ползват услугите на инвестиционен посредник, действащ като регистрационен агент, относно вписването на прехвърлянето в регистрите на „Централен депозитар“ АД, включително и за издаване на нов удостоверителен документ за регистрация в полза на приобретателя на акциите.</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Съгласно чл. 35, ал. 1 от Наредба № 38 на КФН, инвестиционните посредници имат задължение да изискват от клиентите си, съответно от техните пълномощници, да декларират дали:</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1. притежават вътрешна информация за финансовите инструменти, за които се отнася нареждането и за техния емитент, ако финансовите инструменти, за които се отнася нареждането или на базата, на които са издадени финансовите инструменти – предмет на нареждането, се търгуват на регулиран пазар;</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2. финансовите инструменти – предмет на нареждането за продажба или за замяна, са блокирани в депозитарната институция, в която се съхраняват, дали върху тях е учреден залог или е наложен запор;</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3. сделката – предмет на нареждането, представлява прикрита покупка или продажба на финансови инструменти.</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Съответният инвестиционен посредник проверява (освен в случаите, изрично посочени в приложимата нормативна уредба като изключения от това правило) в депозитарната институции дали финансовите инструменти, за които се отнася нареждането за продажба, са налични по подсметката на неговия клиент, дали са блокирани и дали върху тях е учреден залог или е наложен запор.</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Съответният инвестиционен посредник няма право да изпълни нареждане на негов клиент, ако клиентът, съответно неговият пълномощник, откаже да подаде декларация по чл. 35, ал. 1 от Наредба № 38, или декларира, че сделката – предмет на нареждането, представлява прикрита покупка или продажба на финансови инструменти. Отказът по изречение първо се удостоверява с отделен документ, подписан от клиента.</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Съответният инвестиционен посредник няма право да изпълни нареждането, ако е декларирано или ако установи, че финансовите инструменти – предмет на нареждане за продажба, са блокирани в депозитарната институция, както и ако върху тях е учреден залог или е наложен запор.</w:t>
            </w:r>
          </w:p>
          <w:p w:rsidR="00634225"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Тази забрана не се прилага по отношение на заложени финансови инструменти, ако приобретателят е уведомен за учредения залог и е изразил изрично съгласие да придобие заложените финансови инструменти, налице е изрично съгласие на заложния кредитор в предвидените по Закона за особените залози случаи или залогът е учреден върху съвкупност по смисъла на Закона за особените залози.</w:t>
            </w:r>
          </w:p>
          <w:p w:rsidR="00D97BCB" w:rsidRPr="00CD0016" w:rsidRDefault="0063422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Съгласно чл. 38, ал. 4 от ЗПФИ инвестиционен посредник, който сключва извън регулиран пазар и многостранна система за търговия сделки с акции, допуснати до търговия на регулиран пазар (в т.ч. и акциите от капитала на “ГЛЕНМООР КЕПИТАЛ” АДСИЦ), е длъжен да оповести публично информация за вида, емисията, броя и единичната цена на финансовите инструменти – предмет на сделката, за валутата на сделката, датата и часа на сключването й, като посочи, че сделката е сключена извън регулиран пазар и многостранна система за търговия.</w:t>
            </w:r>
            <w:bookmarkEnd w:id="9"/>
            <w:bookmarkEnd w:id="10"/>
          </w:p>
        </w:tc>
      </w:tr>
      <w:tr w:rsidR="00D97BCB" w:rsidRPr="00CD0016" w:rsidTr="00C057E1">
        <w:trPr>
          <w:trHeight w:val="275"/>
        </w:trPr>
        <w:tc>
          <w:tcPr>
            <w:tcW w:w="647" w:type="dxa"/>
          </w:tcPr>
          <w:p w:rsidR="00D97BCB"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В.6</w:t>
            </w:r>
          </w:p>
        </w:tc>
        <w:tc>
          <w:tcPr>
            <w:tcW w:w="10268" w:type="dxa"/>
            <w:shd w:val="clear" w:color="auto" w:fill="auto"/>
          </w:tcPr>
          <w:p w:rsidR="00634225" w:rsidRPr="00C169EC" w:rsidRDefault="00634225" w:rsidP="003F6B51">
            <w:pPr>
              <w:spacing w:after="0"/>
              <w:jc w:val="both"/>
              <w:rPr>
                <w:rFonts w:ascii="Times New Roman" w:hAnsi="Times New Roman" w:cs="Times New Roman"/>
                <w:sz w:val="20"/>
                <w:szCs w:val="20"/>
                <w:lang w:val="bg-BG"/>
              </w:rPr>
            </w:pPr>
            <w:bookmarkStart w:id="11" w:name="OLE_LINK35"/>
            <w:bookmarkStart w:id="12" w:name="OLE_LINK36"/>
            <w:bookmarkStart w:id="13" w:name="OLE_LINK37"/>
            <w:r w:rsidRPr="00CD0016">
              <w:rPr>
                <w:rFonts w:ascii="Times New Roman" w:hAnsi="Times New Roman" w:cs="Times New Roman"/>
                <w:sz w:val="20"/>
                <w:szCs w:val="20"/>
                <w:lang w:val="bg-BG"/>
              </w:rPr>
              <w:t xml:space="preserve">След приключване на публичното предлагане на акциите и в 7-дневен срок от вписването на увеличението на капитала в Търговския регистър, Дружеството ще подаде заявление до KФН за вписване на издадената емисия акции в регистъра по чл. 30, ал. 1, т. 3 от ЗКФН. След решението на КФН за вписване на емисията в регистъра, Дружеството ще подаде заявление за регистриране на емисията акции за </w:t>
            </w:r>
            <w:r w:rsidRPr="00C169EC">
              <w:rPr>
                <w:rFonts w:ascii="Times New Roman" w:hAnsi="Times New Roman" w:cs="Times New Roman"/>
                <w:sz w:val="20"/>
                <w:szCs w:val="20"/>
                <w:lang w:val="bg-BG"/>
              </w:rPr>
              <w:t xml:space="preserve">търговия на „БФБ – София” АД. Търговията с акциите може да започне на определената от Съвета на директорите на БФБ дата, след регистрация на емисията нови акции на Емитента. Очаква се търговията с нови акции да започне на или около </w:t>
            </w:r>
            <w:r w:rsidR="00F4283D" w:rsidRPr="00EB4E3E">
              <w:rPr>
                <w:rFonts w:ascii="Times New Roman" w:hAnsi="Times New Roman" w:cs="Times New Roman"/>
                <w:sz w:val="20"/>
              </w:rPr>
              <w:t xml:space="preserve">09.03.2018 </w:t>
            </w:r>
            <w:r w:rsidRPr="00C169EC">
              <w:rPr>
                <w:rFonts w:ascii="Times New Roman" w:hAnsi="Times New Roman" w:cs="Times New Roman"/>
                <w:sz w:val="20"/>
                <w:szCs w:val="20"/>
                <w:lang w:val="bg-BG"/>
              </w:rPr>
              <w:t>г.</w:t>
            </w:r>
          </w:p>
          <w:p w:rsidR="00634225" w:rsidRPr="00CD0016" w:rsidRDefault="00634225"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Сделките с акции, издадени от публично дружество, регистрирано в България, са детайлно уредени в Закона за публичното предлагане на ценни книжа и наредбите по прилагането му, в Правилата на БФБ и Правилника</w:t>
            </w:r>
            <w:r w:rsidRPr="00CD0016">
              <w:rPr>
                <w:rFonts w:ascii="Times New Roman" w:hAnsi="Times New Roman" w:cs="Times New Roman"/>
                <w:sz w:val="20"/>
                <w:szCs w:val="20"/>
                <w:lang w:val="bg-BG"/>
              </w:rPr>
              <w:t xml:space="preserve"> на Централния депозитар. От 1 ноември 2007 г. ЗППЦК се измени с влизането в сила и на Закона за пазарите на финансови инструменти от 2007 г., въвеждащ изискванията на Директива 2004/39/ЕИО за пазарите на финансови инструменти, като в частност отпада условието сделки с акции на публични дружества да се извършват задължително на регулиран пазар на ценни книжа.</w:t>
            </w:r>
          </w:p>
          <w:bookmarkEnd w:id="11"/>
          <w:bookmarkEnd w:id="12"/>
          <w:bookmarkEnd w:id="13"/>
          <w:p w:rsidR="00D97BCB" w:rsidRPr="00CD0016" w:rsidRDefault="00D97BCB" w:rsidP="003F6B51">
            <w:pPr>
              <w:spacing w:after="0"/>
              <w:jc w:val="both"/>
              <w:rPr>
                <w:rFonts w:ascii="Times New Roman" w:eastAsia="Calibri" w:hAnsi="Times New Roman" w:cs="Times New Roman"/>
                <w:sz w:val="20"/>
                <w:szCs w:val="20"/>
                <w:lang w:val="bg-BG"/>
              </w:rPr>
            </w:pPr>
          </w:p>
        </w:tc>
      </w:tr>
      <w:tr w:rsidR="00D97BCB" w:rsidRPr="00CD0016" w:rsidTr="00C057E1">
        <w:trPr>
          <w:trHeight w:val="275"/>
        </w:trPr>
        <w:tc>
          <w:tcPr>
            <w:tcW w:w="647" w:type="dxa"/>
          </w:tcPr>
          <w:p w:rsidR="00D97BCB"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В.7</w:t>
            </w:r>
          </w:p>
        </w:tc>
        <w:tc>
          <w:tcPr>
            <w:tcW w:w="10268" w:type="dxa"/>
            <w:shd w:val="clear" w:color="auto" w:fill="auto"/>
          </w:tcPr>
          <w:p w:rsidR="00093E37" w:rsidRPr="00CD0016" w:rsidRDefault="00093E37" w:rsidP="003F6B51">
            <w:pPr>
              <w:spacing w:after="0"/>
              <w:jc w:val="both"/>
              <w:rPr>
                <w:rFonts w:ascii="Times New Roman" w:hAnsi="Times New Roman" w:cs="Times New Roman"/>
                <w:sz w:val="20"/>
                <w:szCs w:val="20"/>
                <w:lang w:val="bg-BG"/>
              </w:rPr>
            </w:pPr>
            <w:bookmarkStart w:id="14" w:name="OLE_LINK39"/>
            <w:r w:rsidRPr="00CD0016">
              <w:rPr>
                <w:rFonts w:ascii="Times New Roman" w:hAnsi="Times New Roman" w:cs="Times New Roman"/>
                <w:sz w:val="20"/>
                <w:szCs w:val="20"/>
                <w:lang w:val="bg-BG"/>
              </w:rPr>
              <w:t>Като дружество със специална инвестиционна цел ГЛЕНМООР КЕПИТАЛ АДСИЦ е задължено да разпределя минимум 90 % от печалбата си след преобразуване по реда на чл. 10 от ЗДСИЦ като дивидент.</w:t>
            </w:r>
          </w:p>
          <w:p w:rsidR="00D97BCB" w:rsidRPr="00CD0016" w:rsidRDefault="00093E3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“ГЛЕНМООР КЕПИТАЛ” АДСИЦ е учредено през 2017 г. и не е разпределяло дивидент. Дружеството със специална инвестиционна цел не е разпределяло дивидент и няма как да се очаква промяна в дружествената </w:t>
            </w:r>
            <w:r w:rsidRPr="00CD0016">
              <w:rPr>
                <w:rFonts w:ascii="Times New Roman" w:hAnsi="Times New Roman" w:cs="Times New Roman"/>
                <w:sz w:val="20"/>
                <w:szCs w:val="20"/>
                <w:lang w:val="bg-BG"/>
              </w:rPr>
              <w:lastRenderedPageBreak/>
              <w:t>политика по отношение на разпределянето на дивиденти.</w:t>
            </w:r>
            <w:bookmarkEnd w:id="14"/>
          </w:p>
        </w:tc>
      </w:tr>
      <w:tr w:rsidR="006645B4" w:rsidRPr="00CD0016" w:rsidTr="00C057E1">
        <w:trPr>
          <w:trHeight w:val="275"/>
        </w:trPr>
        <w:tc>
          <w:tcPr>
            <w:tcW w:w="10915" w:type="dxa"/>
            <w:gridSpan w:val="2"/>
            <w:vAlign w:val="center"/>
          </w:tcPr>
          <w:p w:rsidR="006645B4" w:rsidRPr="00CD0016" w:rsidRDefault="00582800" w:rsidP="003F6B51">
            <w:pPr>
              <w:spacing w:after="0"/>
              <w:jc w:val="center"/>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РАЗДЕЛ Г - РИСКОВЕ</w:t>
            </w:r>
          </w:p>
        </w:tc>
      </w:tr>
      <w:tr w:rsidR="0067528D" w:rsidRPr="00CD0016" w:rsidTr="00C057E1">
        <w:trPr>
          <w:trHeight w:val="275"/>
        </w:trPr>
        <w:tc>
          <w:tcPr>
            <w:tcW w:w="647" w:type="dxa"/>
            <w:shd w:val="clear" w:color="auto" w:fill="auto"/>
          </w:tcPr>
          <w:p w:rsidR="0067528D"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Г.1</w:t>
            </w:r>
          </w:p>
        </w:tc>
        <w:tc>
          <w:tcPr>
            <w:tcW w:w="10268" w:type="dxa"/>
            <w:shd w:val="clear" w:color="auto" w:fill="auto"/>
          </w:tcPr>
          <w:p w:rsidR="00093E37" w:rsidRPr="00CD0016" w:rsidRDefault="00093E37"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Оперативните и финансовите резултати на “ГЛЕНМООР КЕПИТАЛ” АДСИЦ са обвързани със специфичните фактори, които влияят на сектора, в който Дружеството оперира. </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 xml:space="preserve">Доходите от или стойността на недвижимите имоти могат да бъдат засегнати от цялостното състояние на икономическата среда в България, общото предлагане на недвижими имоти, както и на недвижими имоти с определено предназначение или местоположение, от намаляване на търсенето на недвижими имоти, понижаване на атрактивността на предлаганите от Дружеството имоти, конкуренцията от страна на други инвеститори, увеличаване на оперативните разходи. </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 xml:space="preserve">Едновременно с това, финансовите резултати на Дружеството зависят от цената и възможностите за привличане на капитал за извършване на инвестициите. Приходите на Дружеството, които се формират от реализация на периодични вземания по договори за наем, се влияят от навременното и изрядно плащане на наемателите на притежаваните от Дружеството недвижими имоти. </w:t>
            </w:r>
          </w:p>
          <w:p w:rsidR="00093E37" w:rsidRPr="00CD0016" w:rsidRDefault="00093E37" w:rsidP="003F6B51">
            <w:pPr>
              <w:pStyle w:val="Style6"/>
              <w:widowControl/>
              <w:spacing w:line="240" w:lineRule="auto"/>
              <w:rPr>
                <w:rStyle w:val="FontStyle107"/>
                <w:rFonts w:ascii="Times New Roman" w:hAnsi="Times New Roman" w:cs="Times New Roman"/>
                <w:bCs w:val="0"/>
                <w:iCs w:val="0"/>
                <w:lang w:eastAsia="bg-BG"/>
              </w:rPr>
            </w:pPr>
            <w:r w:rsidRPr="00CD0016">
              <w:rPr>
                <w:rStyle w:val="FontStyle107"/>
                <w:rFonts w:ascii="Times New Roman" w:hAnsi="Times New Roman" w:cs="Times New Roman"/>
                <w:bCs w:val="0"/>
                <w:iCs w:val="0"/>
                <w:lang w:eastAsia="bg-BG"/>
              </w:rPr>
              <w:t>Намаление на пазарните цени на недвижимите имоти</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 xml:space="preserve">Дружеството в момента не е инвестирало в имоти и не е изложено на този риск. Изменението на пазарните цени на недвижимите имоти и конкретно на притежаваните от Дружеството активи в бъдеще ще промени нетната стойност на активите на една акция. От последната до голяма степен се определя пазарната стойност на търгуваните акции. </w:t>
            </w:r>
          </w:p>
          <w:p w:rsidR="00093E37" w:rsidRPr="00CD0016" w:rsidRDefault="00093E37" w:rsidP="003F6B51">
            <w:pPr>
              <w:pStyle w:val="Style6"/>
              <w:widowControl/>
              <w:spacing w:line="240" w:lineRule="auto"/>
              <w:rPr>
                <w:rStyle w:val="FontStyle107"/>
                <w:rFonts w:ascii="Times New Roman" w:hAnsi="Times New Roman" w:cs="Times New Roman"/>
                <w:bCs w:val="0"/>
                <w:iCs w:val="0"/>
                <w:lang w:eastAsia="bg-BG"/>
              </w:rPr>
            </w:pPr>
            <w:r w:rsidRPr="00CD0016">
              <w:rPr>
                <w:rStyle w:val="FontStyle107"/>
                <w:rFonts w:ascii="Times New Roman" w:hAnsi="Times New Roman" w:cs="Times New Roman"/>
                <w:bCs w:val="0"/>
                <w:iCs w:val="0"/>
                <w:lang w:eastAsia="bg-BG"/>
              </w:rPr>
              <w:t xml:space="preserve">Намаление на равнището на наемите </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Дружеството все още не е започнало активна дейност, респ. не е изложено на този риск към момента на първоначалното увеличение на капитала. Намаление на средните нива на наемите в страната може да окаже негативно влияние върху приходите, печалбите и размера на паричния дивидент на компанията в бъдеще. От една страна, намаляването на пазарните нива на наемите ще повлияе негативно върху тази част от приходите на Дружеството, които ще бъдат реализирани от отдаване на придобитите от него недвижими имоти под наем, съответно ще се отрази отрицателно върху печалбата му и възвращаемостта на инвестицията на акционерите. В дългосрочен план Дружеството ще минимизира този риск чрез диверсификация на инвестициите в различни видове недвижими имоти и съответно в различни регионални области, както и чрез сключване на дългосрочни договори за предоставяне на ползване. От друга страна, съществува непряк риск от намаляване на равнищата на наемите, в случаите когато Дружеството ще реализира приходи от продажба на притежаваните недвижими имоти, доколкото съществена част от купувачите на имоти ги придобиват с цел отдаване под наем. Ако очакваните от тях доходи от наем спаднат, при равни други условия това ще повлияе отрицателно на цената, която те са склонни да заплатят, за да придобият даден имот. Това от своя страна би могло да доведе до спад на търсенето на недвижими имоти и съответно до спад на техните цени. Дружеството ще се стреми да намали риска от потенциално намаление на наемните равнища като придобива специфични имоти, доходността от които е по-малко вероятно да спадне.</w:t>
            </w:r>
          </w:p>
          <w:p w:rsidR="00093E37" w:rsidRPr="00CD0016" w:rsidRDefault="00093E37" w:rsidP="003F6B51">
            <w:pPr>
              <w:pStyle w:val="Style6"/>
              <w:widowControl/>
              <w:spacing w:line="240" w:lineRule="auto"/>
              <w:rPr>
                <w:rStyle w:val="FontStyle107"/>
                <w:rFonts w:ascii="Times New Roman" w:hAnsi="Times New Roman" w:cs="Times New Roman"/>
                <w:bCs w:val="0"/>
                <w:iCs w:val="0"/>
                <w:lang w:eastAsia="bg-BG"/>
              </w:rPr>
            </w:pPr>
            <w:r w:rsidRPr="00CD0016">
              <w:rPr>
                <w:rStyle w:val="FontStyle107"/>
                <w:rFonts w:ascii="Times New Roman" w:hAnsi="Times New Roman" w:cs="Times New Roman"/>
                <w:bCs w:val="0"/>
                <w:iCs w:val="0"/>
                <w:lang w:eastAsia="bg-BG"/>
              </w:rPr>
              <w:t>Повишение на застрахователните премии</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Дружеството все още не е подложено на този риск, тъй като не е започнало активна дейност. Дружеството възнамерява да застрахова притежаваните от него имоти. Повишение на застрахователните премии за недвижимите имоти ще се отрази негативно на финансовия резултат. Поради малкия относителен размер на тези разходи, равнището на застрахователните премии ще има минимален ефект върху общата доходност на компанията. За намаляване на тези премии се търсят оптимални оферти по отношение на застрахователно покритие и размер на застрахователна премия.</w:t>
            </w:r>
          </w:p>
          <w:p w:rsidR="00093E37" w:rsidRPr="00CD0016" w:rsidRDefault="00093E37" w:rsidP="003F6B51">
            <w:pPr>
              <w:pStyle w:val="Style6"/>
              <w:widowControl/>
              <w:spacing w:line="240" w:lineRule="auto"/>
              <w:rPr>
                <w:rStyle w:val="FontStyle107"/>
                <w:rFonts w:ascii="Times New Roman" w:hAnsi="Times New Roman" w:cs="Times New Roman"/>
                <w:bCs w:val="0"/>
                <w:iCs w:val="0"/>
                <w:lang w:eastAsia="bg-BG"/>
              </w:rPr>
            </w:pPr>
            <w:r w:rsidRPr="00CD0016">
              <w:rPr>
                <w:rStyle w:val="FontStyle107"/>
                <w:rFonts w:ascii="Times New Roman" w:hAnsi="Times New Roman" w:cs="Times New Roman"/>
                <w:bCs w:val="0"/>
                <w:iCs w:val="0"/>
                <w:lang w:eastAsia="bg-BG"/>
              </w:rPr>
              <w:t>Ниска ликвидност на инвестициите в недвижими имоти</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 xml:space="preserve">Дружеството все още не е подложено на този риск, тъй като не е започнало активна дейност. За инвестициите в недвижими имоти е характерна по-голямата трудност, а понякога и невъзможност, имотите да бъдат продадени бързо и с минимални транзакционни разходи на текущата пазарна цена. Поради това ще бъдат ограничени възможностите на Дружеството да извършва бързи промени в портфейла си от недвижими имоти в отговор на промени в икономическите и други условия. Няма гаранция, че Дружеството ще успее своевременно да продаде недвижими имоти или че продажната им цена ще надвишава цената на тяхното придобиване. Отчитайки ликвидния риск, Дружеството провежда инвестиционна стратегия, която предвижда закупуване/изграждане на недвижими имоти с атрактивно разположение и приложение, които да гарантират евентуалната им последваща продажба в сравнително кратък срок. </w:t>
            </w:r>
          </w:p>
          <w:p w:rsidR="00093E37" w:rsidRPr="00CD0016" w:rsidRDefault="00093E37" w:rsidP="003F6B51">
            <w:pPr>
              <w:pStyle w:val="Style6"/>
              <w:widowControl/>
              <w:spacing w:line="240" w:lineRule="auto"/>
              <w:rPr>
                <w:rStyle w:val="FontStyle107"/>
                <w:rFonts w:ascii="Times New Roman" w:hAnsi="Times New Roman" w:cs="Times New Roman"/>
                <w:bCs w:val="0"/>
                <w:iCs w:val="0"/>
                <w:lang w:eastAsia="bg-BG"/>
              </w:rPr>
            </w:pPr>
            <w:r w:rsidRPr="00CD0016">
              <w:rPr>
                <w:rStyle w:val="FontStyle107"/>
                <w:rFonts w:ascii="Times New Roman" w:hAnsi="Times New Roman" w:cs="Times New Roman"/>
                <w:bCs w:val="0"/>
                <w:iCs w:val="0"/>
                <w:lang w:eastAsia="bg-BG"/>
              </w:rPr>
              <w:t>Повишена конкуренция</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 xml:space="preserve">Вследствие възходящата динамика в сектора на недвижимите имоти през 2016 и през 2015 г., както и вследствие на значителния ръст на българския пазар на недвижими имоти през последните години преди настъпването на глобалната финансова криза, в сектора навлязоха много нови участници и много чуждестранни инвеститори. В резултат на това бяхме свидетели на засилващата се конкуренция между строителни фирми, агенции за недвижими </w:t>
            </w:r>
            <w:r w:rsidRPr="00CD0016">
              <w:rPr>
                <w:rStyle w:val="FontStyle120"/>
                <w:rFonts w:ascii="Times New Roman" w:hAnsi="Times New Roman" w:cs="Times New Roman"/>
                <w:lang w:eastAsia="bg-BG"/>
              </w:rPr>
              <w:lastRenderedPageBreak/>
              <w:t>имоти, дружества със специална инвестиционна цел, търговски банки, физически лица и др. Това ще се отразява на инвестиционните разходи на Дружеството, особено когато стартира активна дейност, и може да доведе до намаляване на привлекателността на инвестиции в ценни книжа на “ГЛЕНМООР КЕПИТАЛ” АДСИЦ.</w:t>
            </w:r>
          </w:p>
          <w:p w:rsidR="00093E37" w:rsidRPr="00CD0016" w:rsidRDefault="00093E37" w:rsidP="003F6B51">
            <w:pPr>
              <w:pStyle w:val="Style6"/>
              <w:widowControl/>
              <w:spacing w:line="240" w:lineRule="auto"/>
              <w:rPr>
                <w:rStyle w:val="FontStyle107"/>
                <w:rFonts w:ascii="Times New Roman" w:hAnsi="Times New Roman" w:cs="Times New Roman"/>
                <w:bCs w:val="0"/>
                <w:iCs w:val="0"/>
                <w:lang w:eastAsia="bg-BG"/>
              </w:rPr>
            </w:pPr>
            <w:r w:rsidRPr="00CD0016">
              <w:rPr>
                <w:rStyle w:val="FontStyle107"/>
                <w:rFonts w:ascii="Times New Roman" w:hAnsi="Times New Roman" w:cs="Times New Roman"/>
                <w:bCs w:val="0"/>
                <w:iCs w:val="0"/>
                <w:lang w:eastAsia="bg-BG"/>
              </w:rPr>
              <w:t>Рискове при отдаването под наем</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Когато дружеството стартира активна дейност може да бъде подложено на риск от недостатъчна заетост на притежаваните от него недвижими имоти, забава при отдаването под наем или отдаването им при по-малко изгодни условия от първоначално предвижданите. Ограничаването на този риск ще зависи както от атрактивността на предлаганите от Дружеството недвижими имоти, неговите възможности за добър маркетинг и управление на тези имоти, така и от общата пазарна конюнктура в страната.</w:t>
            </w:r>
          </w:p>
          <w:p w:rsidR="00093E37" w:rsidRPr="00CD0016" w:rsidRDefault="00093E37" w:rsidP="003F6B51">
            <w:pPr>
              <w:pStyle w:val="Style6"/>
              <w:widowControl/>
              <w:spacing w:line="240" w:lineRule="auto"/>
              <w:rPr>
                <w:rStyle w:val="FontStyle107"/>
                <w:rFonts w:ascii="Times New Roman" w:hAnsi="Times New Roman" w:cs="Times New Roman"/>
                <w:bCs w:val="0"/>
                <w:iCs w:val="0"/>
                <w:lang w:eastAsia="bg-BG"/>
              </w:rPr>
            </w:pPr>
            <w:r w:rsidRPr="00CD0016">
              <w:rPr>
                <w:rStyle w:val="FontStyle107"/>
                <w:rFonts w:ascii="Times New Roman" w:hAnsi="Times New Roman" w:cs="Times New Roman"/>
                <w:bCs w:val="0"/>
                <w:iCs w:val="0"/>
                <w:lang w:eastAsia="bg-BG"/>
              </w:rPr>
              <w:t>Риск от непокрити от застраховки загуби</w:t>
            </w:r>
          </w:p>
          <w:p w:rsidR="00093E37" w:rsidRPr="00CD0016" w:rsidRDefault="00093E37" w:rsidP="003F6B51">
            <w:pPr>
              <w:pStyle w:val="Style6"/>
              <w:widowControl/>
              <w:spacing w:line="240" w:lineRule="auto"/>
              <w:rPr>
                <w:rStyle w:val="FontStyle120"/>
                <w:rFonts w:ascii="Times New Roman" w:hAnsi="Times New Roman" w:cs="Times New Roman"/>
                <w:lang w:eastAsia="bg-BG"/>
              </w:rPr>
            </w:pPr>
            <w:r w:rsidRPr="00CD0016">
              <w:rPr>
                <w:rStyle w:val="FontStyle120"/>
                <w:rFonts w:ascii="Times New Roman" w:hAnsi="Times New Roman" w:cs="Times New Roman"/>
                <w:lang w:eastAsia="bg-BG"/>
              </w:rPr>
              <w:t>В съответствие с изискванията на закона, Дружеството застрахова притежаваните от него недвижими имоти. Съществуват обаче рискове, които не се покриват от застрахователните компании или чието застраховане по действителна стойност на имуществото не е икономически оправдано поради високите премии, които ще следва да се заплатят. Ако произтекат вреди от застрахователно събитие над застрахователното покритие, Дружеството ще претърпи загуби.</w:t>
            </w:r>
          </w:p>
          <w:p w:rsidR="00093E37" w:rsidRPr="00CD0016" w:rsidRDefault="00093E37" w:rsidP="003F6B51">
            <w:pPr>
              <w:pStyle w:val="Style6"/>
              <w:widowControl/>
              <w:spacing w:line="240" w:lineRule="auto"/>
              <w:rPr>
                <w:rStyle w:val="FontStyle107"/>
                <w:rFonts w:ascii="Times New Roman" w:hAnsi="Times New Roman" w:cs="Times New Roman"/>
                <w:bCs w:val="0"/>
                <w:iCs w:val="0"/>
                <w:lang w:eastAsia="bg-BG"/>
              </w:rPr>
            </w:pPr>
            <w:r w:rsidRPr="00CD0016">
              <w:rPr>
                <w:rStyle w:val="FontStyle107"/>
                <w:rFonts w:ascii="Times New Roman" w:hAnsi="Times New Roman" w:cs="Times New Roman"/>
                <w:bCs w:val="0"/>
                <w:iCs w:val="0"/>
                <w:lang w:eastAsia="bg-BG"/>
              </w:rPr>
              <w:t>Рискове, свързани с използването на дългово финансиране</w:t>
            </w:r>
          </w:p>
          <w:p w:rsidR="0067528D" w:rsidRPr="00CD0016" w:rsidRDefault="00093E37" w:rsidP="003F6B51">
            <w:pPr>
              <w:pStyle w:val="Style6"/>
              <w:widowControl/>
              <w:spacing w:line="240" w:lineRule="auto"/>
              <w:rPr>
                <w:rFonts w:ascii="Times New Roman" w:hAnsi="Times New Roman"/>
                <w:sz w:val="20"/>
                <w:szCs w:val="20"/>
              </w:rPr>
            </w:pPr>
            <w:r w:rsidRPr="00CD0016">
              <w:rPr>
                <w:rStyle w:val="FontStyle120"/>
                <w:rFonts w:ascii="Times New Roman" w:hAnsi="Times New Roman" w:cs="Times New Roman"/>
                <w:lang w:eastAsia="bg-BG"/>
              </w:rPr>
              <w:t>Дружеството възнамерява в бъдеще да финансира част от инвестиционната си програма чрез привличане на дълг. Това излага компанията на рисковете, характерни за дълговото финансиране, включително риска от това оперативните приходи да бъдат недостатъчни за обслужване на заемите и разпределянето на дивиденти.</w:t>
            </w:r>
          </w:p>
        </w:tc>
      </w:tr>
      <w:tr w:rsidR="0067528D" w:rsidRPr="00CD0016" w:rsidTr="00C057E1">
        <w:trPr>
          <w:trHeight w:val="275"/>
        </w:trPr>
        <w:tc>
          <w:tcPr>
            <w:tcW w:w="647" w:type="dxa"/>
            <w:shd w:val="clear" w:color="auto" w:fill="auto"/>
          </w:tcPr>
          <w:p w:rsidR="0067528D"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Г.3</w:t>
            </w:r>
          </w:p>
        </w:tc>
        <w:tc>
          <w:tcPr>
            <w:tcW w:w="10268" w:type="dxa"/>
            <w:shd w:val="clear" w:color="auto" w:fill="auto"/>
          </w:tcPr>
          <w:p w:rsidR="00E012E4" w:rsidRPr="00CD0016" w:rsidRDefault="00E012E4" w:rsidP="003F6B51">
            <w:pPr>
              <w:spacing w:after="0"/>
              <w:jc w:val="both"/>
              <w:rPr>
                <w:rFonts w:ascii="Times New Roman" w:hAnsi="Times New Roman" w:cs="Times New Roman"/>
                <w:b/>
                <w:sz w:val="20"/>
                <w:szCs w:val="20"/>
                <w:lang w:val="bg-BG"/>
              </w:rPr>
            </w:pPr>
            <w:r w:rsidRPr="00CD0016">
              <w:rPr>
                <w:rFonts w:ascii="Times New Roman" w:hAnsi="Times New Roman" w:cs="Times New Roman"/>
                <w:b/>
                <w:sz w:val="20"/>
                <w:szCs w:val="20"/>
                <w:lang w:val="bg-BG"/>
              </w:rPr>
              <w:t>Ценови риск</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След допускането до регулиран пазар, цената на акциите на “ГЛЕНМООР КЕПИТАЛ” АДСИЦ ще се определя в зависимост от търсенето и предлагането на акции на борсата, от финансовите резултати на Дружеството, от оповестените новини и събития. Вследствие на тези фактори цената на акциите може да нараства или намалява. Рискът за акционерите на “ГЛЕНМООР КЕПИТАЛ” АДСИЦ се изразява във възможността за реализиране на загуби вследствие на колебанията в цените на акциите. Тези колебания могат да бъдат резки и дългосрочни.  </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Цените на борсово търгуваните акции като цяло се влияят от политическата обстановка в страната, региона, ЕС (като основен търговски партньор и източник на чуждестранни инвестиции), динамиката на лихвените равнища по различните видове финансови инструменти, тенденциите при недвижимите имоти и други алтернативни активи, промените в провежданата икономическа политика на правителството, промените в законодателството и инвестиционния климат. Акциите на “ГЛЕНМООР КЕПИТАЛ” АДСИЦ също биха могли да променят пазарната си цена в резултат на въздействието на тези фактори. </w:t>
            </w:r>
          </w:p>
          <w:p w:rsidR="00E012E4" w:rsidRPr="00CD0016" w:rsidRDefault="00E012E4" w:rsidP="003F6B51">
            <w:pPr>
              <w:spacing w:after="0"/>
              <w:jc w:val="both"/>
              <w:rPr>
                <w:rFonts w:ascii="Times New Roman" w:hAnsi="Times New Roman" w:cs="Times New Roman"/>
                <w:b/>
                <w:sz w:val="20"/>
                <w:szCs w:val="20"/>
                <w:lang w:val="bg-BG"/>
              </w:rPr>
            </w:pPr>
            <w:r w:rsidRPr="00CD0016">
              <w:rPr>
                <w:rFonts w:ascii="Times New Roman" w:hAnsi="Times New Roman" w:cs="Times New Roman"/>
                <w:sz w:val="20"/>
                <w:szCs w:val="20"/>
                <w:lang w:val="bg-BG"/>
              </w:rPr>
              <w:t xml:space="preserve">Дружеството не би могло и не гарантира, че цената на предлаганите от него обикновени акции ще се повиши във времето. “ГЛЕНМООР КЕПИТАЛ” АДСИЦ няма да осъществява обратно изкупуване на ценните книжа с цел запазване или повишаване на текущите пазарни цени. </w:t>
            </w:r>
          </w:p>
          <w:p w:rsidR="00E012E4" w:rsidRPr="00CD0016" w:rsidRDefault="00E012E4" w:rsidP="003F6B51">
            <w:pPr>
              <w:spacing w:after="0"/>
              <w:jc w:val="both"/>
              <w:rPr>
                <w:rFonts w:ascii="Times New Roman" w:hAnsi="Times New Roman" w:cs="Times New Roman"/>
                <w:b/>
                <w:bCs/>
                <w:sz w:val="20"/>
                <w:szCs w:val="20"/>
                <w:lang w:val="bg-BG"/>
              </w:rPr>
            </w:pPr>
            <w:r w:rsidRPr="00CD0016">
              <w:rPr>
                <w:rFonts w:ascii="Times New Roman" w:hAnsi="Times New Roman" w:cs="Times New Roman"/>
                <w:b/>
                <w:bCs/>
                <w:sz w:val="20"/>
                <w:szCs w:val="20"/>
                <w:lang w:val="bg-BG"/>
              </w:rPr>
              <w:t xml:space="preserve">Рискове, свързани с българския пазар на ценни книжа  </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Проникването на услугите на капиталовия пазар в България е незначително в сравнение с по-развитите икономически държави. Българският капиталов пазар все още не е разпознат като достатъчно добра алтернатива на спестяванията под формата на депозити и на инвестициите в недвижимите имоти. Възможно е инвеститорите да разполагат с по-малко информация за българския пазар на ценни книжа, отколкото е налична за дружества на други пазари на ценни книжа. Комисията за финансов надзор следи за разкриването на информация и спазването на другите регулативни стандарти на българския пазар на ценни книжа, за спазването на законите и издава наредби и указания за задълженията относно разкриване на информация, търговията с ценни книжа при наличието на вътрешна информация и други въпроси. Все пак е възможно да има по-малко публично достъпна информация за българските дружества, отколкото обикновено се предоставя на разположение на инвеститорите от публичните дружества на другите пазари на ценни книжа, което може да се отрази на пазара на акциите.</w:t>
            </w:r>
          </w:p>
          <w:p w:rsidR="00E012E4" w:rsidRPr="00CD0016" w:rsidRDefault="00E012E4" w:rsidP="003F6B51">
            <w:pPr>
              <w:spacing w:after="0"/>
              <w:jc w:val="both"/>
              <w:rPr>
                <w:rFonts w:ascii="Times New Roman" w:hAnsi="Times New Roman" w:cs="Times New Roman"/>
                <w:b/>
                <w:bCs/>
                <w:sz w:val="20"/>
                <w:szCs w:val="20"/>
                <w:lang w:val="bg-BG"/>
              </w:rPr>
            </w:pPr>
            <w:r w:rsidRPr="00CD0016">
              <w:rPr>
                <w:rFonts w:ascii="Times New Roman" w:hAnsi="Times New Roman" w:cs="Times New Roman"/>
                <w:b/>
                <w:bCs/>
                <w:sz w:val="20"/>
                <w:szCs w:val="20"/>
                <w:lang w:val="bg-BG"/>
              </w:rPr>
              <w:t>Ликвиден риск</w:t>
            </w:r>
          </w:p>
          <w:p w:rsidR="00E012E4" w:rsidRPr="00CD0016" w:rsidRDefault="00E012E4" w:rsidP="003F6B51">
            <w:pPr>
              <w:spacing w:after="0"/>
              <w:jc w:val="both"/>
              <w:rPr>
                <w:rStyle w:val="FontStyle107"/>
                <w:rFonts w:ascii="Times New Roman" w:hAnsi="Times New Roman" w:cs="Times New Roman"/>
                <w:b w:val="0"/>
                <w:i w:val="0"/>
                <w:lang w:val="bg-BG"/>
              </w:rPr>
            </w:pPr>
            <w:r w:rsidRPr="00CD0016">
              <w:rPr>
                <w:rFonts w:ascii="Times New Roman" w:hAnsi="Times New Roman" w:cs="Times New Roman"/>
                <w:sz w:val="20"/>
                <w:szCs w:val="20"/>
                <w:lang w:val="bg-BG"/>
              </w:rPr>
              <w:t>Ликвидният риск за инвеститорите се изразява в несигурността за наличието на активно пазарно търсене на акциите на “ГЛЕНМООР КЕПИТАЛ” АДСИЦ през определен период от време. В резултат на липсата на активна търговия и слабия интерес към акциите на Дружеството, цената им може да се понижи, а акционерите да реализират загуби. Инвеститорите следва да имат предвид, че в даден момент при липса на адекватно пазарно търсене могат да не успеят да продадат всички или част от акциите си на желаната от тях цена. Нивото на ликвидност на акциите на Дружеството зависи както от тяхната атрактивност, така и от общото състояние на капиталовия пазар в страната.</w:t>
            </w:r>
          </w:p>
          <w:p w:rsidR="00E012E4" w:rsidRPr="00CD0016" w:rsidRDefault="00E012E4" w:rsidP="003F6B51">
            <w:pPr>
              <w:pStyle w:val="Style6"/>
              <w:widowControl/>
              <w:spacing w:line="240" w:lineRule="auto"/>
              <w:rPr>
                <w:rStyle w:val="FontStyle107"/>
                <w:rFonts w:ascii="Times New Roman" w:hAnsi="Times New Roman" w:cs="Times New Roman"/>
                <w:bCs w:val="0"/>
                <w:i w:val="0"/>
                <w:iCs w:val="0"/>
                <w:lang w:eastAsia="bg-BG"/>
              </w:rPr>
            </w:pPr>
            <w:r w:rsidRPr="00CD0016">
              <w:rPr>
                <w:rStyle w:val="FontStyle107"/>
                <w:rFonts w:ascii="Times New Roman" w:hAnsi="Times New Roman" w:cs="Times New Roman"/>
                <w:bCs w:val="0"/>
                <w:iCs w:val="0"/>
                <w:lang w:eastAsia="bg-BG"/>
              </w:rPr>
              <w:t xml:space="preserve">Валутен риск </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Валутният риск, който носят акциите на “ГЛЕНМООР КЕПИТАЛ” АДСИЦ, произтича от това, че те са деноминирани в български лева. Промяната на валутния курс на лева спрямо друга валута би променила доходността, която инвеститорите очакват да получат. Евентуално обезценяване на лева би довело до намаляване на </w:t>
            </w:r>
            <w:r w:rsidRPr="00CD0016">
              <w:rPr>
                <w:rFonts w:ascii="Times New Roman" w:hAnsi="Times New Roman" w:cs="Times New Roman"/>
                <w:sz w:val="20"/>
                <w:szCs w:val="20"/>
                <w:lang w:val="bg-BG"/>
              </w:rPr>
              <w:lastRenderedPageBreak/>
              <w:t>доходността от инвестирането в акции на Дружеството. От друга страна, намаляването на доходността би довело до спад в инвеститорския интерес и съответно до намаляване на цените на акциите. Фактът, че българският лев законово е фиксиран към еврото, в условията на паричен съвет, премахва до голяма степен валутния риск и обуславя движение на лева спрямо останалите международни валути, подчинено изцяло на поведението на общата европейска валута. До премахването на системата на валутен борд в страната, валутният риск при инвестиране в акции на Дружеството ще бъде сведен до риска от обезценка на еврото.</w:t>
            </w:r>
          </w:p>
          <w:p w:rsidR="00E012E4" w:rsidRPr="00CD0016" w:rsidRDefault="00E012E4" w:rsidP="003F6B51">
            <w:pPr>
              <w:spacing w:after="0"/>
              <w:jc w:val="both"/>
              <w:rPr>
                <w:rFonts w:ascii="Times New Roman" w:hAnsi="Times New Roman" w:cs="Times New Roman"/>
                <w:b/>
                <w:sz w:val="20"/>
                <w:szCs w:val="20"/>
                <w:lang w:val="bg-BG"/>
              </w:rPr>
            </w:pPr>
            <w:r w:rsidRPr="00CD0016">
              <w:rPr>
                <w:rFonts w:ascii="Times New Roman" w:hAnsi="Times New Roman" w:cs="Times New Roman"/>
                <w:b/>
                <w:sz w:val="20"/>
                <w:szCs w:val="20"/>
                <w:lang w:val="bg-BG"/>
              </w:rPr>
              <w:t>Липса на гаранция за изплащане на дивиденти</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Изплащането на дивидент зависи от финансовото състояние на Дружеството, съответно от реализирането на положителен финансов резултат от дейността. Съгласно Закона за дружествата със специална инвестиционна цел, минимум 90 % от реализираната чиста печалба за годината се разпределя под формата на дивидент. Печалбата, формирана от преоценка на активите, не подлежи на разпределяне за дивиденти, тъй като няма получен реален паричен поток.</w:t>
            </w:r>
          </w:p>
          <w:p w:rsidR="00E012E4" w:rsidRPr="00CD0016" w:rsidRDefault="00E012E4" w:rsidP="003F6B51">
            <w:pPr>
              <w:spacing w:after="0"/>
              <w:jc w:val="both"/>
              <w:rPr>
                <w:rFonts w:ascii="Times New Roman" w:hAnsi="Times New Roman" w:cs="Times New Roman"/>
                <w:b/>
                <w:sz w:val="20"/>
                <w:szCs w:val="20"/>
                <w:lang w:val="bg-BG"/>
              </w:rPr>
            </w:pPr>
            <w:r w:rsidRPr="00CD0016">
              <w:rPr>
                <w:rFonts w:ascii="Times New Roman" w:hAnsi="Times New Roman" w:cs="Times New Roman"/>
                <w:b/>
                <w:sz w:val="20"/>
                <w:szCs w:val="20"/>
                <w:lang w:val="bg-BG"/>
              </w:rPr>
              <w:t>Допълнително финансиране чрез акции може да има „Разводняващ ефект” за акционерите на Дружеството</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“ГЛЕНМООР КЕПИТАЛ” АДСИЦ може да издава допълнителни обикновени акции при последващи увеличения на капитала. Съгласно българското законодателство и правилата на фондовата борса, Дружеството е длъжно да предложи тези обикновени акции на настоящите акционери съгласно правото им да придобият част от новите акции, съответстващи на дела им в капитала преди увеличението, чрез издаването на права. По този начин всеки желаещ собственик на акции в “ГЛЕНМООР КЕПИТАЛ” АДСИЦ може да запази дела си в Дружеството при равностойно третиране на всички акционери. Независимо от това, настоящите акционери могат да изберат да не участват в бъдещо емитиране на обикновени акции, което ще доведе до „разводняване” на текущото им участие в “ГЛЕНМООР КЕПИТАЛ” АДСИЦ, т.е. техният дял в Дружеството ще се намали. </w:t>
            </w:r>
          </w:p>
          <w:p w:rsidR="00E012E4" w:rsidRPr="00CD0016" w:rsidRDefault="00E012E4" w:rsidP="003F6B51">
            <w:pPr>
              <w:spacing w:after="0"/>
              <w:jc w:val="both"/>
              <w:rPr>
                <w:rFonts w:ascii="Times New Roman" w:hAnsi="Times New Roman" w:cs="Times New Roman"/>
                <w:b/>
                <w:bCs/>
                <w:sz w:val="20"/>
                <w:szCs w:val="20"/>
                <w:lang w:val="bg-BG"/>
              </w:rPr>
            </w:pPr>
            <w:r w:rsidRPr="00CD0016">
              <w:rPr>
                <w:rFonts w:ascii="Times New Roman" w:hAnsi="Times New Roman" w:cs="Times New Roman"/>
                <w:b/>
                <w:bCs/>
                <w:sz w:val="20"/>
                <w:szCs w:val="20"/>
                <w:lang w:val="bg-BG"/>
              </w:rPr>
              <w:t>Значителни сделки с акции на Дружеството могат да повлияят на тяхната пазарна цена</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Ако значителен брой от акциите се предложат за продажба, борсовата цена на акциите може да се понижи. Продажби на допълнителни акции на борсовия пазар след предлагането могат неблагоприятно да засегнат пазарната цена на акциите. Очакването, че такива значителни продажби могат да настъпят, може да се отрази неблагоприятно на пазарната цена на акциите. Такива продажби могат също да изправят “ГЛЕНМООР КЕПИТАЛ” АДСИЦ пред затруднения да издава нови акции в бъдеще, когато и на каквато цена Дружеството смята за подходяща.</w:t>
            </w:r>
          </w:p>
          <w:p w:rsidR="00E012E4" w:rsidRPr="00CD0016" w:rsidRDefault="00E012E4" w:rsidP="003F6B51">
            <w:pPr>
              <w:spacing w:after="0"/>
              <w:jc w:val="both"/>
              <w:rPr>
                <w:rFonts w:ascii="Times New Roman" w:hAnsi="Times New Roman" w:cs="Times New Roman"/>
                <w:b/>
                <w:bCs/>
                <w:sz w:val="20"/>
                <w:szCs w:val="20"/>
                <w:lang w:val="bg-BG"/>
              </w:rPr>
            </w:pPr>
            <w:r w:rsidRPr="00CD0016">
              <w:rPr>
                <w:rFonts w:ascii="Times New Roman" w:hAnsi="Times New Roman" w:cs="Times New Roman"/>
                <w:b/>
                <w:bCs/>
                <w:sz w:val="20"/>
                <w:szCs w:val="20"/>
                <w:lang w:val="bg-BG"/>
              </w:rPr>
              <w:t>Риск от невъзможност за упражняване на права при настоящото и бъдещо увеличение на капитала на емитента</w:t>
            </w:r>
          </w:p>
          <w:p w:rsidR="00183A5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Доколкото, съгласно условията на предлагането, съотношението между издаваните права и една нова акция е право/акция  1/1, не съществува риск настоящи акционери, притежаващи по-малко акции (съответно права) от изискуемото за записване на една акция при настоящото увеличение на капитала на Емитента да не могат да упражнят правата си и да участват в увеличението на капитала на Емитента. Такъв риск съществува при  бъдещи увеличения на капитала на Емитента, когато съотношението е различно от „едно.</w:t>
            </w:r>
          </w:p>
        </w:tc>
      </w:tr>
      <w:tr w:rsidR="008A792E" w:rsidRPr="00CD0016" w:rsidTr="00C057E1">
        <w:trPr>
          <w:trHeight w:val="275"/>
        </w:trPr>
        <w:tc>
          <w:tcPr>
            <w:tcW w:w="10915" w:type="dxa"/>
            <w:gridSpan w:val="2"/>
            <w:shd w:val="clear" w:color="auto" w:fill="auto"/>
            <w:vAlign w:val="center"/>
          </w:tcPr>
          <w:p w:rsidR="008A792E" w:rsidRPr="00CD0016" w:rsidRDefault="00582800" w:rsidP="003F6B51">
            <w:pPr>
              <w:spacing w:after="0"/>
              <w:jc w:val="center"/>
              <w:rPr>
                <w:rFonts w:ascii="Times New Roman" w:eastAsia="Calibri" w:hAnsi="Times New Roman" w:cs="Times New Roman"/>
                <w:sz w:val="20"/>
                <w:szCs w:val="20"/>
                <w:lang w:val="bg-BG"/>
              </w:rPr>
            </w:pPr>
            <w:r w:rsidRPr="00CD0016">
              <w:rPr>
                <w:rFonts w:ascii="Times New Roman" w:eastAsia="Calibri" w:hAnsi="Times New Roman" w:cs="Times New Roman"/>
                <w:sz w:val="20"/>
                <w:szCs w:val="20"/>
                <w:lang w:val="bg-BG"/>
              </w:rPr>
              <w:lastRenderedPageBreak/>
              <w:t>РАЗДЕЛ Д - ПРЕДЛАГАНЕ</w:t>
            </w:r>
          </w:p>
        </w:tc>
      </w:tr>
      <w:tr w:rsidR="0067528D" w:rsidRPr="00CD0016" w:rsidTr="00C057E1">
        <w:trPr>
          <w:trHeight w:val="275"/>
        </w:trPr>
        <w:tc>
          <w:tcPr>
            <w:tcW w:w="647" w:type="dxa"/>
            <w:shd w:val="clear" w:color="auto" w:fill="auto"/>
          </w:tcPr>
          <w:p w:rsidR="0067528D"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Д.1</w:t>
            </w:r>
          </w:p>
        </w:tc>
        <w:tc>
          <w:tcPr>
            <w:tcW w:w="10268" w:type="dxa"/>
            <w:shd w:val="clear" w:color="auto" w:fill="auto"/>
          </w:tcPr>
          <w:p w:rsidR="00E012E4" w:rsidRPr="00CD0016" w:rsidRDefault="00E012E4" w:rsidP="003F6B51">
            <w:pPr>
              <w:spacing w:after="0"/>
              <w:jc w:val="both"/>
              <w:rPr>
                <w:rFonts w:ascii="Times New Roman" w:hAnsi="Times New Roman" w:cs="Times New Roman"/>
                <w:color w:val="000000"/>
                <w:sz w:val="20"/>
                <w:szCs w:val="20"/>
                <w:lang w:val="bg-BG" w:eastAsia="bg-BG"/>
              </w:rPr>
            </w:pPr>
            <w:r w:rsidRPr="00CD0016">
              <w:rPr>
                <w:rFonts w:ascii="Times New Roman" w:hAnsi="Times New Roman" w:cs="Times New Roman"/>
                <w:sz w:val="20"/>
                <w:szCs w:val="20"/>
                <w:lang w:val="bg-BG"/>
              </w:rPr>
              <w:t xml:space="preserve">Очакваната нетна сума от предлагането, при условие, че бъде записан целият размер на предлаганата емисия акции, след приспадане на разходите по неговото извършване, е в размер на </w:t>
            </w:r>
            <w:r w:rsidRPr="00CD0016">
              <w:rPr>
                <w:rFonts w:ascii="Times New Roman" w:hAnsi="Times New Roman" w:cs="Times New Roman"/>
                <w:color w:val="000000"/>
                <w:sz w:val="20"/>
                <w:szCs w:val="20"/>
                <w:lang w:val="bg-BG" w:eastAsia="bg-BG"/>
              </w:rPr>
              <w:t xml:space="preserve">125 588 </w:t>
            </w:r>
            <w:r w:rsidRPr="00CD0016">
              <w:rPr>
                <w:rFonts w:ascii="Times New Roman" w:hAnsi="Times New Roman" w:cs="Times New Roman"/>
                <w:sz w:val="20"/>
                <w:szCs w:val="20"/>
                <w:lang w:val="bg-BG"/>
              </w:rPr>
              <w:t>лева.</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За изпълнението на задълженията си по предлагане и обслужване на емисията ценни книжа ИП „ЪП ТРЕНД” OOД, гр. София, получава от “ГЛЕНМООР КЕПИТАЛ” АДСИЦ възнаграждение в размер на 21 600 лева с включен ДДС, платимо по сметка на ИП „ЪП ТРЕНД” OOД. Печалбата, ако има такава, от продажбата на правата, е за емитента. Разходите на Инвестиционния посредник, ако има такива, се приспадат.</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В следващата таблица са посочени по статии основните разходи, пряко свързани с публичното предлагане на ценните книжа и не са включени разходите, които се отнасят до цялостната дейност на Дружеството. </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Всички посочени по-долу разходи са за сметка на Дружеството. Посочени са тези разходи, които се очаква да възникнат във връзка с увеличението на капитала.</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b/>
                <w:sz w:val="20"/>
                <w:szCs w:val="20"/>
                <w:lang w:val="bg-BG"/>
              </w:rPr>
              <w:t>Таблица № 7.</w:t>
            </w:r>
            <w:r w:rsidRPr="00CD0016">
              <w:rPr>
                <w:rFonts w:ascii="Times New Roman" w:hAnsi="Times New Roman" w:cs="Times New Roman"/>
                <w:sz w:val="20"/>
                <w:szCs w:val="20"/>
                <w:lang w:val="bg-BG"/>
              </w:rPr>
              <w:t xml:space="preserve"> Разходи по предлагането </w:t>
            </w:r>
          </w:p>
          <w:tbl>
            <w:tblPr>
              <w:tblW w:w="5000" w:type="pct"/>
              <w:tblLayout w:type="fixed"/>
              <w:tblCellMar>
                <w:left w:w="30" w:type="dxa"/>
                <w:right w:w="30" w:type="dxa"/>
              </w:tblCellMar>
              <w:tblLook w:val="0000" w:firstRow="0" w:lastRow="0" w:firstColumn="0" w:lastColumn="0" w:noHBand="0" w:noVBand="0"/>
            </w:tblPr>
            <w:tblGrid>
              <w:gridCol w:w="8375"/>
              <w:gridCol w:w="1667"/>
            </w:tblGrid>
            <w:tr w:rsidR="00E012E4" w:rsidRPr="00CD0016" w:rsidTr="00564985">
              <w:trPr>
                <w:trHeight w:val="306"/>
              </w:trPr>
              <w:tc>
                <w:tcPr>
                  <w:tcW w:w="4170" w:type="pct"/>
                  <w:tcBorders>
                    <w:top w:val="single" w:sz="4" w:space="0" w:color="auto"/>
                    <w:left w:val="single" w:sz="4" w:space="0" w:color="auto"/>
                    <w:bottom w:val="single" w:sz="4" w:space="0" w:color="auto"/>
                    <w:right w:val="dotted" w:sz="2" w:space="0" w:color="auto"/>
                  </w:tcBorders>
                  <w:vAlign w:val="center"/>
                </w:tcPr>
                <w:p w:rsidR="00E012E4" w:rsidRPr="00CD0016" w:rsidRDefault="00E012E4" w:rsidP="003F6B51">
                  <w:pPr>
                    <w:spacing w:after="0"/>
                    <w:rPr>
                      <w:rFonts w:ascii="Times New Roman" w:hAnsi="Times New Roman" w:cs="Times New Roman"/>
                      <w:b/>
                      <w:smallCaps/>
                      <w:snapToGrid w:val="0"/>
                      <w:spacing w:val="20"/>
                      <w:sz w:val="20"/>
                      <w:szCs w:val="20"/>
                      <w:lang w:val="bg-BG"/>
                    </w:rPr>
                  </w:pPr>
                  <w:r w:rsidRPr="00CD0016">
                    <w:rPr>
                      <w:rFonts w:ascii="Times New Roman" w:hAnsi="Times New Roman" w:cs="Times New Roman"/>
                      <w:b/>
                      <w:smallCaps/>
                      <w:snapToGrid w:val="0"/>
                      <w:spacing w:val="20"/>
                      <w:sz w:val="20"/>
                      <w:szCs w:val="20"/>
                      <w:lang w:val="bg-BG"/>
                    </w:rPr>
                    <w:t>Разходи за външни услуги</w:t>
                  </w:r>
                </w:p>
              </w:tc>
              <w:tc>
                <w:tcPr>
                  <w:tcW w:w="830" w:type="pct"/>
                  <w:tcBorders>
                    <w:top w:val="single" w:sz="4" w:space="0" w:color="auto"/>
                    <w:left w:val="dotted" w:sz="2" w:space="0" w:color="auto"/>
                    <w:bottom w:val="single" w:sz="4" w:space="0" w:color="auto"/>
                    <w:right w:val="single" w:sz="4" w:space="0" w:color="auto"/>
                  </w:tcBorders>
                  <w:vAlign w:val="center"/>
                </w:tcPr>
                <w:p w:rsidR="00E012E4" w:rsidRPr="00CD0016" w:rsidRDefault="00E012E4" w:rsidP="003F6B51">
                  <w:pPr>
                    <w:spacing w:after="0"/>
                    <w:rPr>
                      <w:rFonts w:ascii="Times New Roman" w:hAnsi="Times New Roman" w:cs="Times New Roman"/>
                      <w:smallCaps/>
                      <w:snapToGrid w:val="0"/>
                      <w:spacing w:val="20"/>
                      <w:sz w:val="20"/>
                      <w:szCs w:val="20"/>
                      <w:lang w:val="bg-BG"/>
                    </w:rPr>
                  </w:pPr>
                </w:p>
              </w:tc>
            </w:tr>
            <w:tr w:rsidR="00E012E4" w:rsidRPr="00CD0016" w:rsidTr="00564985">
              <w:trPr>
                <w:trHeight w:val="512"/>
              </w:trPr>
              <w:tc>
                <w:tcPr>
                  <w:tcW w:w="4170" w:type="pct"/>
                  <w:tcBorders>
                    <w:top w:val="single" w:sz="4" w:space="0" w:color="auto"/>
                    <w:left w:val="single" w:sz="4" w:space="0" w:color="auto"/>
                    <w:bottom w:val="dotted" w:sz="2" w:space="0" w:color="auto"/>
                    <w:right w:val="dotted" w:sz="2" w:space="0" w:color="auto"/>
                  </w:tcBorders>
                  <w:vAlign w:val="center"/>
                </w:tcPr>
                <w:p w:rsidR="00E012E4" w:rsidRPr="00CD0016" w:rsidRDefault="00E012E4" w:rsidP="003F6B51">
                  <w:pPr>
                    <w:spacing w:after="0"/>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 xml:space="preserve">Възнаграждение на упълномощения инвестиционен посредник </w:t>
                  </w:r>
                </w:p>
              </w:tc>
              <w:tc>
                <w:tcPr>
                  <w:tcW w:w="830" w:type="pct"/>
                  <w:tcBorders>
                    <w:top w:val="single" w:sz="4" w:space="0" w:color="auto"/>
                    <w:left w:val="dotted" w:sz="2" w:space="0" w:color="auto"/>
                    <w:bottom w:val="dotted" w:sz="2"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21 600 лв.</w:t>
                  </w:r>
                </w:p>
              </w:tc>
            </w:tr>
            <w:tr w:rsidR="00E012E4" w:rsidRPr="00CD0016" w:rsidTr="00564985">
              <w:trPr>
                <w:trHeight w:val="512"/>
              </w:trPr>
              <w:tc>
                <w:tcPr>
                  <w:tcW w:w="4170" w:type="pct"/>
                  <w:tcBorders>
                    <w:top w:val="dotted" w:sz="2" w:space="0" w:color="auto"/>
                    <w:left w:val="single" w:sz="4" w:space="0" w:color="auto"/>
                    <w:bottom w:val="dotted" w:sz="2" w:space="0" w:color="auto"/>
                    <w:right w:val="dotted" w:sz="2" w:space="0" w:color="auto"/>
                  </w:tcBorders>
                  <w:vAlign w:val="center"/>
                </w:tcPr>
                <w:p w:rsidR="00E012E4" w:rsidRPr="00CD0016" w:rsidRDefault="00E012E4" w:rsidP="003F6B51">
                  <w:pPr>
                    <w:pStyle w:val="Default"/>
                    <w:autoSpaceDE/>
                    <w:autoSpaceDN/>
                    <w:adjustRightInd/>
                    <w:rPr>
                      <w:snapToGrid w:val="0"/>
                      <w:color w:val="auto"/>
                      <w:sz w:val="20"/>
                      <w:szCs w:val="20"/>
                      <w:lang w:val="bg-BG"/>
                    </w:rPr>
                  </w:pPr>
                  <w:r w:rsidRPr="00CD0016">
                    <w:rPr>
                      <w:snapToGrid w:val="0"/>
                      <w:color w:val="auto"/>
                      <w:sz w:val="20"/>
                      <w:szCs w:val="20"/>
                      <w:lang w:val="bg-BG"/>
                    </w:rPr>
                    <w:t>Публикация на съобщение за увеличение на капитала в един централен ежедневник (прогнозна стойност)</w:t>
                  </w:r>
                </w:p>
              </w:tc>
              <w:tc>
                <w:tcPr>
                  <w:tcW w:w="830" w:type="pct"/>
                  <w:tcBorders>
                    <w:top w:val="dotted" w:sz="2" w:space="0" w:color="auto"/>
                    <w:left w:val="dotted" w:sz="2" w:space="0" w:color="auto"/>
                    <w:bottom w:val="dotted" w:sz="2"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1 240 лв.</w:t>
                  </w:r>
                </w:p>
              </w:tc>
            </w:tr>
            <w:tr w:rsidR="00E012E4" w:rsidRPr="00CD0016" w:rsidTr="00564985">
              <w:trPr>
                <w:trHeight w:val="256"/>
              </w:trPr>
              <w:tc>
                <w:tcPr>
                  <w:tcW w:w="4170" w:type="pct"/>
                  <w:tcBorders>
                    <w:top w:val="single" w:sz="4" w:space="0" w:color="auto"/>
                    <w:left w:val="single" w:sz="4" w:space="0" w:color="auto"/>
                    <w:bottom w:val="single" w:sz="4" w:space="0" w:color="auto"/>
                    <w:right w:val="dotted" w:sz="2" w:space="0" w:color="auto"/>
                  </w:tcBorders>
                  <w:vAlign w:val="center"/>
                </w:tcPr>
                <w:p w:rsidR="00E012E4" w:rsidRPr="00CD0016" w:rsidRDefault="00E012E4" w:rsidP="003F6B51">
                  <w:pPr>
                    <w:spacing w:after="0"/>
                    <w:rPr>
                      <w:rFonts w:ascii="Times New Roman" w:hAnsi="Times New Roman" w:cs="Times New Roman"/>
                      <w:b/>
                      <w:smallCaps/>
                      <w:snapToGrid w:val="0"/>
                      <w:spacing w:val="20"/>
                      <w:sz w:val="20"/>
                      <w:szCs w:val="20"/>
                      <w:lang w:val="bg-BG"/>
                    </w:rPr>
                  </w:pPr>
                  <w:r w:rsidRPr="00CD0016">
                    <w:rPr>
                      <w:rFonts w:ascii="Times New Roman" w:hAnsi="Times New Roman" w:cs="Times New Roman"/>
                      <w:b/>
                      <w:smallCaps/>
                      <w:snapToGrid w:val="0"/>
                      <w:spacing w:val="20"/>
                      <w:sz w:val="20"/>
                      <w:szCs w:val="20"/>
                      <w:lang w:val="bg-BG"/>
                    </w:rPr>
                    <w:t>Разходи за такси и комисионни</w:t>
                  </w:r>
                </w:p>
              </w:tc>
              <w:tc>
                <w:tcPr>
                  <w:tcW w:w="830" w:type="pct"/>
                  <w:tcBorders>
                    <w:top w:val="single" w:sz="4" w:space="0" w:color="auto"/>
                    <w:left w:val="dotted" w:sz="2" w:space="0" w:color="auto"/>
                    <w:bottom w:val="single" w:sz="4" w:space="0" w:color="auto"/>
                    <w:right w:val="single" w:sz="4" w:space="0" w:color="auto"/>
                  </w:tcBorders>
                  <w:vAlign w:val="center"/>
                </w:tcPr>
                <w:p w:rsidR="00E012E4" w:rsidRPr="00CD0016" w:rsidRDefault="00E012E4" w:rsidP="003F6B51">
                  <w:pPr>
                    <w:spacing w:after="0"/>
                    <w:rPr>
                      <w:rFonts w:ascii="Times New Roman" w:hAnsi="Times New Roman" w:cs="Times New Roman"/>
                      <w:b/>
                      <w:smallCaps/>
                      <w:snapToGrid w:val="0"/>
                      <w:spacing w:val="20"/>
                      <w:sz w:val="20"/>
                      <w:szCs w:val="20"/>
                      <w:lang w:val="bg-BG"/>
                    </w:rPr>
                  </w:pPr>
                </w:p>
              </w:tc>
            </w:tr>
            <w:tr w:rsidR="00E012E4" w:rsidRPr="00CD0016" w:rsidTr="00564985">
              <w:trPr>
                <w:trHeight w:val="256"/>
              </w:trPr>
              <w:tc>
                <w:tcPr>
                  <w:tcW w:w="4170" w:type="pct"/>
                  <w:tcBorders>
                    <w:top w:val="single" w:sz="4" w:space="0" w:color="auto"/>
                    <w:left w:val="single" w:sz="4" w:space="0" w:color="auto"/>
                    <w:bottom w:val="dotted" w:sz="2" w:space="0" w:color="auto"/>
                    <w:right w:val="dotted" w:sz="2" w:space="0" w:color="auto"/>
                  </w:tcBorders>
                  <w:vAlign w:val="center"/>
                </w:tcPr>
                <w:p w:rsidR="00E012E4" w:rsidRPr="00CD0016" w:rsidRDefault="00E012E4" w:rsidP="003F6B51">
                  <w:pPr>
                    <w:spacing w:after="0"/>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 xml:space="preserve">Такса за потвърждение на проспект за първично публично предлагане при увеличение на капитала от Комисията за финансов надзор </w:t>
                  </w:r>
                </w:p>
              </w:tc>
              <w:tc>
                <w:tcPr>
                  <w:tcW w:w="830" w:type="pct"/>
                  <w:tcBorders>
                    <w:top w:val="single" w:sz="4" w:space="0" w:color="auto"/>
                    <w:left w:val="dotted" w:sz="2" w:space="0" w:color="auto"/>
                    <w:bottom w:val="dotted" w:sz="2"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900 лв.</w:t>
                  </w:r>
                </w:p>
              </w:tc>
            </w:tr>
            <w:tr w:rsidR="00E012E4" w:rsidRPr="00CD0016" w:rsidTr="00564985">
              <w:trPr>
                <w:trHeight w:val="256"/>
              </w:trPr>
              <w:tc>
                <w:tcPr>
                  <w:tcW w:w="4170" w:type="pct"/>
                  <w:tcBorders>
                    <w:top w:val="dotted" w:sz="2" w:space="0" w:color="auto"/>
                    <w:left w:val="single" w:sz="4" w:space="0" w:color="auto"/>
                    <w:bottom w:val="dotted" w:sz="2" w:space="0" w:color="auto"/>
                    <w:right w:val="dotted" w:sz="2" w:space="0" w:color="auto"/>
                  </w:tcBorders>
                  <w:vAlign w:val="center"/>
                </w:tcPr>
                <w:p w:rsidR="00E012E4" w:rsidRPr="00CD0016" w:rsidRDefault="00E012E4" w:rsidP="003F6B51">
                  <w:pPr>
                    <w:spacing w:after="0"/>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lastRenderedPageBreak/>
                    <w:t xml:space="preserve">Такса за присвояване на ISIN код на емисията права         </w:t>
                  </w:r>
                </w:p>
              </w:tc>
              <w:tc>
                <w:tcPr>
                  <w:tcW w:w="830" w:type="pct"/>
                  <w:tcBorders>
                    <w:top w:val="dotted" w:sz="2" w:space="0" w:color="auto"/>
                    <w:left w:val="dotted" w:sz="2" w:space="0" w:color="auto"/>
                    <w:bottom w:val="dotted" w:sz="2"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72 лв.</w:t>
                  </w:r>
                </w:p>
              </w:tc>
            </w:tr>
            <w:tr w:rsidR="00E012E4" w:rsidRPr="00CD0016" w:rsidTr="00564985">
              <w:trPr>
                <w:trHeight w:val="512"/>
              </w:trPr>
              <w:tc>
                <w:tcPr>
                  <w:tcW w:w="4170" w:type="pct"/>
                  <w:tcBorders>
                    <w:top w:val="dotted" w:sz="2" w:space="0" w:color="auto"/>
                    <w:left w:val="single" w:sz="4" w:space="0" w:color="auto"/>
                    <w:bottom w:val="dotted" w:sz="2" w:space="0" w:color="auto"/>
                    <w:right w:val="dotted" w:sz="2" w:space="0" w:color="auto"/>
                  </w:tcBorders>
                  <w:vAlign w:val="center"/>
                </w:tcPr>
                <w:p w:rsidR="00E012E4" w:rsidRPr="00CD0016" w:rsidRDefault="00E012E4" w:rsidP="003F6B51">
                  <w:pPr>
                    <w:spacing w:after="0"/>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Такса за регистрация на емисията права в „Централен депозитар” АД</w:t>
                  </w:r>
                </w:p>
              </w:tc>
              <w:tc>
                <w:tcPr>
                  <w:tcW w:w="830" w:type="pct"/>
                  <w:tcBorders>
                    <w:top w:val="dotted" w:sz="2" w:space="0" w:color="auto"/>
                    <w:left w:val="dotted" w:sz="2" w:space="0" w:color="auto"/>
                    <w:bottom w:val="dotted" w:sz="2"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1 150 лв.</w:t>
                  </w:r>
                </w:p>
              </w:tc>
            </w:tr>
            <w:tr w:rsidR="00E012E4" w:rsidRPr="00CD0016" w:rsidTr="00564985">
              <w:trPr>
                <w:trHeight w:val="644"/>
              </w:trPr>
              <w:tc>
                <w:tcPr>
                  <w:tcW w:w="4170" w:type="pct"/>
                  <w:tcBorders>
                    <w:top w:val="dotted" w:sz="2" w:space="0" w:color="auto"/>
                    <w:left w:val="single" w:sz="4" w:space="0" w:color="auto"/>
                    <w:bottom w:val="dotted" w:sz="2" w:space="0" w:color="auto"/>
                    <w:right w:val="dotted" w:sz="2" w:space="0" w:color="auto"/>
                  </w:tcBorders>
                  <w:vAlign w:val="center"/>
                </w:tcPr>
                <w:p w:rsidR="00E012E4" w:rsidRPr="00CD0016" w:rsidRDefault="00E012E4" w:rsidP="003F6B51">
                  <w:pPr>
                    <w:spacing w:after="0"/>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Такса за осъществяване на първично предлагане на ценни книжа на регулиран пазар</w:t>
                  </w:r>
                </w:p>
              </w:tc>
              <w:tc>
                <w:tcPr>
                  <w:tcW w:w="830" w:type="pct"/>
                  <w:tcBorders>
                    <w:top w:val="dotted" w:sz="2" w:space="0" w:color="auto"/>
                    <w:left w:val="dotted" w:sz="2" w:space="0" w:color="auto"/>
                    <w:bottom w:val="dotted" w:sz="2"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 xml:space="preserve"> 600 лв.</w:t>
                  </w:r>
                </w:p>
              </w:tc>
            </w:tr>
            <w:tr w:rsidR="00E012E4" w:rsidRPr="00CD0016" w:rsidTr="00564985">
              <w:trPr>
                <w:trHeight w:val="512"/>
              </w:trPr>
              <w:tc>
                <w:tcPr>
                  <w:tcW w:w="4170" w:type="pct"/>
                  <w:tcBorders>
                    <w:top w:val="dotted" w:sz="2" w:space="0" w:color="auto"/>
                    <w:left w:val="single" w:sz="4" w:space="0" w:color="auto"/>
                    <w:bottom w:val="dotted" w:sz="2" w:space="0" w:color="auto"/>
                    <w:right w:val="dotted" w:sz="2" w:space="0" w:color="auto"/>
                  </w:tcBorders>
                  <w:vAlign w:val="center"/>
                </w:tcPr>
                <w:p w:rsidR="00E012E4" w:rsidRPr="00CD0016" w:rsidRDefault="00E012E4" w:rsidP="003F6B51">
                  <w:pPr>
                    <w:spacing w:after="0"/>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Такса за регистрацията на емисията акции в „Централен депозитар” АД</w:t>
                  </w:r>
                </w:p>
              </w:tc>
              <w:tc>
                <w:tcPr>
                  <w:tcW w:w="830" w:type="pct"/>
                  <w:tcBorders>
                    <w:top w:val="dotted" w:sz="2" w:space="0" w:color="auto"/>
                    <w:left w:val="dotted" w:sz="2" w:space="0" w:color="auto"/>
                    <w:bottom w:val="dotted" w:sz="2"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snapToGrid w:val="0"/>
                      <w:sz w:val="20"/>
                      <w:szCs w:val="20"/>
                      <w:lang w:val="bg-BG"/>
                    </w:rPr>
                  </w:pPr>
                  <w:r w:rsidRPr="00CD0016">
                    <w:rPr>
                      <w:rFonts w:ascii="Times New Roman" w:hAnsi="Times New Roman" w:cs="Times New Roman"/>
                      <w:snapToGrid w:val="0"/>
                      <w:sz w:val="20"/>
                      <w:szCs w:val="20"/>
                      <w:lang w:val="bg-BG"/>
                    </w:rPr>
                    <w:t>1080 лв.</w:t>
                  </w:r>
                </w:p>
              </w:tc>
            </w:tr>
            <w:tr w:rsidR="00E012E4" w:rsidRPr="00CD0016" w:rsidTr="00564985">
              <w:trPr>
                <w:trHeight w:val="80"/>
              </w:trPr>
              <w:tc>
                <w:tcPr>
                  <w:tcW w:w="4170" w:type="pct"/>
                  <w:tcBorders>
                    <w:top w:val="dotted" w:sz="2" w:space="0" w:color="auto"/>
                    <w:left w:val="single" w:sz="4" w:space="0" w:color="auto"/>
                    <w:bottom w:val="single" w:sz="4" w:space="0" w:color="auto"/>
                    <w:right w:val="dotted" w:sz="2" w:space="0" w:color="auto"/>
                  </w:tcBorders>
                  <w:vAlign w:val="center"/>
                </w:tcPr>
                <w:p w:rsidR="00E012E4" w:rsidRPr="00CD0016" w:rsidRDefault="00E012E4" w:rsidP="003F6B51">
                  <w:pPr>
                    <w:spacing w:after="0"/>
                    <w:rPr>
                      <w:rFonts w:ascii="Times New Roman" w:hAnsi="Times New Roman" w:cs="Times New Roman"/>
                      <w:b/>
                      <w:snapToGrid w:val="0"/>
                      <w:sz w:val="20"/>
                      <w:szCs w:val="20"/>
                      <w:lang w:val="bg-BG"/>
                    </w:rPr>
                  </w:pPr>
                </w:p>
              </w:tc>
              <w:tc>
                <w:tcPr>
                  <w:tcW w:w="830" w:type="pct"/>
                  <w:tcBorders>
                    <w:top w:val="dotted" w:sz="2" w:space="0" w:color="auto"/>
                    <w:left w:val="dotted" w:sz="2" w:space="0" w:color="auto"/>
                    <w:bottom w:val="single" w:sz="4"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b/>
                      <w:snapToGrid w:val="0"/>
                      <w:sz w:val="20"/>
                      <w:szCs w:val="20"/>
                      <w:lang w:val="bg-BG"/>
                    </w:rPr>
                  </w:pPr>
                </w:p>
              </w:tc>
            </w:tr>
            <w:tr w:rsidR="00E012E4" w:rsidRPr="00CD0016" w:rsidTr="00564985">
              <w:trPr>
                <w:trHeight w:val="256"/>
              </w:trPr>
              <w:tc>
                <w:tcPr>
                  <w:tcW w:w="4170" w:type="pct"/>
                  <w:tcBorders>
                    <w:top w:val="single" w:sz="4" w:space="0" w:color="auto"/>
                    <w:left w:val="single" w:sz="4" w:space="0" w:color="auto"/>
                    <w:bottom w:val="single" w:sz="4" w:space="0" w:color="auto"/>
                    <w:right w:val="dotted" w:sz="2" w:space="0" w:color="auto"/>
                  </w:tcBorders>
                  <w:vAlign w:val="center"/>
                </w:tcPr>
                <w:p w:rsidR="00E012E4" w:rsidRPr="00CD0016" w:rsidRDefault="00E012E4" w:rsidP="003F6B51">
                  <w:pPr>
                    <w:spacing w:after="0"/>
                    <w:rPr>
                      <w:rFonts w:ascii="Times New Roman" w:hAnsi="Times New Roman" w:cs="Times New Roman"/>
                      <w:b/>
                      <w:snapToGrid w:val="0"/>
                      <w:sz w:val="20"/>
                      <w:szCs w:val="20"/>
                      <w:lang w:val="bg-BG"/>
                    </w:rPr>
                  </w:pPr>
                  <w:r w:rsidRPr="00CD0016">
                    <w:rPr>
                      <w:rFonts w:ascii="Times New Roman" w:hAnsi="Times New Roman" w:cs="Times New Roman"/>
                      <w:b/>
                      <w:snapToGrid w:val="0"/>
                      <w:sz w:val="20"/>
                      <w:szCs w:val="20"/>
                      <w:lang w:val="bg-BG"/>
                    </w:rPr>
                    <w:t>ОБЩО</w:t>
                  </w:r>
                </w:p>
              </w:tc>
              <w:tc>
                <w:tcPr>
                  <w:tcW w:w="830" w:type="pct"/>
                  <w:tcBorders>
                    <w:top w:val="single" w:sz="4" w:space="0" w:color="auto"/>
                    <w:left w:val="dotted" w:sz="2" w:space="0" w:color="auto"/>
                    <w:bottom w:val="single" w:sz="4" w:space="0" w:color="auto"/>
                    <w:right w:val="single" w:sz="4" w:space="0" w:color="auto"/>
                  </w:tcBorders>
                  <w:vAlign w:val="center"/>
                </w:tcPr>
                <w:p w:rsidR="00E012E4" w:rsidRPr="00CD0016" w:rsidRDefault="00E012E4" w:rsidP="003F6B51">
                  <w:pPr>
                    <w:spacing w:after="0"/>
                    <w:jc w:val="right"/>
                    <w:rPr>
                      <w:rFonts w:ascii="Times New Roman" w:hAnsi="Times New Roman" w:cs="Times New Roman"/>
                      <w:b/>
                      <w:snapToGrid w:val="0"/>
                      <w:sz w:val="20"/>
                      <w:szCs w:val="20"/>
                      <w:lang w:val="bg-BG"/>
                    </w:rPr>
                  </w:pPr>
                  <w:r w:rsidRPr="00CD0016">
                    <w:rPr>
                      <w:rFonts w:ascii="Times New Roman" w:hAnsi="Times New Roman" w:cs="Times New Roman"/>
                      <w:b/>
                      <w:snapToGrid w:val="0"/>
                      <w:sz w:val="20"/>
                      <w:szCs w:val="20"/>
                      <w:lang w:val="bg-BG"/>
                    </w:rPr>
                    <w:t>24 412 лв.</w:t>
                  </w:r>
                </w:p>
              </w:tc>
            </w:tr>
          </w:tbl>
          <w:p w:rsidR="00E012E4" w:rsidRPr="00CD0016" w:rsidRDefault="00E012E4" w:rsidP="003F6B51">
            <w:pPr>
              <w:spacing w:after="0"/>
              <w:jc w:val="both"/>
              <w:rPr>
                <w:rFonts w:ascii="Times New Roman" w:hAnsi="Times New Roman" w:cs="Times New Roman"/>
                <w:i/>
                <w:sz w:val="20"/>
                <w:szCs w:val="20"/>
                <w:lang w:val="bg-BG"/>
              </w:rPr>
            </w:pPr>
            <w:r w:rsidRPr="00CD0016">
              <w:rPr>
                <w:rFonts w:ascii="Times New Roman" w:hAnsi="Times New Roman" w:cs="Times New Roman"/>
                <w:i/>
                <w:sz w:val="20"/>
                <w:szCs w:val="20"/>
                <w:lang w:val="bg-BG"/>
              </w:rPr>
              <w:t xml:space="preserve">* Така посочените разходи са с прогнозен характер </w:t>
            </w:r>
          </w:p>
          <w:p w:rsidR="00E012E4" w:rsidRPr="00CD0016" w:rsidRDefault="00E012E4"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Общите разходи на акция, изчислени като общият размер на разходите, пряко свързани с настоящото публично предлагане на ценни книжа (24 412 лв.), се раздели на броя ценни книжа, които ще бъдат предложени публично (</w:t>
            </w:r>
            <w:r w:rsidRPr="00CD0016">
              <w:rPr>
                <w:rFonts w:ascii="Times New Roman" w:hAnsi="Times New Roman" w:cs="Times New Roman"/>
                <w:color w:val="000000"/>
                <w:sz w:val="20"/>
                <w:szCs w:val="20"/>
                <w:lang w:val="bg-BG" w:eastAsia="bg-BG"/>
              </w:rPr>
              <w:t xml:space="preserve">150 000 </w:t>
            </w:r>
            <w:r w:rsidRPr="00CD0016">
              <w:rPr>
                <w:rFonts w:ascii="Times New Roman" w:hAnsi="Times New Roman" w:cs="Times New Roman"/>
                <w:sz w:val="20"/>
                <w:szCs w:val="20"/>
                <w:lang w:val="bg-BG"/>
              </w:rPr>
              <w:t>бр.), са 0,163 лева на акция.</w:t>
            </w:r>
          </w:p>
          <w:p w:rsidR="00876729" w:rsidRPr="00CD0016" w:rsidRDefault="00E012E4" w:rsidP="003F6B51">
            <w:pPr>
              <w:spacing w:after="0"/>
              <w:jc w:val="both"/>
              <w:rPr>
                <w:rFonts w:ascii="Times New Roman" w:eastAsia="Calibri" w:hAnsi="Times New Roman" w:cs="Times New Roman"/>
                <w:sz w:val="20"/>
                <w:szCs w:val="20"/>
                <w:lang w:val="bg-BG"/>
              </w:rPr>
            </w:pPr>
            <w:r w:rsidRPr="00CD0016">
              <w:rPr>
                <w:rFonts w:ascii="Times New Roman" w:hAnsi="Times New Roman" w:cs="Times New Roman"/>
                <w:sz w:val="20"/>
                <w:szCs w:val="20"/>
                <w:lang w:val="bg-BG"/>
              </w:rPr>
              <w:t>Всички посочени в таблицата разходи са за сметка на “ГЛЕНМООР КЕПИТАЛ” АДСИЦ.</w:t>
            </w:r>
          </w:p>
        </w:tc>
      </w:tr>
      <w:tr w:rsidR="00773CF8" w:rsidRPr="00CD0016" w:rsidTr="00C057E1">
        <w:trPr>
          <w:trHeight w:val="275"/>
        </w:trPr>
        <w:tc>
          <w:tcPr>
            <w:tcW w:w="647" w:type="dxa"/>
          </w:tcPr>
          <w:p w:rsidR="00773CF8"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Д.2а</w:t>
            </w:r>
          </w:p>
        </w:tc>
        <w:tc>
          <w:tcPr>
            <w:tcW w:w="10268" w:type="dxa"/>
            <w:shd w:val="clear" w:color="auto" w:fill="auto"/>
          </w:tcPr>
          <w:p w:rsidR="00A72CB7" w:rsidRPr="00CD0016" w:rsidRDefault="00A72C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Очакваната нетна сума на приходите от публичното предлагане при условие, че бъде записан целия размер на предлаганата емисия акции (след приспадане на разходите по неговото извършване) е в размер на </w:t>
            </w:r>
            <w:r w:rsidRPr="00CD0016">
              <w:rPr>
                <w:rFonts w:ascii="Times New Roman" w:hAnsi="Times New Roman" w:cs="Times New Roman"/>
                <w:color w:val="000000"/>
                <w:sz w:val="20"/>
                <w:szCs w:val="20"/>
                <w:lang w:val="bg-BG" w:eastAsia="bg-BG"/>
              </w:rPr>
              <w:t>125 588</w:t>
            </w:r>
            <w:r w:rsidRPr="00CD0016">
              <w:rPr>
                <w:rFonts w:ascii="Times New Roman" w:hAnsi="Times New Roman" w:cs="Times New Roman"/>
                <w:sz w:val="20"/>
                <w:szCs w:val="20"/>
                <w:lang w:val="bg-BG"/>
              </w:rPr>
              <w:t>,00 лв. Тези приходи ще бъдат използвани за изпълнение на инвестиционната стратегия на Дружеството (инвестиции в недвижими имоти, отговарящи на критериите на дружеството, с цел тяхното изграждане и/или реновиране, управление и получаване на доход). Виж Регистрационния документ, “Инвестиционни цели и ограничения”. “ГЛЕНМООР КЕПИТАЛ” АДСИЦ не може да извършва други търговски сделки извън покупко-продажбата на недвижими имоти, набиране на средства чрез издаване на ценни книжа и сделките, пряко свързани с осъществяването на тези дейности, освен ако са позволени от Закона за дружествата със специална инвестиционна цел. В този смисъл приходите от публичното предлагане на акции ще се използват само за извършване на обичайната търговска дейност на емитента.</w:t>
            </w:r>
          </w:p>
          <w:p w:rsidR="00A72CB7" w:rsidRPr="00CD0016" w:rsidRDefault="00A72C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Приходите от набрания капитал няма да се използват за финансиране на придобивания на други дружества, нито за погасяване на задължения на емитента.</w:t>
            </w:r>
          </w:p>
          <w:p w:rsidR="00773CF8" w:rsidRPr="00CD0016" w:rsidRDefault="00A72C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В случай че “ГЛЕНМООР КЕПИТАЛ” АДСИЦ не успее да набере изцяло предвидения капитал, но при условие, че емисията е успешна, реално набраните средства ще бъдат използвани за същите цели, но при намалени мащаби. </w:t>
            </w:r>
          </w:p>
        </w:tc>
      </w:tr>
      <w:tr w:rsidR="00773CF8" w:rsidRPr="00CD0016" w:rsidTr="00C057E1">
        <w:trPr>
          <w:trHeight w:val="275"/>
        </w:trPr>
        <w:tc>
          <w:tcPr>
            <w:tcW w:w="647" w:type="dxa"/>
          </w:tcPr>
          <w:p w:rsidR="00773CF8"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Д.3</w:t>
            </w:r>
          </w:p>
        </w:tc>
        <w:tc>
          <w:tcPr>
            <w:tcW w:w="10268" w:type="dxa"/>
            <w:shd w:val="clear" w:color="auto" w:fill="auto"/>
          </w:tcPr>
          <w:p w:rsidR="00A72CB7" w:rsidRPr="00CD0016" w:rsidRDefault="00A72CB7" w:rsidP="003F6B51">
            <w:pPr>
              <w:spacing w:after="0"/>
              <w:jc w:val="both"/>
              <w:rPr>
                <w:rFonts w:ascii="Times New Roman" w:hAnsi="Times New Roman" w:cs="Times New Roman"/>
                <w:sz w:val="20"/>
                <w:szCs w:val="20"/>
                <w:lang w:val="bg-BG"/>
              </w:rPr>
            </w:pPr>
            <w:bookmarkStart w:id="15" w:name="OLE_LINK52"/>
            <w:r w:rsidRPr="00CD0016">
              <w:rPr>
                <w:rFonts w:ascii="Times New Roman" w:hAnsi="Times New Roman" w:cs="Times New Roman"/>
                <w:sz w:val="20"/>
                <w:szCs w:val="20"/>
                <w:lang w:val="bg-BG"/>
              </w:rPr>
              <w:t>Условията, на които е подчинено публичното предлагане на акциите от емисията от увеличението на капитала на “ГЛЕНМООР КЕПИТАЛ” АДСИЦ, са нормативно регламентирани в ЗДСИЦ, ЗППЦК, Наредба № 2 на КФН за проспектите при публично предлагане и допускане до търговия на регулиран пазар на ценни книжа и за разкриването на информация от публичните дружества и другите емитенти на ценни книжа, Наредба № 38 на КФН за изискванията към дейността на инвестиционните посредници, Правилата на „БФБ – София” АД и Правилника на „Централен депозитар” АД.</w:t>
            </w:r>
          </w:p>
          <w:bookmarkEnd w:id="15"/>
          <w:p w:rsidR="00F77B31" w:rsidRPr="00CD0016" w:rsidRDefault="00A72CB7"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Предмет на публично предлагане са </w:t>
            </w:r>
            <w:r w:rsidRPr="00CD0016">
              <w:rPr>
                <w:rStyle w:val="apple-style-span"/>
                <w:rFonts w:ascii="Times New Roman" w:hAnsi="Times New Roman" w:cs="Times New Roman"/>
                <w:sz w:val="20"/>
                <w:szCs w:val="20"/>
                <w:lang w:val="bg-BG"/>
              </w:rPr>
              <w:t xml:space="preserve">150 000 </w:t>
            </w:r>
            <w:r w:rsidRPr="00CD0016">
              <w:rPr>
                <w:rFonts w:ascii="Times New Roman" w:hAnsi="Times New Roman" w:cs="Times New Roman"/>
                <w:sz w:val="20"/>
                <w:szCs w:val="20"/>
                <w:lang w:val="bg-BG"/>
              </w:rPr>
              <w:t xml:space="preserve">(сто и петдесет хиляди) броя обикновени акции от новата емисия по увеличение на капитала на Дружеството. Всички </w:t>
            </w:r>
            <w:r w:rsidRPr="00CD0016">
              <w:rPr>
                <w:rStyle w:val="apple-style-span"/>
                <w:rFonts w:ascii="Times New Roman" w:hAnsi="Times New Roman" w:cs="Times New Roman"/>
                <w:sz w:val="20"/>
                <w:szCs w:val="20"/>
                <w:lang w:val="bg-BG"/>
              </w:rPr>
              <w:t xml:space="preserve">150 000 </w:t>
            </w:r>
            <w:r w:rsidRPr="00CD0016">
              <w:rPr>
                <w:rFonts w:ascii="Times New Roman" w:hAnsi="Times New Roman" w:cs="Times New Roman"/>
                <w:sz w:val="20"/>
                <w:szCs w:val="20"/>
                <w:lang w:val="bg-BG"/>
              </w:rPr>
              <w:t xml:space="preserve">броя акции се предлагат на инвеститорите за записване. </w:t>
            </w:r>
            <w:r w:rsidR="00F77B31" w:rsidRPr="00CD0016">
              <w:rPr>
                <w:rFonts w:ascii="Times New Roman" w:hAnsi="Times New Roman" w:cs="Times New Roman"/>
                <w:sz w:val="20"/>
                <w:szCs w:val="20"/>
                <w:lang w:val="bg-BG"/>
              </w:rPr>
              <w:t>Предлаганите акции са с номинална стойност от 1 (един) лев и емисионна 1 лв. (един) лев.</w:t>
            </w:r>
          </w:p>
          <w:p w:rsidR="00F77B31" w:rsidRPr="00CD0016" w:rsidRDefault="00F77B3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Капиталът на Дружеството ще бъде увеличен, само ако е записана и платена поне 1 нова акция. След приключване на подписката, вписване на увеличения капитал на Дружеството в Търговския регистър и регистрация на новата емисия акции в Централния депозитар, издадените от Дружеството обикновени акции от увеличението на капитала, ще се предлагат за търговия (вторично публично предлагане) на „БФБ-София” АД.</w:t>
            </w:r>
          </w:p>
          <w:p w:rsidR="00F77B31" w:rsidRPr="00CD0016" w:rsidRDefault="00F77B31" w:rsidP="003F6B51">
            <w:pPr>
              <w:spacing w:after="0"/>
              <w:jc w:val="both"/>
              <w:rPr>
                <w:rFonts w:ascii="Times New Roman" w:hAnsi="Times New Roman" w:cs="Times New Roman"/>
                <w:sz w:val="20"/>
                <w:szCs w:val="20"/>
                <w:lang w:val="bg-BG"/>
              </w:rPr>
            </w:pPr>
            <w:bookmarkStart w:id="16" w:name="OLE_LINK54"/>
            <w:bookmarkStart w:id="17" w:name="OLE_LINK55"/>
            <w:r w:rsidRPr="00CD0016">
              <w:rPr>
                <w:rFonts w:ascii="Times New Roman" w:hAnsi="Times New Roman" w:cs="Times New Roman"/>
                <w:sz w:val="20"/>
                <w:szCs w:val="20"/>
                <w:lang w:val="bg-BG"/>
              </w:rPr>
              <w:t>Срещу всяка една нова акция от увеличението “ГЛЕНМООР КЕПИТАЛ” АДСИЦ издава едно право по смисъла на §1, т. 3 от ЗППЦК или общо срещу 150 000 (сто и петдесет хиляди) акции от увеличението на капитала Дружеството издава 150 000 (сто и петдесет хиляди) права, като всяко едно право дава право да се запише една акция от увеличението на капитала с номинална и емисионна стойност 1 (един) лев. Правата се прехвърлят в срока за прехвърляне, определен по-долу в настоящия документ.</w:t>
            </w:r>
          </w:p>
          <w:p w:rsidR="00F77B31" w:rsidRPr="00CD0016" w:rsidRDefault="00F77B3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Съотношението между издаваните права и една нова акция е право/акции – 1/1.</w:t>
            </w:r>
          </w:p>
          <w:p w:rsidR="00F77B31" w:rsidRPr="00CD0016" w:rsidRDefault="00F77B3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Цялата емисия права се предлага изцяло от избрания да обслужва увеличението на капитала инвестиционен посредник – ИП „ЪП ТРЕНД” ООД (с предишно наименование „БУЛ ТРЕНД БРОКЕРИДЖ” ООД), със седалище и адрес на управление:</w:t>
            </w:r>
            <w:r w:rsidR="00EC7D98">
              <w:rPr>
                <w:rFonts w:ascii="Times New Roman" w:hAnsi="Times New Roman" w:cs="Times New Roman"/>
                <w:sz w:val="20"/>
                <w:szCs w:val="20"/>
                <w:lang w:val="bg-BG"/>
              </w:rPr>
              <w:t xml:space="preserve"> </w:t>
            </w:r>
            <w:r w:rsidR="00EC7D98" w:rsidRPr="00EC7D98">
              <w:rPr>
                <w:rFonts w:ascii="Times New Roman" w:hAnsi="Times New Roman" w:cs="Times New Roman"/>
                <w:sz w:val="20"/>
                <w:szCs w:val="20"/>
                <w:lang w:val="bg-BG"/>
              </w:rPr>
              <w:t>гр. София, р-н Лозенец, бул. Никола Й. Вапцаров № 6</w:t>
            </w:r>
            <w:r w:rsidRPr="00CD0016">
              <w:rPr>
                <w:rFonts w:ascii="Times New Roman" w:hAnsi="Times New Roman" w:cs="Times New Roman"/>
                <w:sz w:val="20"/>
                <w:szCs w:val="20"/>
                <w:lang w:val="bg-BG"/>
              </w:rPr>
              <w:t>.</w:t>
            </w:r>
          </w:p>
          <w:p w:rsidR="00F77B31" w:rsidRPr="00CD0016" w:rsidRDefault="00F77B3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Инвестиционният посредник извършва публично предлагане на емисията права на регулиран пазар, а именно на основния пазар на „БФБ–София” АД, сегмент за права. Съветът на директорите на “ГЛЕНМООР КЕПИТАЛ” АДСИЦ публикува Съобщение за публичното предлагане, началния и крайния срок за прехвърлянето на права и за записването на акции, регистрационния номер и датата на издаденото от КФН потвърждение, мястото, времето и </w:t>
            </w:r>
            <w:r w:rsidRPr="00CD0016">
              <w:rPr>
                <w:rFonts w:ascii="Times New Roman" w:hAnsi="Times New Roman" w:cs="Times New Roman"/>
                <w:sz w:val="20"/>
                <w:szCs w:val="20"/>
                <w:lang w:val="bg-BG"/>
              </w:rPr>
              <w:lastRenderedPageBreak/>
              <w:t>начина на запознаване с проспекта, както и други данни, определени с наредба на КФН. Съгласно чл. 92а от ЗППЦК съобщението се публикува най-малко в един центраелн ежедневниа (в-к „Капитал Daily”) и на интернет страницата на “ГЛЕНМООР КЕПИТАЛ” АДСИЦ, както и на интернет страницата на инвестиционния посредник “ЪП ТРЕНД” ООД (с предишно наименование „БУЛ ТРЕНД БРОКЕРИДЖ” ООД), участващ в предлагането, най-малко 7 дни преди началния срок на подписката. Датата на публикуване на съобщението се смята за начало на публичното предлагане.</w:t>
            </w:r>
            <w:bookmarkEnd w:id="16"/>
            <w:bookmarkEnd w:id="17"/>
          </w:p>
          <w:p w:rsidR="00F77B31" w:rsidRPr="00CD0016" w:rsidRDefault="00F77B31" w:rsidP="003F6B51">
            <w:pPr>
              <w:spacing w:after="0"/>
              <w:jc w:val="both"/>
              <w:rPr>
                <w:rFonts w:ascii="Times New Roman" w:hAnsi="Times New Roman" w:cs="Times New Roman"/>
                <w:b/>
                <w:sz w:val="20"/>
                <w:szCs w:val="20"/>
                <w:lang w:val="bg-BG"/>
              </w:rPr>
            </w:pPr>
            <w:bookmarkStart w:id="18" w:name="OLE_LINK56"/>
            <w:r w:rsidRPr="00CD0016">
              <w:rPr>
                <w:rFonts w:ascii="Times New Roman" w:hAnsi="Times New Roman" w:cs="Times New Roman"/>
                <w:b/>
                <w:sz w:val="20"/>
                <w:szCs w:val="20"/>
                <w:lang w:val="bg-BG"/>
              </w:rPr>
              <w:t>Начална дата за продажба (търговия) на правата и за записване на нови акции</w:t>
            </w:r>
          </w:p>
          <w:p w:rsidR="00F77B31" w:rsidRPr="00C169EC" w:rsidRDefault="00F77B3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Това е първият работен ден, следващ изтичането на 7 (седем) дни от датата на публикацията на съобщението за публичното предлагане по чл. 92а ЗППЦК в един централен ежедневник (в-к „Капитал Daily”) и на интернет страниците на “ГЛЕНМООР КЕПИТАЛ” АДСИЦ и на упълномощения </w:t>
            </w:r>
            <w:r w:rsidRPr="00C169EC">
              <w:rPr>
                <w:rFonts w:ascii="Times New Roman" w:hAnsi="Times New Roman" w:cs="Times New Roman"/>
                <w:sz w:val="20"/>
                <w:szCs w:val="20"/>
                <w:lang w:val="bg-BG"/>
              </w:rPr>
              <w:t xml:space="preserve">инвестиционен посредник „ЪП ТРЕНД” ООД, (ако публикациите са в различни дати – първият работен ден, следващ изтичането на 7 дни от най-късната от всички дати). Очаква се началната дата на подписката и на борсовата търговия с права да е на или около </w:t>
            </w:r>
            <w:r w:rsidR="00380564" w:rsidRPr="00EB4E3E">
              <w:rPr>
                <w:rFonts w:ascii="Times New Roman" w:hAnsi="Times New Roman" w:cs="Times New Roman"/>
                <w:sz w:val="20"/>
              </w:rPr>
              <w:t xml:space="preserve">19.12.2017 </w:t>
            </w:r>
            <w:r w:rsidRPr="00C169EC">
              <w:rPr>
                <w:rFonts w:ascii="Times New Roman" w:hAnsi="Times New Roman" w:cs="Times New Roman"/>
                <w:sz w:val="20"/>
                <w:szCs w:val="20"/>
                <w:lang w:val="bg-BG"/>
              </w:rPr>
              <w:t>г.</w:t>
            </w:r>
          </w:p>
          <w:p w:rsidR="00F77B31" w:rsidRPr="00C169EC" w:rsidRDefault="00F77B31" w:rsidP="003F6B51">
            <w:pPr>
              <w:spacing w:after="0"/>
              <w:jc w:val="both"/>
              <w:rPr>
                <w:rFonts w:ascii="Times New Roman" w:hAnsi="Times New Roman" w:cs="Times New Roman"/>
                <w:b/>
                <w:sz w:val="20"/>
                <w:szCs w:val="20"/>
                <w:lang w:val="bg-BG"/>
              </w:rPr>
            </w:pPr>
            <w:r w:rsidRPr="00C169EC">
              <w:rPr>
                <w:rFonts w:ascii="Times New Roman" w:hAnsi="Times New Roman" w:cs="Times New Roman"/>
                <w:b/>
                <w:sz w:val="20"/>
                <w:szCs w:val="20"/>
                <w:lang w:val="bg-BG"/>
              </w:rPr>
              <w:t>Краен срок за продажба на правата</w:t>
            </w:r>
          </w:p>
          <w:p w:rsidR="00F77B31" w:rsidRPr="00C169EC" w:rsidRDefault="00F77B31"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Крайният срок за прехвърляне на правата съгласно чл. 13, ал. 7 и § 2 от ЗДСИЦ във връзка с чл. 112б, ал. 4 от ЗППЦК е първият работен ден, следващ изтичането на 14 (четиринадесет) дни, считано от началната дата за прехвърляне на правата  (очаквана дата: </w:t>
            </w:r>
            <w:r w:rsidR="00380564" w:rsidRPr="00EB4E3E">
              <w:rPr>
                <w:rFonts w:ascii="Times New Roman" w:hAnsi="Times New Roman" w:cs="Times New Roman"/>
                <w:sz w:val="20"/>
              </w:rPr>
              <w:t xml:space="preserve">03.01.2018 </w:t>
            </w:r>
            <w:r w:rsidRPr="00C169EC">
              <w:rPr>
                <w:rFonts w:ascii="Times New Roman" w:hAnsi="Times New Roman" w:cs="Times New Roman"/>
                <w:sz w:val="20"/>
                <w:szCs w:val="20"/>
                <w:lang w:val="bg-BG"/>
              </w:rPr>
              <w:t xml:space="preserve">г.). Съгласно Правилата на „Българска фондова борса – София” АД (БФБ) последната дата за търговия с права на борсата е два работни дни преди крайната дата за прехвърляне на права (очаквана последна дата за търговия с права на борсата: </w:t>
            </w:r>
            <w:r w:rsidR="00380564" w:rsidRPr="00EB4E3E">
              <w:rPr>
                <w:rFonts w:ascii="Times New Roman" w:hAnsi="Times New Roman" w:cs="Times New Roman"/>
                <w:sz w:val="20"/>
              </w:rPr>
              <w:t xml:space="preserve">29.12.2017 </w:t>
            </w:r>
            <w:r w:rsidRPr="00C169EC">
              <w:rPr>
                <w:rFonts w:ascii="Times New Roman" w:hAnsi="Times New Roman" w:cs="Times New Roman"/>
                <w:sz w:val="20"/>
                <w:szCs w:val="20"/>
                <w:lang w:val="bg-BG"/>
              </w:rPr>
              <w:t xml:space="preserve"> г.).</w:t>
            </w:r>
          </w:p>
          <w:p w:rsidR="00F77B31" w:rsidRPr="00C169EC" w:rsidRDefault="00F77B31" w:rsidP="003F6B51">
            <w:pPr>
              <w:spacing w:after="0"/>
              <w:jc w:val="both"/>
              <w:rPr>
                <w:rFonts w:ascii="Times New Roman" w:hAnsi="Times New Roman" w:cs="Times New Roman"/>
                <w:b/>
                <w:sz w:val="20"/>
                <w:szCs w:val="20"/>
                <w:lang w:val="bg-BG"/>
              </w:rPr>
            </w:pPr>
            <w:r w:rsidRPr="00C169EC">
              <w:rPr>
                <w:rFonts w:ascii="Times New Roman" w:hAnsi="Times New Roman" w:cs="Times New Roman"/>
                <w:b/>
                <w:sz w:val="20"/>
                <w:szCs w:val="20"/>
                <w:lang w:val="bg-BG"/>
              </w:rPr>
              <w:t>Място, условия и ред за прехвърляне на правата</w:t>
            </w:r>
          </w:p>
          <w:p w:rsidR="00F77B31" w:rsidRPr="00CD0016" w:rsidRDefault="00F77B31"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Прехвърлянето на правата посредством тяхната покупко-продажба (търговията с права) се извършва на пазара на права на „БФБ–София” АД. Правата се предлагат за продажба от у</w:t>
            </w:r>
            <w:r w:rsidRPr="00CD0016">
              <w:rPr>
                <w:rFonts w:ascii="Times New Roman" w:hAnsi="Times New Roman" w:cs="Times New Roman"/>
                <w:sz w:val="20"/>
                <w:szCs w:val="20"/>
                <w:lang w:val="bg-BG"/>
              </w:rPr>
              <w:t>пълномощения инвестиционен посредник – „ЪП ТРЕНД” ООД. Права могат да предлагат за продажба и лица, които са закупили права на „БФБ-София” АД, чрез подаване на поръчка за продажба до съответния инвестиционен посредник - член на „БФБ-София” АД, при когото е разкрита сметката за права на това лице. Правата се закупуват от инвеститорите на борсата чрез подаване на поръчка за покупка до инвестиционен посредник, член на борсата. За придобиването на права по други способи се прилагат разпоредбите на Правилника на „Централен депозитар” АД.</w:t>
            </w:r>
          </w:p>
          <w:p w:rsidR="00F77B31" w:rsidRPr="00CD0016" w:rsidRDefault="00F77B3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Сумите, получени от продажбата на правата, постъпват по специална сметка, открита от „Централен депозитар” АД, и не могат да се ползват до вписване на увеличението на капитала на дружеството в търговския регистър при Агенцията по вписванията. В началото на всеки работен ден от подписката „Централен депозитар” АД публично оповестява информация за упражнените до края на предходния работен ден права.</w:t>
            </w:r>
          </w:p>
          <w:p w:rsidR="00800101" w:rsidRPr="00CD0016" w:rsidRDefault="00800101" w:rsidP="003F6B51">
            <w:pPr>
              <w:spacing w:after="0"/>
              <w:jc w:val="both"/>
              <w:rPr>
                <w:rFonts w:ascii="Times New Roman" w:hAnsi="Times New Roman" w:cs="Times New Roman"/>
                <w:b/>
                <w:sz w:val="20"/>
                <w:szCs w:val="20"/>
                <w:lang w:val="bg-BG"/>
              </w:rPr>
            </w:pPr>
            <w:bookmarkStart w:id="19" w:name="OLE_LINK57"/>
            <w:bookmarkEnd w:id="18"/>
            <w:r w:rsidRPr="00CD0016">
              <w:rPr>
                <w:rFonts w:ascii="Times New Roman" w:hAnsi="Times New Roman" w:cs="Times New Roman"/>
                <w:b/>
                <w:sz w:val="20"/>
                <w:szCs w:val="20"/>
                <w:lang w:val="bg-BG"/>
              </w:rPr>
              <w:t>Начална дата за записване на акции</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Началната дата съвпада с датата, от която започва предлагането на правата - първият работен ден, следващ изтичането на 7 (седем) дни от датата на публикацията на съобщението за публичното предлагане по чл. 92а ЗППЦК в един централен ежедневник (в-к „Капитал Daily”) и на интернет страниците на “ГЛЕНМООР КЕПИТАЛ” АДСИЦ и на упълномощения инвестиционен посредник „ЪП ТРЕНД” ООД.</w:t>
            </w:r>
          </w:p>
          <w:p w:rsidR="00800101" w:rsidRPr="00C169EC" w:rsidRDefault="00800101" w:rsidP="003F6B51">
            <w:pPr>
              <w:spacing w:after="0"/>
              <w:jc w:val="both"/>
              <w:rPr>
                <w:rFonts w:ascii="Times New Roman" w:hAnsi="Times New Roman" w:cs="Times New Roman"/>
                <w:b/>
                <w:sz w:val="20"/>
                <w:szCs w:val="20"/>
                <w:lang w:val="bg-BG"/>
              </w:rPr>
            </w:pPr>
            <w:r w:rsidRPr="00CD0016">
              <w:rPr>
                <w:rFonts w:ascii="Times New Roman" w:hAnsi="Times New Roman" w:cs="Times New Roman"/>
                <w:b/>
                <w:sz w:val="20"/>
                <w:szCs w:val="20"/>
                <w:lang w:val="bg-BG"/>
              </w:rPr>
              <w:t>Краен срок за записване на акции</w:t>
            </w:r>
          </w:p>
          <w:p w:rsidR="00800101" w:rsidRPr="00C169EC" w:rsidRDefault="00800101"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Крайният срок за записване на акции от притежателите на права съгласно чл. 13, ал. 7 от ЗДСИЦ и чл. 112б, ал. 5 от ЗППЦК е първият работен ден, следващ изтичането на 15 работни дни, след изтичането на срока за прехвърляне на правата (очаквана дата: </w:t>
            </w:r>
            <w:r w:rsidR="00380564" w:rsidRPr="00EB4E3E">
              <w:rPr>
                <w:rFonts w:ascii="Times New Roman" w:hAnsi="Times New Roman" w:cs="Times New Roman"/>
                <w:sz w:val="20"/>
              </w:rPr>
              <w:t xml:space="preserve">25.01.2018 </w:t>
            </w:r>
            <w:r w:rsidRPr="00C169EC">
              <w:rPr>
                <w:rFonts w:ascii="Times New Roman" w:hAnsi="Times New Roman" w:cs="Times New Roman"/>
                <w:sz w:val="20"/>
                <w:szCs w:val="20"/>
                <w:lang w:val="bg-BG"/>
              </w:rPr>
              <w:t>г.).</w:t>
            </w:r>
          </w:p>
          <w:p w:rsidR="00800101" w:rsidRPr="00C169EC" w:rsidRDefault="00800101"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Не се допуска записване на акции преди началния и след крайния срок за записване на акции. </w:t>
            </w:r>
          </w:p>
          <w:p w:rsidR="00800101" w:rsidRPr="00C169EC" w:rsidRDefault="00800101" w:rsidP="003F6B51">
            <w:pPr>
              <w:spacing w:after="0"/>
              <w:jc w:val="both"/>
              <w:rPr>
                <w:rFonts w:ascii="Times New Roman" w:hAnsi="Times New Roman" w:cs="Times New Roman"/>
                <w:sz w:val="20"/>
                <w:szCs w:val="20"/>
                <w:lang w:val="bg-BG"/>
              </w:rPr>
            </w:pPr>
            <w:bookmarkStart w:id="20" w:name="OLE_LINK58"/>
            <w:bookmarkStart w:id="21" w:name="OLE_LINK59"/>
            <w:r w:rsidRPr="00C169EC">
              <w:rPr>
                <w:rFonts w:ascii="Times New Roman" w:hAnsi="Times New Roman" w:cs="Times New Roman"/>
                <w:sz w:val="20"/>
                <w:szCs w:val="20"/>
                <w:lang w:val="bg-BG"/>
              </w:rPr>
              <w:t>В началото на всеки работен ден по време на подписката „Централен депозитар” АД публично оповестява информацията за упражнените да края на предходния ден права.</w:t>
            </w:r>
          </w:p>
          <w:bookmarkEnd w:id="20"/>
          <w:bookmarkEnd w:id="21"/>
          <w:p w:rsidR="00800101" w:rsidRPr="00C169EC" w:rsidRDefault="00800101" w:rsidP="003F6B51">
            <w:pPr>
              <w:spacing w:after="0"/>
              <w:jc w:val="both"/>
              <w:rPr>
                <w:rFonts w:ascii="Times New Roman" w:hAnsi="Times New Roman" w:cs="Times New Roman"/>
                <w:sz w:val="20"/>
                <w:szCs w:val="20"/>
                <w:lang w:val="bg-BG"/>
              </w:rPr>
            </w:pPr>
            <w:r w:rsidRPr="00C169EC">
              <w:rPr>
                <w:rFonts w:ascii="Times New Roman" w:hAnsi="Times New Roman" w:cs="Times New Roman"/>
                <w:b/>
                <w:sz w:val="20"/>
                <w:szCs w:val="20"/>
                <w:lang w:val="bg-BG"/>
              </w:rPr>
              <w:t>Таблица № 5:</w:t>
            </w:r>
            <w:r w:rsidRPr="00C169EC">
              <w:rPr>
                <w:rFonts w:ascii="Times New Roman" w:hAnsi="Times New Roman" w:cs="Times New Roman"/>
                <w:sz w:val="20"/>
                <w:szCs w:val="20"/>
                <w:lang w:val="bg-BG"/>
              </w:rPr>
              <w:t xml:space="preserve"> Очакван график на предлагането: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8"/>
              <w:gridCol w:w="3734"/>
            </w:tblGrid>
            <w:tr w:rsidR="00D057EF" w:rsidRPr="00C169EC" w:rsidTr="00DB7D7D">
              <w:tc>
                <w:tcPr>
                  <w:tcW w:w="3141" w:type="pct"/>
                  <w:vAlign w:val="center"/>
                </w:tcPr>
                <w:p w:rsidR="00D057EF" w:rsidRPr="00C169EC" w:rsidRDefault="00D057EF" w:rsidP="003F6B51">
                  <w:pPr>
                    <w:spacing w:after="0"/>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Дата на публикуване на Проспекта                            </w:t>
                  </w:r>
                </w:p>
              </w:tc>
              <w:tc>
                <w:tcPr>
                  <w:tcW w:w="1859" w:type="pct"/>
                </w:tcPr>
                <w:p w:rsidR="00D057EF" w:rsidRPr="00C169EC" w:rsidRDefault="00380564" w:rsidP="003F6B51">
                  <w:pPr>
                    <w:spacing w:after="0"/>
                    <w:jc w:val="right"/>
                    <w:rPr>
                      <w:rFonts w:ascii="Times New Roman" w:hAnsi="Times New Roman" w:cs="Times New Roman"/>
                      <w:sz w:val="20"/>
                      <w:szCs w:val="20"/>
                    </w:rPr>
                  </w:pPr>
                  <w:proofErr w:type="gramStart"/>
                  <w:r w:rsidRPr="00EB4E3E">
                    <w:rPr>
                      <w:rFonts w:ascii="Times New Roman" w:hAnsi="Times New Roman" w:cs="Times New Roman"/>
                      <w:sz w:val="20"/>
                    </w:rPr>
                    <w:t xml:space="preserve">11.12.2017 </w:t>
                  </w:r>
                  <w:r w:rsidR="00D057EF" w:rsidRPr="00C169EC">
                    <w:rPr>
                      <w:rFonts w:ascii="Times New Roman" w:hAnsi="Times New Roman" w:cs="Times New Roman"/>
                      <w:sz w:val="20"/>
                      <w:szCs w:val="20"/>
                    </w:rPr>
                    <w:t xml:space="preserve"> г.</w:t>
                  </w:r>
                  <w:proofErr w:type="gramEnd"/>
                  <w:r w:rsidR="00D057EF" w:rsidRPr="00C169EC">
                    <w:rPr>
                      <w:rFonts w:ascii="Times New Roman" w:hAnsi="Times New Roman" w:cs="Times New Roman"/>
                      <w:sz w:val="20"/>
                      <w:szCs w:val="20"/>
                    </w:rPr>
                    <w:t xml:space="preserve"> </w:t>
                  </w:r>
                </w:p>
              </w:tc>
            </w:tr>
            <w:tr w:rsidR="00D057EF" w:rsidRPr="00C169EC" w:rsidTr="00DB7D7D">
              <w:trPr>
                <w:trHeight w:val="80"/>
              </w:trPr>
              <w:tc>
                <w:tcPr>
                  <w:tcW w:w="3141" w:type="pct"/>
                  <w:vAlign w:val="center"/>
                </w:tcPr>
                <w:p w:rsidR="00D057EF" w:rsidRPr="00C169EC" w:rsidRDefault="00D057EF" w:rsidP="003F6B51">
                  <w:pPr>
                    <w:spacing w:after="0"/>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Дата на публикацията на съобщението за публичното предлагане по чл. 92а ЗППЦК в един централен ежедневник (в-к „Капитал Daily”) и на интернет страниците на “ГЛЕНМООР КЕПИТАЛ” АДСИЦ и на упълномощения инвестиционен посредник „ЪП ТРЕНД” ООД </w:t>
                  </w:r>
                </w:p>
              </w:tc>
              <w:tc>
                <w:tcPr>
                  <w:tcW w:w="1859" w:type="pct"/>
                </w:tcPr>
                <w:p w:rsidR="00D057EF" w:rsidRPr="00C169EC" w:rsidRDefault="00380564" w:rsidP="003F6B51">
                  <w:pPr>
                    <w:spacing w:after="0"/>
                    <w:jc w:val="right"/>
                    <w:rPr>
                      <w:rFonts w:ascii="Times New Roman" w:hAnsi="Times New Roman" w:cs="Times New Roman"/>
                      <w:sz w:val="20"/>
                      <w:szCs w:val="20"/>
                    </w:rPr>
                  </w:pPr>
                  <w:r w:rsidRPr="00EB4E3E">
                    <w:rPr>
                      <w:rFonts w:ascii="Times New Roman" w:hAnsi="Times New Roman" w:cs="Times New Roman"/>
                      <w:sz w:val="20"/>
                    </w:rPr>
                    <w:t xml:space="preserve">11.12.2017 </w:t>
                  </w:r>
                  <w:r w:rsidR="00D057EF" w:rsidRPr="00C169EC">
                    <w:rPr>
                      <w:rFonts w:ascii="Times New Roman" w:hAnsi="Times New Roman" w:cs="Times New Roman"/>
                      <w:sz w:val="20"/>
                      <w:szCs w:val="20"/>
                    </w:rPr>
                    <w:t>г.</w:t>
                  </w:r>
                </w:p>
              </w:tc>
            </w:tr>
            <w:tr w:rsidR="00D057EF" w:rsidRPr="00C169EC" w:rsidTr="00DB7D7D">
              <w:tc>
                <w:tcPr>
                  <w:tcW w:w="3141" w:type="pct"/>
                  <w:vAlign w:val="center"/>
                </w:tcPr>
                <w:p w:rsidR="00D057EF" w:rsidRPr="00C169EC" w:rsidRDefault="00D057EF" w:rsidP="003F6B51">
                  <w:pPr>
                    <w:spacing w:after="0"/>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Начало на търговията с права на „БФБ –София” АД и на записването на новите акции </w:t>
                  </w:r>
                </w:p>
              </w:tc>
              <w:tc>
                <w:tcPr>
                  <w:tcW w:w="1859" w:type="pct"/>
                </w:tcPr>
                <w:p w:rsidR="00D057EF" w:rsidRPr="00C169EC" w:rsidRDefault="00380564" w:rsidP="003F6B51">
                  <w:pPr>
                    <w:spacing w:after="0"/>
                    <w:jc w:val="right"/>
                    <w:rPr>
                      <w:rFonts w:ascii="Times New Roman" w:hAnsi="Times New Roman" w:cs="Times New Roman"/>
                      <w:sz w:val="20"/>
                      <w:szCs w:val="20"/>
                    </w:rPr>
                  </w:pPr>
                  <w:r w:rsidRPr="00EB4E3E">
                    <w:rPr>
                      <w:rFonts w:ascii="Times New Roman" w:hAnsi="Times New Roman" w:cs="Times New Roman"/>
                      <w:sz w:val="20"/>
                    </w:rPr>
                    <w:t xml:space="preserve">19.12.2017 </w:t>
                  </w:r>
                  <w:r w:rsidR="00D057EF" w:rsidRPr="00C169EC">
                    <w:rPr>
                      <w:rFonts w:ascii="Times New Roman" w:hAnsi="Times New Roman" w:cs="Times New Roman"/>
                      <w:sz w:val="20"/>
                      <w:szCs w:val="20"/>
                    </w:rPr>
                    <w:t>г.</w:t>
                  </w:r>
                </w:p>
              </w:tc>
            </w:tr>
            <w:tr w:rsidR="00D057EF" w:rsidRPr="00C169EC" w:rsidTr="00DB7D7D">
              <w:tc>
                <w:tcPr>
                  <w:tcW w:w="3141" w:type="pct"/>
                  <w:vAlign w:val="center"/>
                </w:tcPr>
                <w:p w:rsidR="00D057EF" w:rsidRPr="00C169EC" w:rsidRDefault="00D057EF" w:rsidP="003F6B51">
                  <w:pPr>
                    <w:spacing w:after="0"/>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Последен ден на търговията с права на „БФБ-София” АД </w:t>
                  </w:r>
                </w:p>
              </w:tc>
              <w:tc>
                <w:tcPr>
                  <w:tcW w:w="1859" w:type="pct"/>
                </w:tcPr>
                <w:p w:rsidR="00D057EF" w:rsidRPr="00C169EC" w:rsidRDefault="00380564" w:rsidP="003F6B51">
                  <w:pPr>
                    <w:spacing w:after="0"/>
                    <w:jc w:val="right"/>
                    <w:rPr>
                      <w:rFonts w:ascii="Times New Roman" w:hAnsi="Times New Roman" w:cs="Times New Roman"/>
                      <w:sz w:val="20"/>
                      <w:szCs w:val="20"/>
                    </w:rPr>
                  </w:pPr>
                  <w:proofErr w:type="gramStart"/>
                  <w:r w:rsidRPr="00EB4E3E">
                    <w:rPr>
                      <w:rFonts w:ascii="Times New Roman" w:hAnsi="Times New Roman" w:cs="Times New Roman"/>
                      <w:sz w:val="20"/>
                    </w:rPr>
                    <w:t xml:space="preserve">29.12.2017 </w:t>
                  </w:r>
                  <w:r w:rsidR="00D057EF" w:rsidRPr="00C169EC">
                    <w:rPr>
                      <w:rFonts w:ascii="Times New Roman" w:hAnsi="Times New Roman" w:cs="Times New Roman"/>
                      <w:sz w:val="20"/>
                      <w:szCs w:val="20"/>
                    </w:rPr>
                    <w:t xml:space="preserve"> г.</w:t>
                  </w:r>
                  <w:proofErr w:type="gramEnd"/>
                </w:p>
              </w:tc>
            </w:tr>
            <w:tr w:rsidR="00D057EF" w:rsidRPr="00C169EC" w:rsidTr="00DB7D7D">
              <w:tc>
                <w:tcPr>
                  <w:tcW w:w="3141" w:type="pct"/>
                  <w:vAlign w:val="center"/>
                </w:tcPr>
                <w:p w:rsidR="00D057EF" w:rsidRPr="00C169EC" w:rsidRDefault="00D057EF" w:rsidP="003F6B51">
                  <w:pPr>
                    <w:spacing w:after="0"/>
                    <w:rPr>
                      <w:rFonts w:ascii="Times New Roman" w:hAnsi="Times New Roman" w:cs="Times New Roman"/>
                      <w:sz w:val="20"/>
                      <w:szCs w:val="20"/>
                      <w:lang w:val="bg-BG"/>
                    </w:rPr>
                  </w:pPr>
                  <w:r w:rsidRPr="00C169EC">
                    <w:rPr>
                      <w:rFonts w:ascii="Times New Roman" w:hAnsi="Times New Roman" w:cs="Times New Roman"/>
                      <w:sz w:val="20"/>
                      <w:szCs w:val="20"/>
                      <w:lang w:val="bg-BG"/>
                    </w:rPr>
                    <w:t>Изтичане на периода за прехвърлянето на правата</w:t>
                  </w:r>
                </w:p>
              </w:tc>
              <w:tc>
                <w:tcPr>
                  <w:tcW w:w="1859" w:type="pct"/>
                </w:tcPr>
                <w:p w:rsidR="00D057EF" w:rsidRPr="00C169EC" w:rsidRDefault="00380564" w:rsidP="003F6B51">
                  <w:pPr>
                    <w:spacing w:after="0"/>
                    <w:jc w:val="right"/>
                    <w:rPr>
                      <w:rFonts w:ascii="Times New Roman" w:hAnsi="Times New Roman" w:cs="Times New Roman"/>
                      <w:sz w:val="20"/>
                      <w:szCs w:val="20"/>
                    </w:rPr>
                  </w:pPr>
                  <w:r w:rsidRPr="00EB4E3E">
                    <w:rPr>
                      <w:rFonts w:ascii="Times New Roman" w:hAnsi="Times New Roman" w:cs="Times New Roman"/>
                      <w:sz w:val="20"/>
                    </w:rPr>
                    <w:t xml:space="preserve">03.01.2018 </w:t>
                  </w:r>
                  <w:r w:rsidR="00D057EF" w:rsidRPr="00C169EC">
                    <w:rPr>
                      <w:rFonts w:ascii="Times New Roman" w:hAnsi="Times New Roman" w:cs="Times New Roman"/>
                      <w:sz w:val="20"/>
                      <w:szCs w:val="20"/>
                    </w:rPr>
                    <w:t>г.</w:t>
                  </w:r>
                </w:p>
              </w:tc>
            </w:tr>
            <w:tr w:rsidR="00D057EF" w:rsidRPr="00C169EC" w:rsidTr="00DB7D7D">
              <w:tc>
                <w:tcPr>
                  <w:tcW w:w="3141" w:type="pct"/>
                  <w:vAlign w:val="center"/>
                </w:tcPr>
                <w:p w:rsidR="00D057EF" w:rsidRPr="00C169EC" w:rsidRDefault="00D057EF" w:rsidP="003F6B51">
                  <w:pPr>
                    <w:spacing w:after="0"/>
                    <w:rPr>
                      <w:rFonts w:ascii="Times New Roman" w:hAnsi="Times New Roman" w:cs="Times New Roman"/>
                      <w:sz w:val="20"/>
                      <w:szCs w:val="20"/>
                      <w:lang w:val="bg-BG"/>
                    </w:rPr>
                  </w:pPr>
                  <w:r w:rsidRPr="00C169EC">
                    <w:rPr>
                      <w:rFonts w:ascii="Times New Roman" w:hAnsi="Times New Roman" w:cs="Times New Roman"/>
                      <w:sz w:val="20"/>
                      <w:szCs w:val="20"/>
                      <w:lang w:val="bg-BG"/>
                    </w:rPr>
                    <w:t>Крайна дата за записване на акции</w:t>
                  </w:r>
                </w:p>
              </w:tc>
              <w:tc>
                <w:tcPr>
                  <w:tcW w:w="1859" w:type="pct"/>
                </w:tcPr>
                <w:p w:rsidR="00D057EF" w:rsidRPr="00C169EC" w:rsidRDefault="00380564" w:rsidP="003F6B51">
                  <w:pPr>
                    <w:spacing w:after="0"/>
                    <w:jc w:val="right"/>
                    <w:rPr>
                      <w:rFonts w:ascii="Times New Roman" w:hAnsi="Times New Roman" w:cs="Times New Roman"/>
                      <w:sz w:val="20"/>
                      <w:szCs w:val="20"/>
                    </w:rPr>
                  </w:pPr>
                  <w:r w:rsidRPr="00EB4E3E">
                    <w:rPr>
                      <w:rFonts w:ascii="Times New Roman" w:hAnsi="Times New Roman" w:cs="Times New Roman"/>
                      <w:sz w:val="20"/>
                    </w:rPr>
                    <w:t xml:space="preserve">25.01.2018 </w:t>
                  </w:r>
                  <w:r w:rsidR="00D057EF" w:rsidRPr="00C169EC">
                    <w:rPr>
                      <w:rFonts w:ascii="Times New Roman" w:hAnsi="Times New Roman" w:cs="Times New Roman"/>
                      <w:sz w:val="20"/>
                      <w:szCs w:val="20"/>
                    </w:rPr>
                    <w:t>г.</w:t>
                  </w:r>
                </w:p>
              </w:tc>
            </w:tr>
            <w:tr w:rsidR="00D057EF" w:rsidRPr="00C169EC" w:rsidTr="00DB7D7D">
              <w:tc>
                <w:tcPr>
                  <w:tcW w:w="3141" w:type="pct"/>
                  <w:vAlign w:val="center"/>
                </w:tcPr>
                <w:p w:rsidR="00D057EF" w:rsidRPr="00C169EC" w:rsidRDefault="00D057EF"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Регистрация на емисията нови акции                                                           </w:t>
                  </w:r>
                  <w:r w:rsidRPr="00C169EC">
                    <w:rPr>
                      <w:rFonts w:ascii="Times New Roman" w:hAnsi="Times New Roman" w:cs="Times New Roman"/>
                      <w:sz w:val="20"/>
                      <w:szCs w:val="20"/>
                      <w:lang w:val="bg-BG"/>
                    </w:rPr>
                    <w:lastRenderedPageBreak/>
                    <w:t>и увеличението на капитала в Търговския регистър</w:t>
                  </w:r>
                </w:p>
              </w:tc>
              <w:tc>
                <w:tcPr>
                  <w:tcW w:w="1859" w:type="pct"/>
                </w:tcPr>
                <w:p w:rsidR="00D057EF" w:rsidRPr="00C169EC" w:rsidRDefault="00380564" w:rsidP="003F6B51">
                  <w:pPr>
                    <w:spacing w:after="0"/>
                    <w:jc w:val="right"/>
                    <w:rPr>
                      <w:rFonts w:ascii="Times New Roman" w:hAnsi="Times New Roman" w:cs="Times New Roman"/>
                      <w:sz w:val="20"/>
                      <w:szCs w:val="20"/>
                    </w:rPr>
                  </w:pPr>
                  <w:r w:rsidRPr="00EB4E3E">
                    <w:rPr>
                      <w:rFonts w:ascii="Times New Roman" w:hAnsi="Times New Roman" w:cs="Times New Roman"/>
                      <w:sz w:val="20"/>
                    </w:rPr>
                    <w:lastRenderedPageBreak/>
                    <w:t xml:space="preserve">02.02.2018 </w:t>
                  </w:r>
                  <w:r w:rsidR="00D057EF" w:rsidRPr="00C169EC">
                    <w:rPr>
                      <w:rFonts w:ascii="Times New Roman" w:hAnsi="Times New Roman" w:cs="Times New Roman"/>
                      <w:sz w:val="20"/>
                      <w:szCs w:val="20"/>
                    </w:rPr>
                    <w:t>г.</w:t>
                  </w:r>
                </w:p>
              </w:tc>
            </w:tr>
            <w:tr w:rsidR="00D057EF" w:rsidRPr="00C169EC" w:rsidTr="00DB7D7D">
              <w:tc>
                <w:tcPr>
                  <w:tcW w:w="3141" w:type="pct"/>
                  <w:vAlign w:val="center"/>
                </w:tcPr>
                <w:p w:rsidR="00D057EF" w:rsidRPr="00C169EC" w:rsidRDefault="00D057EF" w:rsidP="003F6B51">
                  <w:pPr>
                    <w:spacing w:after="0"/>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Регистриране на новите акции по сметки на инвеститорите в Централния Депозитар </w:t>
                  </w:r>
                </w:p>
              </w:tc>
              <w:tc>
                <w:tcPr>
                  <w:tcW w:w="1859" w:type="pct"/>
                </w:tcPr>
                <w:p w:rsidR="00D057EF" w:rsidRPr="00C169EC" w:rsidRDefault="00380564" w:rsidP="003F6B51">
                  <w:pPr>
                    <w:spacing w:after="0"/>
                    <w:jc w:val="right"/>
                    <w:rPr>
                      <w:rFonts w:ascii="Times New Roman" w:hAnsi="Times New Roman" w:cs="Times New Roman"/>
                      <w:sz w:val="20"/>
                      <w:szCs w:val="20"/>
                    </w:rPr>
                  </w:pPr>
                  <w:r w:rsidRPr="00C169EC">
                    <w:rPr>
                      <w:rFonts w:ascii="Times New Roman" w:hAnsi="Times New Roman" w:cs="Times New Roman"/>
                      <w:sz w:val="20"/>
                      <w:szCs w:val="20"/>
                      <w:lang w:val="bg-BG"/>
                    </w:rPr>
                    <w:t>09.02.2018</w:t>
                  </w:r>
                  <w:r w:rsidR="00D057EF" w:rsidRPr="00C169EC">
                    <w:rPr>
                      <w:rFonts w:ascii="Times New Roman" w:hAnsi="Times New Roman" w:cs="Times New Roman"/>
                      <w:sz w:val="20"/>
                      <w:szCs w:val="20"/>
                    </w:rPr>
                    <w:t xml:space="preserve"> г.</w:t>
                  </w:r>
                </w:p>
              </w:tc>
            </w:tr>
            <w:tr w:rsidR="00D057EF" w:rsidRPr="00C169EC" w:rsidTr="00DB7D7D">
              <w:tc>
                <w:tcPr>
                  <w:tcW w:w="3141" w:type="pct"/>
                  <w:vAlign w:val="center"/>
                </w:tcPr>
                <w:p w:rsidR="00D057EF" w:rsidRPr="00C169EC" w:rsidRDefault="00D057EF" w:rsidP="003F6B51">
                  <w:pPr>
                    <w:spacing w:after="0"/>
                    <w:rPr>
                      <w:rFonts w:ascii="Times New Roman" w:hAnsi="Times New Roman" w:cs="Times New Roman"/>
                      <w:sz w:val="20"/>
                      <w:szCs w:val="20"/>
                      <w:lang w:val="bg-BG"/>
                    </w:rPr>
                  </w:pPr>
                  <w:r w:rsidRPr="00C169EC">
                    <w:rPr>
                      <w:rFonts w:ascii="Times New Roman" w:hAnsi="Times New Roman" w:cs="Times New Roman"/>
                      <w:sz w:val="20"/>
                      <w:szCs w:val="20"/>
                      <w:lang w:val="bg-BG"/>
                    </w:rPr>
                    <w:t>Начало на търговията с новите акции на „БФБ-София” АД</w:t>
                  </w:r>
                </w:p>
              </w:tc>
              <w:tc>
                <w:tcPr>
                  <w:tcW w:w="1859" w:type="pct"/>
                </w:tcPr>
                <w:p w:rsidR="00D057EF" w:rsidRPr="00C169EC" w:rsidRDefault="00380564" w:rsidP="003F6B51">
                  <w:pPr>
                    <w:spacing w:after="0"/>
                    <w:jc w:val="right"/>
                    <w:rPr>
                      <w:rFonts w:ascii="Times New Roman" w:hAnsi="Times New Roman" w:cs="Times New Roman"/>
                      <w:sz w:val="20"/>
                      <w:szCs w:val="20"/>
                    </w:rPr>
                  </w:pPr>
                  <w:proofErr w:type="gramStart"/>
                  <w:r w:rsidRPr="00EB4E3E">
                    <w:rPr>
                      <w:rFonts w:ascii="Times New Roman" w:hAnsi="Times New Roman" w:cs="Times New Roman"/>
                      <w:sz w:val="20"/>
                    </w:rPr>
                    <w:t xml:space="preserve">09.03.2018 </w:t>
                  </w:r>
                  <w:r w:rsidR="00D057EF" w:rsidRPr="00C169EC">
                    <w:rPr>
                      <w:rFonts w:ascii="Times New Roman" w:hAnsi="Times New Roman" w:cs="Times New Roman"/>
                      <w:sz w:val="20"/>
                      <w:szCs w:val="20"/>
                    </w:rPr>
                    <w:t xml:space="preserve"> г.</w:t>
                  </w:r>
                  <w:proofErr w:type="gramEnd"/>
                </w:p>
              </w:tc>
            </w:tr>
          </w:tbl>
          <w:p w:rsidR="00800101" w:rsidRPr="00C169EC" w:rsidRDefault="00800101" w:rsidP="003F6B51">
            <w:pPr>
              <w:spacing w:after="0"/>
              <w:jc w:val="both"/>
              <w:rPr>
                <w:rFonts w:ascii="Times New Roman" w:hAnsi="Times New Roman" w:cs="Times New Roman"/>
                <w:sz w:val="20"/>
                <w:szCs w:val="20"/>
                <w:lang w:val="bg-BG"/>
              </w:rPr>
            </w:pPr>
          </w:p>
          <w:p w:rsidR="00800101" w:rsidRPr="00C169EC" w:rsidRDefault="00800101" w:rsidP="003F6B51">
            <w:pPr>
              <w:spacing w:after="0"/>
              <w:jc w:val="both"/>
              <w:rPr>
                <w:rFonts w:ascii="Times New Roman" w:hAnsi="Times New Roman" w:cs="Times New Roman"/>
                <w:i/>
                <w:sz w:val="20"/>
                <w:szCs w:val="20"/>
                <w:lang w:val="bg-BG"/>
              </w:rPr>
            </w:pPr>
            <w:r w:rsidRPr="00C169EC">
              <w:rPr>
                <w:rFonts w:ascii="Times New Roman" w:hAnsi="Times New Roman" w:cs="Times New Roman"/>
                <w:i/>
                <w:sz w:val="20"/>
                <w:szCs w:val="20"/>
                <w:lang w:val="bg-BG"/>
              </w:rPr>
              <w:t xml:space="preserve">Определянето на тези дати се основава на допускането, че: (1) сроковете по графика се спазват без забава; и </w:t>
            </w:r>
          </w:p>
          <w:p w:rsidR="00800101" w:rsidRPr="00C169EC" w:rsidRDefault="00800101" w:rsidP="003F6B51">
            <w:pPr>
              <w:spacing w:after="0"/>
              <w:jc w:val="both"/>
              <w:rPr>
                <w:rFonts w:ascii="Times New Roman" w:hAnsi="Times New Roman" w:cs="Times New Roman"/>
                <w:i/>
                <w:sz w:val="20"/>
                <w:szCs w:val="20"/>
                <w:lang w:val="bg-BG"/>
              </w:rPr>
            </w:pPr>
            <w:r w:rsidRPr="00C169EC">
              <w:rPr>
                <w:rFonts w:ascii="Times New Roman" w:hAnsi="Times New Roman" w:cs="Times New Roman"/>
                <w:i/>
                <w:sz w:val="20"/>
                <w:szCs w:val="20"/>
                <w:lang w:val="bg-BG"/>
              </w:rPr>
              <w:t xml:space="preserve">(2) процедурите при съответните институции ще протекат в най-кратки срокове съобразно практиката им. Точната дата може да бъде преди или след посочената дата. </w:t>
            </w:r>
          </w:p>
          <w:p w:rsidR="00800101" w:rsidRPr="00C169EC" w:rsidRDefault="00800101"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Разпоредбата на чл. 84, ал. 1 и 2 от ЗППЦК предвижда принципната възможност срокът на подписката да бъде удължен еднократно до 60 дни, като се внесат съответните поправки в проспекта и се уведоми КФН, както и като се обяви удължаването на срока по местата на подписката и в средствата за масово осведомяване. В този случай последният ден от удължения срок се смята за краен срок на подписката. </w:t>
            </w:r>
          </w:p>
          <w:p w:rsidR="00800101" w:rsidRPr="00CD0016" w:rsidRDefault="00800101"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Ако всички акции от тази емисия бъдат записани преди крайния срок на подпи</w:t>
            </w:r>
            <w:r w:rsidRPr="00CD0016">
              <w:rPr>
                <w:rFonts w:ascii="Times New Roman" w:hAnsi="Times New Roman" w:cs="Times New Roman"/>
                <w:sz w:val="20"/>
                <w:szCs w:val="20"/>
                <w:lang w:val="bg-BG"/>
              </w:rPr>
              <w:t>ската, Дружеството уведомява КФН в срок 3 (три) работни дни (чл. 112б, ал. 12 от ЗППЦК) и предприема необходимите действия за вписване на увеличението на капитала в Търговския регистър, а след това – за регистрация на новата емисия акции в Централния депозитар и БФБ.</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Ако до крайния срок на подписката не бъдат записани всички акции, но бъде записана и платена най-малко 1 нова акция, капиталът се увеличава до размера на тази акция и новата емисия в този размер се регистрира в „Централен депозитар” АД, КФН и на „БФБ – София” АД. </w:t>
            </w:r>
          </w:p>
          <w:bookmarkEnd w:id="19"/>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Комисията за финансов надзор, съответно заместник-председателят, може да спре публичното предлагане за не повече от 10 последователни работни дни за всеки отделен случай, както и да забрани публичното предлагане, ако има достатъчно основания да смята, че разпоредбите на ЗППЦК или актовете по прилагането му са нарушени.</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На основание чл. 118, ал. 1, т. 4 и т. 9 от ЗПФИ, когато установи, че инвестиционен посредник или регулиран пазар, негови служители, лица, които по договор изпълняват ръководни функции, лица, които сключват сделки за сметка на посредника, както и лица, притежаващи квалифицирано участие, са извършили или извършват дейност в нарушение на ЗПФИ, на актовете по прилагането му, на правилника или други одобрени от заместник-председателя на КФН вътрешни актове на регулираните пазари на финансови инструменти, на решения на Комисията за финансов надзор или на заместник-председателя на Комисията за финансов надзор, както и когато се възпрепятства упражняването на контролна дейност от Комисията за финансов надзор или от заместник-председателя на Комисията за финансов надзор или са застрашени интересите на инвеститорите, Комисията за финансов надзор, съответно заместник-председателят на Комисията за финансов надзор, може да спре търговията с определени финансови инструменти или да отстрани от търговия на регулиран пазар или от друга система за търговия финансови инструменти.</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В периода между издаване на потвърждение на проспекта и крайния срок на публичното предлагане или започването на търговията на регулиран пазар, Дружеството е длъжно, най-късно до изтичането на следващия работен ден след настъпването, съответно узнаването на съществено ново обстоятелство, значителна грешка или неточност, свързани със съдържащата се в проспекта информация, които могат да повлияят на оценката на предлаганите ценни книжа, да изготви допълнение в проспекта и да го представи в КФН.</w:t>
            </w:r>
          </w:p>
          <w:p w:rsidR="00800101" w:rsidRPr="00C169EC"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Комисията за финансов надзор може да </w:t>
            </w:r>
            <w:r w:rsidRPr="00C169EC">
              <w:rPr>
                <w:rFonts w:ascii="Times New Roman" w:hAnsi="Times New Roman" w:cs="Times New Roman"/>
                <w:sz w:val="20"/>
                <w:szCs w:val="20"/>
                <w:lang w:val="bg-BG"/>
              </w:rPr>
              <w:t>откаже да одобри допълнението към проспекта, ако не са спазени изискванията на ЗППЦК и актовете по прилагането му. В този случай КФН може да спре окончателно публичното предлагане по реда на чл. 212 от ЗППЦК.</w:t>
            </w:r>
          </w:p>
          <w:p w:rsidR="00800101" w:rsidRPr="00C169EC" w:rsidRDefault="00800101" w:rsidP="003F6B51">
            <w:pPr>
              <w:spacing w:after="0"/>
              <w:jc w:val="both"/>
              <w:rPr>
                <w:rFonts w:ascii="Times New Roman" w:hAnsi="Times New Roman" w:cs="Times New Roman"/>
                <w:sz w:val="20"/>
                <w:szCs w:val="20"/>
                <w:lang w:val="bg-BG"/>
              </w:rPr>
            </w:pPr>
            <w:r w:rsidRPr="00C169EC">
              <w:rPr>
                <w:rFonts w:ascii="Times New Roman" w:hAnsi="Times New Roman" w:cs="Times New Roman"/>
                <w:sz w:val="20"/>
                <w:szCs w:val="20"/>
                <w:lang w:val="bg-BG"/>
              </w:rPr>
              <w:t xml:space="preserve">Публичното предлагане може да бъде отменено или спряно, вкл. и след започване на търговията, от Комисията за финансов надзор, съответно от заместник-председателя, ръководещ управление „Надзор на инвестиционната дейност” по реда </w:t>
            </w:r>
            <w:proofErr w:type="spellStart"/>
            <w:r w:rsidR="00380564" w:rsidRPr="00EB4E3E">
              <w:rPr>
                <w:rFonts w:ascii="Times New Roman" w:hAnsi="Times New Roman" w:cs="Times New Roman"/>
                <w:sz w:val="20"/>
              </w:rPr>
              <w:t>чл</w:t>
            </w:r>
            <w:proofErr w:type="spellEnd"/>
            <w:r w:rsidR="00380564" w:rsidRPr="00EB4E3E">
              <w:rPr>
                <w:rFonts w:ascii="Times New Roman" w:hAnsi="Times New Roman" w:cs="Times New Roman"/>
                <w:sz w:val="20"/>
              </w:rPr>
              <w:t xml:space="preserve">. 20, </w:t>
            </w:r>
            <w:proofErr w:type="spellStart"/>
            <w:r w:rsidR="00380564" w:rsidRPr="00EB4E3E">
              <w:rPr>
                <w:rFonts w:ascii="Times New Roman" w:hAnsi="Times New Roman" w:cs="Times New Roman"/>
                <w:sz w:val="20"/>
              </w:rPr>
              <w:t>ал</w:t>
            </w:r>
            <w:proofErr w:type="spellEnd"/>
            <w:r w:rsidR="00380564" w:rsidRPr="00EB4E3E">
              <w:rPr>
                <w:rFonts w:ascii="Times New Roman" w:hAnsi="Times New Roman" w:cs="Times New Roman"/>
                <w:sz w:val="20"/>
              </w:rPr>
              <w:t xml:space="preserve">. 2, т. 2 </w:t>
            </w:r>
            <w:proofErr w:type="spellStart"/>
            <w:r w:rsidR="00380564" w:rsidRPr="00EB4E3E">
              <w:rPr>
                <w:rFonts w:ascii="Times New Roman" w:hAnsi="Times New Roman" w:cs="Times New Roman"/>
                <w:sz w:val="20"/>
              </w:rPr>
              <w:t>от</w:t>
            </w:r>
            <w:proofErr w:type="spellEnd"/>
            <w:r w:rsidR="00380564" w:rsidRPr="00EB4E3E">
              <w:rPr>
                <w:rFonts w:ascii="Times New Roman" w:hAnsi="Times New Roman" w:cs="Times New Roman"/>
                <w:sz w:val="20"/>
              </w:rPr>
              <w:t xml:space="preserve"> </w:t>
            </w:r>
            <w:proofErr w:type="spellStart"/>
            <w:r w:rsidR="00380564" w:rsidRPr="00EB4E3E">
              <w:rPr>
                <w:rFonts w:ascii="Times New Roman" w:hAnsi="Times New Roman" w:cs="Times New Roman"/>
                <w:sz w:val="20"/>
              </w:rPr>
              <w:t>Закона</w:t>
            </w:r>
            <w:proofErr w:type="spellEnd"/>
            <w:r w:rsidR="00380564" w:rsidRPr="00EB4E3E">
              <w:rPr>
                <w:rFonts w:ascii="Times New Roman" w:hAnsi="Times New Roman" w:cs="Times New Roman"/>
                <w:sz w:val="20"/>
              </w:rPr>
              <w:t xml:space="preserve"> </w:t>
            </w:r>
            <w:proofErr w:type="spellStart"/>
            <w:r w:rsidR="00380564" w:rsidRPr="00EB4E3E">
              <w:rPr>
                <w:rFonts w:ascii="Times New Roman" w:hAnsi="Times New Roman" w:cs="Times New Roman"/>
                <w:sz w:val="20"/>
              </w:rPr>
              <w:t>за</w:t>
            </w:r>
            <w:proofErr w:type="spellEnd"/>
            <w:r w:rsidR="00380564" w:rsidRPr="00EB4E3E">
              <w:rPr>
                <w:rFonts w:ascii="Times New Roman" w:hAnsi="Times New Roman" w:cs="Times New Roman"/>
                <w:sz w:val="20"/>
              </w:rPr>
              <w:t xml:space="preserve"> </w:t>
            </w:r>
            <w:proofErr w:type="spellStart"/>
            <w:r w:rsidR="00380564" w:rsidRPr="00EB4E3E">
              <w:rPr>
                <w:rFonts w:ascii="Times New Roman" w:hAnsi="Times New Roman" w:cs="Times New Roman"/>
                <w:sz w:val="20"/>
              </w:rPr>
              <w:t>прилагане</w:t>
            </w:r>
            <w:proofErr w:type="spellEnd"/>
            <w:r w:rsidR="00380564" w:rsidRPr="00EB4E3E">
              <w:rPr>
                <w:rFonts w:ascii="Times New Roman" w:hAnsi="Times New Roman" w:cs="Times New Roman"/>
                <w:sz w:val="20"/>
              </w:rPr>
              <w:t xml:space="preserve"> на </w:t>
            </w:r>
            <w:proofErr w:type="spellStart"/>
            <w:r w:rsidR="00380564" w:rsidRPr="00EB4E3E">
              <w:rPr>
                <w:rFonts w:ascii="Times New Roman" w:hAnsi="Times New Roman" w:cs="Times New Roman"/>
                <w:sz w:val="20"/>
              </w:rPr>
              <w:t>мерките</w:t>
            </w:r>
            <w:proofErr w:type="spellEnd"/>
            <w:r w:rsidR="00380564" w:rsidRPr="00EB4E3E">
              <w:rPr>
                <w:rFonts w:ascii="Times New Roman" w:hAnsi="Times New Roman" w:cs="Times New Roman"/>
                <w:sz w:val="20"/>
              </w:rPr>
              <w:t xml:space="preserve"> </w:t>
            </w:r>
            <w:proofErr w:type="spellStart"/>
            <w:r w:rsidR="00380564" w:rsidRPr="00EB4E3E">
              <w:rPr>
                <w:rFonts w:ascii="Times New Roman" w:hAnsi="Times New Roman" w:cs="Times New Roman"/>
                <w:sz w:val="20"/>
              </w:rPr>
              <w:t>срещу</w:t>
            </w:r>
            <w:proofErr w:type="spellEnd"/>
            <w:r w:rsidR="00380564" w:rsidRPr="00EB4E3E">
              <w:rPr>
                <w:rFonts w:ascii="Times New Roman" w:hAnsi="Times New Roman" w:cs="Times New Roman"/>
                <w:sz w:val="20"/>
              </w:rPr>
              <w:t xml:space="preserve"> </w:t>
            </w:r>
            <w:proofErr w:type="spellStart"/>
            <w:r w:rsidR="00380564" w:rsidRPr="00EB4E3E">
              <w:rPr>
                <w:rFonts w:ascii="Times New Roman" w:hAnsi="Times New Roman" w:cs="Times New Roman"/>
                <w:sz w:val="20"/>
              </w:rPr>
              <w:t>пазарните</w:t>
            </w:r>
            <w:proofErr w:type="spellEnd"/>
            <w:r w:rsidR="00380564" w:rsidRPr="00EB4E3E">
              <w:rPr>
                <w:rFonts w:ascii="Times New Roman" w:hAnsi="Times New Roman" w:cs="Times New Roman"/>
                <w:sz w:val="20"/>
              </w:rPr>
              <w:t xml:space="preserve"> </w:t>
            </w:r>
            <w:proofErr w:type="spellStart"/>
            <w:r w:rsidR="00380564" w:rsidRPr="00EB4E3E">
              <w:rPr>
                <w:rFonts w:ascii="Times New Roman" w:hAnsi="Times New Roman" w:cs="Times New Roman"/>
                <w:sz w:val="20"/>
              </w:rPr>
              <w:t>злоупотреби</w:t>
            </w:r>
            <w:proofErr w:type="spellEnd"/>
            <w:r w:rsidR="00380564" w:rsidRPr="00EB4E3E">
              <w:rPr>
                <w:rFonts w:ascii="Times New Roman" w:hAnsi="Times New Roman" w:cs="Times New Roman"/>
                <w:sz w:val="20"/>
              </w:rPr>
              <w:t xml:space="preserve"> с </w:t>
            </w:r>
            <w:proofErr w:type="spellStart"/>
            <w:r w:rsidR="00380564" w:rsidRPr="00EB4E3E">
              <w:rPr>
                <w:rFonts w:ascii="Times New Roman" w:hAnsi="Times New Roman" w:cs="Times New Roman"/>
                <w:sz w:val="20"/>
              </w:rPr>
              <w:t>финансови</w:t>
            </w:r>
            <w:proofErr w:type="spellEnd"/>
            <w:r w:rsidR="00380564" w:rsidRPr="00EB4E3E">
              <w:rPr>
                <w:rFonts w:ascii="Times New Roman" w:hAnsi="Times New Roman" w:cs="Times New Roman"/>
                <w:sz w:val="20"/>
              </w:rPr>
              <w:t xml:space="preserve"> </w:t>
            </w:r>
            <w:proofErr w:type="spellStart"/>
            <w:r w:rsidR="00380564" w:rsidRPr="00EB4E3E">
              <w:rPr>
                <w:rFonts w:ascii="Times New Roman" w:hAnsi="Times New Roman" w:cs="Times New Roman"/>
                <w:sz w:val="20"/>
              </w:rPr>
              <w:t>инструменти</w:t>
            </w:r>
            <w:proofErr w:type="spellEnd"/>
            <w:r w:rsidRPr="00C169EC">
              <w:rPr>
                <w:rFonts w:ascii="Times New Roman" w:hAnsi="Times New Roman" w:cs="Times New Roman"/>
                <w:sz w:val="20"/>
                <w:szCs w:val="20"/>
                <w:lang w:val="bg-BG"/>
              </w:rPr>
              <w:t>. Публичното предлагане може да бъде отменено или спряно след започване на търговията от „Българска фондова борса – София” АД по реда на чл. 91 от Закона за пазарите на финансови инструменти (ЗПФИ).</w:t>
            </w:r>
          </w:p>
          <w:p w:rsidR="00800101" w:rsidRPr="00CD0016" w:rsidRDefault="00800101" w:rsidP="003F6B51">
            <w:pPr>
              <w:spacing w:after="0"/>
              <w:jc w:val="both"/>
              <w:rPr>
                <w:rFonts w:ascii="Times New Roman" w:hAnsi="Times New Roman" w:cs="Times New Roman"/>
                <w:sz w:val="20"/>
                <w:szCs w:val="20"/>
                <w:lang w:val="bg-BG"/>
              </w:rPr>
            </w:pPr>
            <w:bookmarkStart w:id="22" w:name="OLE_LINK60"/>
            <w:r w:rsidRPr="00C169EC">
              <w:rPr>
                <w:rFonts w:ascii="Times New Roman" w:hAnsi="Times New Roman" w:cs="Times New Roman"/>
                <w:sz w:val="20"/>
                <w:szCs w:val="20"/>
                <w:lang w:val="bg-BG"/>
              </w:rPr>
              <w:t>Броят на предлаганите акции няма да бъде променян. Не се допуска записването на повече акции от предвидените в решението на Съвета на директорите на “ГЛЕНМООР КЕПИТАЛ” АДСИЦ за увеличение на капитала. Капиталът на Дружеството ще бъде увеличен, само ако е записана</w:t>
            </w:r>
            <w:r w:rsidRPr="00CD0016">
              <w:rPr>
                <w:rFonts w:ascii="Times New Roman" w:hAnsi="Times New Roman" w:cs="Times New Roman"/>
                <w:sz w:val="20"/>
                <w:szCs w:val="20"/>
                <w:lang w:val="bg-BG"/>
              </w:rPr>
              <w:t xml:space="preserve"> и платена поне 1 нова акция. </w:t>
            </w:r>
          </w:p>
          <w:p w:rsidR="00800101" w:rsidRPr="00CD0016" w:rsidRDefault="00800101" w:rsidP="003F6B51">
            <w:pPr>
              <w:spacing w:after="0"/>
              <w:jc w:val="both"/>
              <w:rPr>
                <w:rFonts w:ascii="Times New Roman" w:hAnsi="Times New Roman" w:cs="Times New Roman"/>
                <w:smallCaps/>
                <w:spacing w:val="20"/>
                <w:sz w:val="20"/>
                <w:szCs w:val="20"/>
                <w:lang w:val="bg-BG"/>
              </w:rPr>
            </w:pPr>
            <w:r w:rsidRPr="00CD0016">
              <w:rPr>
                <w:rFonts w:ascii="Times New Roman" w:hAnsi="Times New Roman" w:cs="Times New Roman"/>
                <w:sz w:val="20"/>
                <w:szCs w:val="20"/>
                <w:lang w:val="bg-BG"/>
              </w:rPr>
              <w:t xml:space="preserve">Ако подписката приключи неуспешно, Емитентът уведомява КФН по реда на чл. 84, ал. 3 ЗППЦК. Емитентът е длъжен в деня на съобщението по чл. 84, ал. 3 да уведоми банката за резултата от подписката, да публикува на Интернет страниците на Емитента и на инвестиционния посредник, участващ в предлагането, покана до лицата, записали акции, в която да обяви условията и реда за връщане на набраните суми, както и да заяви поканата за оповестяване в търговския регистър и да я публикува в един централен ежедневник (в-к „Капитал Daily”). Внесените суми, заедно с начислените от банката лихви, ще бъдат възстановени на инвеститорите в срок от 30 дни от уведомлението по чл. 84, ал. 3 ЗППЦК чрез превод по посочена от тях банкова сметка или в брой на адреса на </w:t>
            </w:r>
            <w:r w:rsidRPr="00CD0016">
              <w:rPr>
                <w:rFonts w:ascii="Times New Roman" w:hAnsi="Times New Roman" w:cs="Times New Roman"/>
                <w:sz w:val="20"/>
                <w:szCs w:val="20"/>
                <w:lang w:val="bg-BG"/>
              </w:rPr>
              <w:lastRenderedPageBreak/>
              <w:t>банката. В случай че увеличението на капитала не бъде вписано в Търговския регистър, Дружеството уведомява незабавно КФН, БФБ и Централния депозитар и публикува в посочените ежедневници съобщение в 3-дневен срок от влизане в сила на отказа и възстановява получените суми в 30-дневен срок от уведомлението по същия ред.</w:t>
            </w:r>
            <w:bookmarkEnd w:id="22"/>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Инвеститорът не може да оттегли заявката си. Той може да се откаже от записаните акции по реда и при условията на чл. 85, ал. 6 във връзка с ал. 2 от ЗППЦК. </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Внасянето на емисионната стойност на записаните акции се извършва по специална набирателна сметка на “ГЛЕНМООР КЕПИТАЛ” АДСИЦ, открита в банката-депозитар ДСК ЕАД, която ще бъде посочена в съобщението по чл. 92а от ЗППЦК. </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Набирателната сметка трябва да бъде заверена с дължимата сума от лицето, записващо акциите, най-късно до крайния срок за записване на акциите. Банката-депозитар, в която е открита специалната набирателна сметка, блокира сумите, постъпили по специалната набирателна сметка.</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Съгласно чл. 89, ал. 2 от ЗППЦК набраните парични средства по специалната сметка не могат да се използват преди приключване на подписката и вписване на увеличението на капитала в Търговския регистър.</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Удостоверителен документ за направените вноски е платежният документ (платежно нареждане или вносна бележка, в която трябва да бъдат посочени името/фирмата на лицето, записващо акции, неговият ЕГН/БУЛСТАТ – за български лица, броят на записаните акции, общият размер на дължимата и извършена вноска). Инвеститорът получава удостоверителния документ от обслужващата банка, чрез която нарежда плащането или внася дължимата сума, и следва да го предаде на упълномощения инвестиционен посредник ИП „ЪП ТРЕНД” ООД до крайния срок за записване на акциите. В случай че заявките са подадени при други инвестиционни посредници, те предават на упълномощения инвестиционен посредник платежни документи за направените вноски по записаните акции до крайния срок за записване на акциите. </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След вписване на увеличението на капитала в Търговския регистър, Дружеството регистрира емисията акции в Централния депозитар. Централният депозитар ще открие нови или кредитира съществуващи сметки на инвеститорите със записаните от тях и заплатени нови акции. Акциите на лицата по подсметки на инвестиционни посредници в „Централен Депозитар” АД ще бъдат разпределени по съответните подсметки. </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При желание, инвеститорите могат да получат удостоверителни документи – депозитарни разписки – за получените от тях нови акции. Издаването на депозитарни разписки се извършва от Централния депозитар чрез съответния инвестиционен посредник по искане на акционера и съгласно Правилника на „Централен депозитар” АД и вътрешните актове на посредника.</w:t>
            </w:r>
          </w:p>
          <w:p w:rsidR="00800101" w:rsidRPr="00CD0016" w:rsidRDefault="00800101" w:rsidP="003F6B51">
            <w:pPr>
              <w:spacing w:after="0"/>
              <w:jc w:val="both"/>
              <w:rPr>
                <w:rFonts w:ascii="Times New Roman" w:hAnsi="Times New Roman" w:cs="Times New Roman"/>
                <w:sz w:val="20"/>
                <w:szCs w:val="20"/>
                <w:lang w:val="bg-BG"/>
              </w:rPr>
            </w:pPr>
            <w:r w:rsidRPr="00CD0016" w:rsidDel="00800101">
              <w:rPr>
                <w:rFonts w:ascii="Times New Roman" w:eastAsia="Calibri" w:hAnsi="Times New Roman" w:cs="Times New Roman"/>
                <w:sz w:val="20"/>
                <w:szCs w:val="20"/>
                <w:lang w:val="bg-BG"/>
              </w:rPr>
              <w:t xml:space="preserve"> </w:t>
            </w:r>
            <w:bookmarkStart w:id="23" w:name="_Toc174717199"/>
            <w:bookmarkStart w:id="24" w:name="_Toc174720197"/>
            <w:bookmarkStart w:id="25" w:name="_Toc174843637"/>
            <w:bookmarkStart w:id="26" w:name="_Toc175443847"/>
            <w:bookmarkStart w:id="27" w:name="_Toc175454928"/>
            <w:bookmarkStart w:id="28" w:name="OLE_LINK64"/>
            <w:bookmarkStart w:id="29" w:name="OLE_LINK65"/>
            <w:bookmarkStart w:id="30" w:name="OLE_LINK66"/>
            <w:bookmarkEnd w:id="23"/>
            <w:bookmarkEnd w:id="24"/>
            <w:bookmarkEnd w:id="25"/>
            <w:bookmarkEnd w:id="26"/>
            <w:bookmarkEnd w:id="27"/>
            <w:r w:rsidRPr="00CD0016">
              <w:rPr>
                <w:rFonts w:ascii="Times New Roman" w:hAnsi="Times New Roman" w:cs="Times New Roman"/>
                <w:sz w:val="20"/>
                <w:szCs w:val="20"/>
                <w:lang w:val="bg-BG"/>
              </w:rPr>
              <w:t xml:space="preserve">“ГЛЕНМООР КЕПИТАЛ” АДСИЦ уведомява КФН в срок от 3 (три) работни дни от приключване на подписката за нейното провеждане и резултатите от нея, включително за затруднения, спорове и други подобни при търгуването на правата и записването на акциите. </w:t>
            </w:r>
          </w:p>
          <w:p w:rsidR="004F0A55" w:rsidRPr="00CD0016" w:rsidRDefault="004F0A55" w:rsidP="003F6B51">
            <w:pPr>
              <w:spacing w:after="0"/>
              <w:jc w:val="both"/>
              <w:rPr>
                <w:rFonts w:ascii="Times New Roman" w:hAnsi="Times New Roman" w:cs="Times New Roman"/>
                <w:sz w:val="20"/>
                <w:szCs w:val="20"/>
                <w:lang w:val="bg-BG"/>
              </w:rPr>
            </w:pP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В 7-дневен срок от приключване на първичното публично предлагане на акции, Дружеството ще изпрати уведомление до КФН относно резултата от публичното предлагане, съдържащо информация относно датата на приключване на публичното предлагане; общия брой записани акции; сумата, получена срещу записаните акции; размера на комисионните възнаграждения и други разходи по публичното предлагане, вкл. платените на КФН такси. Към уведомлението Дружеството ще приложи удостоверение от Централния депозитар за регистриране на емисията и банково удостоверение от Банката, удостоверяващо извършените вноски по записаните акции (чл. 24, ал. 1 от Наредбата за проспектите).</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Ако публичното предлагане е приключило успешно, КФН вписва издадената емисия ценни книжа в регистъра по чл. 30, ал. 1, т. 3 от ЗКФН.</w:t>
            </w:r>
          </w:p>
          <w:p w:rsidR="00800101" w:rsidRPr="00CD0016" w:rsidRDefault="00800101"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В случай че бъде постановен отказ за вписване в Търговския регистър на увеличението на капитала на “ГЛЕНМООР КЕПИТАЛ” АДСИЦ, последното уведомява КФН в 7 (седем)-дневен срок от постановяването на отказа. </w:t>
            </w:r>
            <w:bookmarkEnd w:id="28"/>
            <w:bookmarkEnd w:id="29"/>
            <w:bookmarkEnd w:id="30"/>
          </w:p>
          <w:p w:rsidR="004E49D3" w:rsidRPr="00CD0016" w:rsidRDefault="004E49D3"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При първоначално увеличаване на капитала на дружество със специална инвестиционна цел се издават права по смисъла на § 1, т. 3 от ЗППЦК. Срещу всяка акция от увеличението се издава едно право. Съгласно изискванията на чл. 13, ал. 3 от ЗДСИЦ при първоначалното увеличаване на капитала не се прилагат разпоредбите на чл. 112, ал. 1 от ЗППЦК и чл. 194 от Търговския закон.</w:t>
            </w:r>
          </w:p>
          <w:p w:rsidR="00F906CF" w:rsidRPr="00CD0016" w:rsidRDefault="004E49D3" w:rsidP="003F6B51">
            <w:pPr>
              <w:spacing w:after="0"/>
              <w:jc w:val="both"/>
              <w:rPr>
                <w:rFonts w:ascii="Times New Roman" w:eastAsia="Calibri" w:hAnsi="Times New Roman" w:cs="Times New Roman"/>
                <w:sz w:val="20"/>
                <w:szCs w:val="20"/>
                <w:lang w:val="bg-BG"/>
              </w:rPr>
            </w:pPr>
            <w:r w:rsidRPr="00CD0016">
              <w:rPr>
                <w:rFonts w:ascii="Times New Roman" w:hAnsi="Times New Roman" w:cs="Times New Roman"/>
                <w:sz w:val="20"/>
                <w:szCs w:val="20"/>
                <w:lang w:val="bg-BG"/>
              </w:rPr>
              <w:t>Всички инвеститори могат при равни условия да участват в увеличаването на капитала на Дружеството, като закупят права в срока за тяхното прехвърляне/търговия на права и ги упражнят, като запишат акции срещу тях в рамките на определените срокове. Срещу всяко 1 право може да бъде записана 1 нова акция на “ГЛЕНМООР КЕПИТАЛ” АДСИЦ по емисионна стойност от 1 лев за акция.</w:t>
            </w:r>
          </w:p>
        </w:tc>
      </w:tr>
      <w:tr w:rsidR="00773CF8" w:rsidRPr="00CD0016" w:rsidTr="00C057E1">
        <w:trPr>
          <w:trHeight w:val="275"/>
        </w:trPr>
        <w:tc>
          <w:tcPr>
            <w:tcW w:w="647" w:type="dxa"/>
          </w:tcPr>
          <w:p w:rsidR="00773CF8"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Д.4</w:t>
            </w:r>
          </w:p>
        </w:tc>
        <w:tc>
          <w:tcPr>
            <w:tcW w:w="10268" w:type="dxa"/>
            <w:shd w:val="clear" w:color="auto" w:fill="auto"/>
          </w:tcPr>
          <w:p w:rsidR="009E603D" w:rsidRPr="00EB4E3E" w:rsidRDefault="009E603D" w:rsidP="00EB4E3E">
            <w:pPr>
              <w:spacing w:after="0"/>
              <w:jc w:val="both"/>
              <w:rPr>
                <w:rFonts w:ascii="Times New Roman" w:hAnsi="Times New Roman" w:cs="Times New Roman"/>
                <w:sz w:val="20"/>
                <w:szCs w:val="20"/>
                <w:lang w:val="bg-BG"/>
              </w:rPr>
            </w:pPr>
            <w:bookmarkStart w:id="31" w:name="OLE_LINK72"/>
            <w:r w:rsidRPr="00EB4E3E">
              <w:rPr>
                <w:rFonts w:ascii="Times New Roman" w:hAnsi="Times New Roman" w:cs="Times New Roman"/>
                <w:sz w:val="20"/>
                <w:szCs w:val="20"/>
                <w:lang w:val="bg-BG"/>
              </w:rPr>
              <w:t>На “ГЛЕНМООР КЕПИТАЛ” АДСИЦ не са известни потенциални конфликти на интереси между задълженията към Емитента на членовете на Съвета на директорите и на учредителите на емитента и техните частни интереси и/или други задължения.</w:t>
            </w:r>
          </w:p>
          <w:p w:rsidR="009E603D" w:rsidRPr="00EB4E3E" w:rsidRDefault="009E603D" w:rsidP="00EB4E3E">
            <w:pPr>
              <w:spacing w:after="0"/>
              <w:jc w:val="both"/>
              <w:rPr>
                <w:rFonts w:ascii="Times New Roman" w:hAnsi="Times New Roman" w:cs="Times New Roman"/>
                <w:sz w:val="20"/>
                <w:szCs w:val="20"/>
                <w:lang w:val="bg-BG"/>
              </w:rPr>
            </w:pPr>
            <w:r w:rsidRPr="00EB4E3E">
              <w:rPr>
                <w:rFonts w:ascii="Times New Roman" w:hAnsi="Times New Roman" w:cs="Times New Roman"/>
                <w:sz w:val="20"/>
                <w:szCs w:val="20"/>
                <w:lang w:val="bg-BG"/>
              </w:rPr>
              <w:t xml:space="preserve">Валентина Николаева Димитрова, която е председател на Съвета на директорите на “ГЛЕНМООР КЕПИТАЛ” </w:t>
            </w:r>
            <w:r w:rsidRPr="00EB4E3E">
              <w:rPr>
                <w:rFonts w:ascii="Times New Roman" w:hAnsi="Times New Roman" w:cs="Times New Roman"/>
                <w:sz w:val="20"/>
                <w:szCs w:val="20"/>
                <w:lang w:val="bg-BG"/>
              </w:rPr>
              <w:lastRenderedPageBreak/>
              <w:t>АДСИЦ, е едноличен собственик и управител „</w:t>
            </w:r>
            <w:proofErr w:type="spellStart"/>
            <w:r w:rsidRPr="00EB4E3E">
              <w:rPr>
                <w:rFonts w:ascii="Times New Roman" w:hAnsi="Times New Roman" w:cs="Times New Roman"/>
                <w:sz w:val="20"/>
                <w:szCs w:val="20"/>
                <w:lang w:val="bg-BG"/>
              </w:rPr>
              <w:t>Интерреклама</w:t>
            </w:r>
            <w:proofErr w:type="spellEnd"/>
            <w:r w:rsidRPr="00EB4E3E">
              <w:rPr>
                <w:rFonts w:ascii="Times New Roman" w:hAnsi="Times New Roman" w:cs="Times New Roman"/>
                <w:sz w:val="20"/>
                <w:szCs w:val="20"/>
                <w:lang w:val="bg-BG"/>
              </w:rPr>
              <w:t>” ЕООД, ЕИК 103863874,  което е учредител на “ГЛЕНМООР КЕПИТАЛ” АДСИЦ. Гергана Атанасова Маринова, която е Изпълнителен директор на “ГЛЕНМООР КЕПИТАЛ” АДСИЦ, е учредител на “ГЛЕНМООР КЕПИТАЛ” АДСИЦ.</w:t>
            </w:r>
          </w:p>
          <w:p w:rsidR="009E603D" w:rsidRPr="00EB4E3E" w:rsidRDefault="009E603D" w:rsidP="00EB4E3E">
            <w:pPr>
              <w:spacing w:after="0"/>
              <w:jc w:val="both"/>
              <w:rPr>
                <w:rFonts w:ascii="Times New Roman" w:hAnsi="Times New Roman" w:cs="Times New Roman"/>
                <w:sz w:val="20"/>
                <w:szCs w:val="20"/>
                <w:lang w:val="bg-BG"/>
              </w:rPr>
            </w:pPr>
            <w:r w:rsidRPr="00EB4E3E">
              <w:rPr>
                <w:rFonts w:ascii="Times New Roman" w:hAnsi="Times New Roman" w:cs="Times New Roman"/>
                <w:sz w:val="20"/>
                <w:szCs w:val="20"/>
                <w:lang w:val="bg-BG"/>
              </w:rPr>
              <w:t>На “ГЛЕНМООР КЕПИТАЛ” АДСИЦ не са известни договорености или споразумения между главните акционери, клиенти, доставчици и други, в съответствие с които което и да е лице, посочено в точка 14.1. е избрано за член на административни, управителни или надзорни органи или за член на висшето ръководство.</w:t>
            </w:r>
          </w:p>
          <w:p w:rsidR="009E603D" w:rsidRPr="00EB4E3E" w:rsidRDefault="009E603D" w:rsidP="00EB4E3E">
            <w:pPr>
              <w:spacing w:after="0"/>
              <w:jc w:val="both"/>
              <w:rPr>
                <w:rFonts w:ascii="Times New Roman" w:hAnsi="Times New Roman" w:cs="Times New Roman"/>
                <w:sz w:val="20"/>
                <w:szCs w:val="20"/>
                <w:lang w:val="bg-BG"/>
              </w:rPr>
            </w:pPr>
            <w:r w:rsidRPr="00EB4E3E">
              <w:rPr>
                <w:rFonts w:ascii="Times New Roman" w:hAnsi="Times New Roman" w:cs="Times New Roman"/>
                <w:sz w:val="20"/>
                <w:szCs w:val="20"/>
                <w:lang w:val="bg-BG"/>
              </w:rPr>
              <w:t>Принципно няма предвидени ограничения членовете на Съвета на директорите на “ГЛЕНМООР КЕПИТАЛ” АДСИЦ да се разпореждат с акциите на Дружеството, ако притежават такива.</w:t>
            </w:r>
          </w:p>
          <w:bookmarkEnd w:id="31"/>
          <w:p w:rsidR="004769CE" w:rsidRPr="00CD0016" w:rsidRDefault="004769CE" w:rsidP="003F6B51">
            <w:pPr>
              <w:spacing w:after="0"/>
              <w:rPr>
                <w:rFonts w:ascii="Times New Roman" w:hAnsi="Times New Roman" w:cs="Times New Roman"/>
                <w:sz w:val="20"/>
                <w:szCs w:val="20"/>
                <w:lang w:val="bg-BG"/>
              </w:rPr>
            </w:pPr>
          </w:p>
        </w:tc>
      </w:tr>
      <w:tr w:rsidR="00773CF8" w:rsidRPr="00CD0016" w:rsidTr="00C057E1">
        <w:trPr>
          <w:trHeight w:val="275"/>
        </w:trPr>
        <w:tc>
          <w:tcPr>
            <w:tcW w:w="647" w:type="dxa"/>
          </w:tcPr>
          <w:p w:rsidR="00773CF8"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Д.5</w:t>
            </w:r>
          </w:p>
        </w:tc>
        <w:tc>
          <w:tcPr>
            <w:tcW w:w="10268" w:type="dxa"/>
            <w:shd w:val="clear" w:color="auto" w:fill="auto"/>
          </w:tcPr>
          <w:p w:rsidR="00346785" w:rsidRPr="00CD0016" w:rsidRDefault="0034678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Акциите от увеличението на капитала на “ГЛЕНМООР КЕПИТАЛ” АДСИЦ се предлагат за записване от Инвестиционен посредник „ЪП ТРЕНД” ООД, със седалище и адрес на управление: </w:t>
            </w:r>
            <w:r w:rsidR="00EC7D98" w:rsidRPr="00EC7D98">
              <w:rPr>
                <w:rFonts w:ascii="Times New Roman" w:hAnsi="Times New Roman" w:cs="Times New Roman"/>
                <w:sz w:val="20"/>
                <w:szCs w:val="20"/>
                <w:lang w:val="bg-BG"/>
              </w:rPr>
              <w:t>гр. София, р-н Лозенец, бул. Никола Й. Вапцаров № 6</w:t>
            </w:r>
            <w:r w:rsidRPr="00CD0016">
              <w:rPr>
                <w:rFonts w:ascii="Times New Roman" w:hAnsi="Times New Roman" w:cs="Times New Roman"/>
                <w:sz w:val="20"/>
                <w:szCs w:val="20"/>
                <w:lang w:val="bg-BG"/>
              </w:rPr>
              <w:t xml:space="preserve">. </w:t>
            </w:r>
          </w:p>
          <w:p w:rsidR="00346785" w:rsidRPr="00CD0016" w:rsidRDefault="0034678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Правата могат да се предлагат за продажба и от лицата, придобили права чрез покупка на вторичния пазар. </w:t>
            </w:r>
          </w:p>
          <w:p w:rsidR="00346785" w:rsidRPr="00CD0016" w:rsidRDefault="00346785"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Акциите от увеличението на капитала на “ГЛЕНМООР КЕПИТАЛ” АДСИЦ не се предлагат за записване от държатели/собственици на ценни книжа, а се предлагат за записване от Инвестиционен посредник „ЪП ТРЕНД” ООД, със седалище и адрес на управление: </w:t>
            </w:r>
            <w:r w:rsidR="00EC7D98" w:rsidRPr="00EC7D98">
              <w:rPr>
                <w:rFonts w:ascii="Times New Roman" w:hAnsi="Times New Roman" w:cs="Times New Roman"/>
                <w:sz w:val="20"/>
                <w:szCs w:val="20"/>
                <w:lang w:val="bg-BG"/>
              </w:rPr>
              <w:t>гр. София, р-н Лозенец, бул. Никола Й. Вапцаров № 6</w:t>
            </w:r>
            <w:r w:rsidRPr="00CD0016">
              <w:rPr>
                <w:rFonts w:ascii="Times New Roman" w:hAnsi="Times New Roman" w:cs="Times New Roman"/>
                <w:sz w:val="20"/>
                <w:szCs w:val="20"/>
                <w:lang w:val="bg-BG"/>
              </w:rPr>
              <w:t>.</w:t>
            </w:r>
          </w:p>
          <w:p w:rsidR="00773CF8" w:rsidRPr="00CD0016" w:rsidRDefault="00346785" w:rsidP="003F6B51">
            <w:pPr>
              <w:spacing w:after="0"/>
              <w:jc w:val="both"/>
              <w:rPr>
                <w:rFonts w:ascii="Times New Roman" w:eastAsia="Calibri" w:hAnsi="Times New Roman" w:cs="Times New Roman"/>
                <w:sz w:val="20"/>
                <w:szCs w:val="20"/>
                <w:lang w:val="bg-BG"/>
              </w:rPr>
            </w:pPr>
            <w:r w:rsidRPr="00CD0016">
              <w:rPr>
                <w:rFonts w:ascii="Times New Roman" w:hAnsi="Times New Roman" w:cs="Times New Roman"/>
                <w:sz w:val="20"/>
                <w:szCs w:val="20"/>
                <w:lang w:val="bg-BG"/>
              </w:rPr>
              <w:t>Не са налице споразумения за замразяване на капитала.</w:t>
            </w:r>
          </w:p>
        </w:tc>
      </w:tr>
      <w:tr w:rsidR="00773CF8" w:rsidRPr="00CD0016" w:rsidTr="00C057E1">
        <w:trPr>
          <w:trHeight w:val="275"/>
        </w:trPr>
        <w:tc>
          <w:tcPr>
            <w:tcW w:w="647" w:type="dxa"/>
          </w:tcPr>
          <w:p w:rsidR="00773CF8"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t>Д.6</w:t>
            </w:r>
          </w:p>
        </w:tc>
        <w:tc>
          <w:tcPr>
            <w:tcW w:w="10268" w:type="dxa"/>
            <w:shd w:val="clear" w:color="auto" w:fill="auto"/>
          </w:tcPr>
          <w:p w:rsidR="00366E98" w:rsidRPr="00366E98" w:rsidRDefault="00366E98" w:rsidP="00366E98">
            <w:pPr>
              <w:spacing w:after="0"/>
              <w:jc w:val="both"/>
              <w:rPr>
                <w:rFonts w:ascii="Times New Roman" w:hAnsi="Times New Roman" w:cs="Times New Roman"/>
                <w:sz w:val="20"/>
                <w:szCs w:val="20"/>
                <w:lang w:val="bg-BG"/>
              </w:rPr>
            </w:pPr>
            <w:r w:rsidRPr="00366E98">
              <w:rPr>
                <w:rFonts w:ascii="Times New Roman" w:hAnsi="Times New Roman" w:cs="Times New Roman"/>
                <w:sz w:val="20"/>
                <w:szCs w:val="20"/>
                <w:lang w:val="bg-BG"/>
              </w:rPr>
              <w:t xml:space="preserve">Акциите от капитала на “ГЛЕНМООР КЕПИТАЛ” АДСИЦ, които са придобити от Членовете на Съвета на директорите “ГЛЕНМООР КЕПИТАЛ” АДСИЦ в сделки през последната година преди датата на настоящия </w:t>
            </w:r>
            <w:r>
              <w:rPr>
                <w:rFonts w:ascii="Times New Roman" w:hAnsi="Times New Roman" w:cs="Times New Roman"/>
                <w:sz w:val="20"/>
                <w:szCs w:val="20"/>
                <w:lang w:val="bg-BG"/>
              </w:rPr>
              <w:t>Проспект</w:t>
            </w:r>
            <w:r w:rsidRPr="00366E98">
              <w:rPr>
                <w:rFonts w:ascii="Times New Roman" w:hAnsi="Times New Roman" w:cs="Times New Roman"/>
                <w:sz w:val="20"/>
                <w:szCs w:val="20"/>
                <w:lang w:val="bg-BG"/>
              </w:rPr>
              <w:t>, са както следва:</w:t>
            </w:r>
          </w:p>
          <w:tbl>
            <w:tblPr>
              <w:tblW w:w="7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2"/>
              <w:gridCol w:w="1418"/>
              <w:gridCol w:w="1240"/>
              <w:gridCol w:w="1286"/>
              <w:gridCol w:w="993"/>
            </w:tblGrid>
            <w:tr w:rsidR="00366E98" w:rsidRPr="00366E98" w:rsidTr="00DB7D7D">
              <w:trPr>
                <w:trHeight w:val="210"/>
              </w:trPr>
              <w:tc>
                <w:tcPr>
                  <w:tcW w:w="2972" w:type="dxa"/>
                  <w:noWrap/>
                </w:tcPr>
                <w:p w:rsidR="00366E98" w:rsidRPr="00366E98" w:rsidRDefault="00366E98" w:rsidP="00366E98">
                  <w:pPr>
                    <w:spacing w:after="0"/>
                    <w:jc w:val="both"/>
                    <w:rPr>
                      <w:rFonts w:ascii="Times New Roman" w:hAnsi="Times New Roman" w:cs="Times New Roman"/>
                      <w:b/>
                      <w:sz w:val="20"/>
                      <w:szCs w:val="20"/>
                      <w:lang w:val="bg-BG"/>
                    </w:rPr>
                  </w:pPr>
                  <w:r w:rsidRPr="00366E98">
                    <w:rPr>
                      <w:rFonts w:ascii="Times New Roman" w:hAnsi="Times New Roman" w:cs="Times New Roman"/>
                      <w:b/>
                      <w:sz w:val="20"/>
                      <w:szCs w:val="20"/>
                      <w:lang w:val="bg-BG"/>
                    </w:rPr>
                    <w:t>Член на съвета на директорите</w:t>
                  </w:r>
                </w:p>
              </w:tc>
              <w:tc>
                <w:tcPr>
                  <w:tcW w:w="1418" w:type="dxa"/>
                  <w:noWrap/>
                </w:tcPr>
                <w:p w:rsidR="00366E98" w:rsidRPr="00366E98" w:rsidRDefault="00366E98" w:rsidP="00366E98">
                  <w:pPr>
                    <w:spacing w:after="0"/>
                    <w:jc w:val="both"/>
                    <w:rPr>
                      <w:rFonts w:ascii="Times New Roman" w:hAnsi="Times New Roman" w:cs="Times New Roman"/>
                      <w:b/>
                      <w:sz w:val="20"/>
                      <w:szCs w:val="20"/>
                      <w:lang w:val="bg-BG"/>
                    </w:rPr>
                  </w:pPr>
                  <w:r w:rsidRPr="00366E98">
                    <w:rPr>
                      <w:rFonts w:ascii="Times New Roman" w:hAnsi="Times New Roman" w:cs="Times New Roman"/>
                      <w:b/>
                      <w:sz w:val="20"/>
                      <w:szCs w:val="20"/>
                      <w:lang w:val="bg-BG"/>
                    </w:rPr>
                    <w:t>Дата</w:t>
                  </w:r>
                </w:p>
              </w:tc>
              <w:tc>
                <w:tcPr>
                  <w:tcW w:w="1240" w:type="dxa"/>
                  <w:noWrap/>
                </w:tcPr>
                <w:p w:rsidR="00366E98" w:rsidRPr="00366E98" w:rsidRDefault="00366E98" w:rsidP="00366E98">
                  <w:pPr>
                    <w:spacing w:after="0"/>
                    <w:jc w:val="both"/>
                    <w:rPr>
                      <w:rFonts w:ascii="Times New Roman" w:hAnsi="Times New Roman" w:cs="Times New Roman"/>
                      <w:b/>
                      <w:sz w:val="20"/>
                      <w:szCs w:val="20"/>
                      <w:lang w:val="bg-BG"/>
                    </w:rPr>
                  </w:pPr>
                  <w:r w:rsidRPr="00366E98">
                    <w:rPr>
                      <w:rFonts w:ascii="Times New Roman" w:hAnsi="Times New Roman" w:cs="Times New Roman"/>
                      <w:b/>
                      <w:sz w:val="20"/>
                      <w:szCs w:val="20"/>
                      <w:lang w:val="bg-BG"/>
                    </w:rPr>
                    <w:t>Вид сделка</w:t>
                  </w:r>
                </w:p>
              </w:tc>
              <w:tc>
                <w:tcPr>
                  <w:tcW w:w="1286" w:type="dxa"/>
                  <w:noWrap/>
                </w:tcPr>
                <w:p w:rsidR="00366E98" w:rsidRPr="00366E98" w:rsidRDefault="00366E98" w:rsidP="00366E98">
                  <w:pPr>
                    <w:spacing w:after="0"/>
                    <w:jc w:val="both"/>
                    <w:rPr>
                      <w:rFonts w:ascii="Times New Roman" w:hAnsi="Times New Roman" w:cs="Times New Roman"/>
                      <w:b/>
                      <w:sz w:val="20"/>
                      <w:szCs w:val="20"/>
                      <w:lang w:val="bg-BG"/>
                    </w:rPr>
                  </w:pPr>
                  <w:r w:rsidRPr="00366E98">
                    <w:rPr>
                      <w:rFonts w:ascii="Times New Roman" w:hAnsi="Times New Roman" w:cs="Times New Roman"/>
                      <w:b/>
                      <w:sz w:val="20"/>
                      <w:szCs w:val="20"/>
                      <w:lang w:val="bg-BG"/>
                    </w:rPr>
                    <w:t>Количество</w:t>
                  </w:r>
                </w:p>
              </w:tc>
              <w:tc>
                <w:tcPr>
                  <w:tcW w:w="993" w:type="dxa"/>
                  <w:noWrap/>
                </w:tcPr>
                <w:p w:rsidR="00366E98" w:rsidRPr="00366E98" w:rsidRDefault="00366E98" w:rsidP="00366E98">
                  <w:pPr>
                    <w:spacing w:after="0"/>
                    <w:jc w:val="both"/>
                    <w:rPr>
                      <w:rFonts w:ascii="Times New Roman" w:hAnsi="Times New Roman" w:cs="Times New Roman"/>
                      <w:b/>
                      <w:sz w:val="20"/>
                      <w:szCs w:val="20"/>
                      <w:lang w:val="bg-BG"/>
                    </w:rPr>
                  </w:pPr>
                  <w:r w:rsidRPr="00366E98">
                    <w:rPr>
                      <w:rFonts w:ascii="Times New Roman" w:hAnsi="Times New Roman" w:cs="Times New Roman"/>
                      <w:b/>
                      <w:sz w:val="20"/>
                      <w:szCs w:val="20"/>
                      <w:lang w:val="bg-BG"/>
                    </w:rPr>
                    <w:t>Ед. цена</w:t>
                  </w:r>
                </w:p>
              </w:tc>
            </w:tr>
            <w:tr w:rsidR="00366E98" w:rsidRPr="00366E98" w:rsidTr="00DB7D7D">
              <w:trPr>
                <w:trHeight w:val="210"/>
              </w:trPr>
              <w:tc>
                <w:tcPr>
                  <w:tcW w:w="2972" w:type="dxa"/>
                  <w:noWrap/>
                  <w:vAlign w:val="bottom"/>
                </w:tcPr>
                <w:p w:rsidR="00366E98" w:rsidRPr="00366E98" w:rsidRDefault="00366E98" w:rsidP="00366E98">
                  <w:pPr>
                    <w:spacing w:after="0"/>
                    <w:jc w:val="both"/>
                    <w:rPr>
                      <w:rFonts w:ascii="Times New Roman" w:hAnsi="Times New Roman" w:cs="Times New Roman"/>
                      <w:sz w:val="20"/>
                      <w:szCs w:val="20"/>
                      <w:lang w:val="bg-BG"/>
                    </w:rPr>
                  </w:pPr>
                  <w:r w:rsidRPr="00366E98">
                    <w:rPr>
                      <w:rFonts w:ascii="Times New Roman" w:hAnsi="Times New Roman" w:cs="Times New Roman"/>
                      <w:sz w:val="20"/>
                      <w:szCs w:val="20"/>
                      <w:lang w:val="bg-BG"/>
                    </w:rPr>
                    <w:t>Гергана Атанасова Маринова</w:t>
                  </w:r>
                </w:p>
              </w:tc>
              <w:tc>
                <w:tcPr>
                  <w:tcW w:w="1418" w:type="dxa"/>
                  <w:noWrap/>
                  <w:vAlign w:val="bottom"/>
                </w:tcPr>
                <w:p w:rsidR="00366E98" w:rsidRPr="00366E98" w:rsidRDefault="00366E98" w:rsidP="00366E98">
                  <w:pPr>
                    <w:spacing w:after="0"/>
                    <w:jc w:val="both"/>
                    <w:rPr>
                      <w:rFonts w:ascii="Times New Roman" w:hAnsi="Times New Roman" w:cs="Times New Roman"/>
                      <w:sz w:val="20"/>
                      <w:szCs w:val="20"/>
                      <w:lang w:val="bg-BG"/>
                    </w:rPr>
                  </w:pPr>
                  <w:r w:rsidRPr="00366E98">
                    <w:rPr>
                      <w:rFonts w:ascii="Times New Roman" w:hAnsi="Times New Roman" w:cs="Times New Roman"/>
                      <w:sz w:val="20"/>
                      <w:szCs w:val="20"/>
                      <w:lang w:val="bg-BG"/>
                    </w:rPr>
                    <w:t>07.03.2017</w:t>
                  </w:r>
                </w:p>
              </w:tc>
              <w:tc>
                <w:tcPr>
                  <w:tcW w:w="1240" w:type="dxa"/>
                  <w:noWrap/>
                  <w:vAlign w:val="bottom"/>
                </w:tcPr>
                <w:p w:rsidR="00366E98" w:rsidRPr="00366E98" w:rsidRDefault="00366E98" w:rsidP="00366E98">
                  <w:pPr>
                    <w:spacing w:after="0"/>
                    <w:jc w:val="both"/>
                    <w:rPr>
                      <w:rFonts w:ascii="Times New Roman" w:hAnsi="Times New Roman" w:cs="Times New Roman"/>
                      <w:sz w:val="20"/>
                      <w:szCs w:val="20"/>
                      <w:lang w:val="bg-BG"/>
                    </w:rPr>
                  </w:pPr>
                  <w:r w:rsidRPr="00366E98">
                    <w:rPr>
                      <w:rFonts w:ascii="Times New Roman" w:hAnsi="Times New Roman" w:cs="Times New Roman"/>
                      <w:sz w:val="20"/>
                      <w:szCs w:val="20"/>
                      <w:lang w:val="bg-BG"/>
                    </w:rPr>
                    <w:t>записва при учредяване</w:t>
                  </w:r>
                </w:p>
              </w:tc>
              <w:tc>
                <w:tcPr>
                  <w:tcW w:w="1286" w:type="dxa"/>
                  <w:noWrap/>
                  <w:vAlign w:val="bottom"/>
                </w:tcPr>
                <w:p w:rsidR="00366E98" w:rsidRPr="00366E98" w:rsidRDefault="00366E98" w:rsidP="00366E98">
                  <w:pPr>
                    <w:spacing w:after="0"/>
                    <w:jc w:val="both"/>
                    <w:rPr>
                      <w:rFonts w:ascii="Times New Roman" w:hAnsi="Times New Roman" w:cs="Times New Roman"/>
                      <w:sz w:val="20"/>
                      <w:szCs w:val="20"/>
                      <w:lang w:val="bg-BG"/>
                    </w:rPr>
                  </w:pPr>
                  <w:r w:rsidRPr="00366E98">
                    <w:rPr>
                      <w:rFonts w:ascii="Times New Roman" w:hAnsi="Times New Roman" w:cs="Times New Roman"/>
                      <w:sz w:val="20"/>
                      <w:szCs w:val="20"/>
                      <w:lang w:val="bg-BG"/>
                    </w:rPr>
                    <w:t>20000</w:t>
                  </w:r>
                </w:p>
              </w:tc>
              <w:tc>
                <w:tcPr>
                  <w:tcW w:w="993" w:type="dxa"/>
                  <w:noWrap/>
                  <w:vAlign w:val="bottom"/>
                </w:tcPr>
                <w:p w:rsidR="00366E98" w:rsidRPr="00366E98" w:rsidRDefault="00366E98" w:rsidP="00366E98">
                  <w:pPr>
                    <w:spacing w:after="0"/>
                    <w:jc w:val="both"/>
                    <w:rPr>
                      <w:rFonts w:ascii="Times New Roman" w:hAnsi="Times New Roman" w:cs="Times New Roman"/>
                      <w:sz w:val="20"/>
                      <w:szCs w:val="20"/>
                      <w:lang w:val="bg-BG"/>
                    </w:rPr>
                  </w:pPr>
                  <w:r w:rsidRPr="00366E98">
                    <w:rPr>
                      <w:rFonts w:ascii="Times New Roman" w:hAnsi="Times New Roman" w:cs="Times New Roman"/>
                      <w:sz w:val="20"/>
                      <w:szCs w:val="20"/>
                      <w:lang w:val="bg-BG"/>
                    </w:rPr>
                    <w:t>1,00</w:t>
                  </w:r>
                </w:p>
              </w:tc>
            </w:tr>
          </w:tbl>
          <w:p w:rsidR="00366E98" w:rsidRPr="00366E98" w:rsidRDefault="00366E98" w:rsidP="00366E98">
            <w:pPr>
              <w:spacing w:after="0"/>
              <w:jc w:val="both"/>
              <w:rPr>
                <w:rFonts w:ascii="Times New Roman" w:hAnsi="Times New Roman" w:cs="Times New Roman"/>
                <w:sz w:val="20"/>
                <w:szCs w:val="20"/>
                <w:lang w:val="bg-BG"/>
              </w:rPr>
            </w:pPr>
          </w:p>
          <w:p w:rsidR="00366E98" w:rsidRPr="00366E98" w:rsidRDefault="00366E98" w:rsidP="00366E98">
            <w:pPr>
              <w:spacing w:after="0"/>
              <w:jc w:val="both"/>
              <w:rPr>
                <w:rFonts w:ascii="Times New Roman" w:hAnsi="Times New Roman" w:cs="Times New Roman"/>
                <w:sz w:val="20"/>
                <w:szCs w:val="20"/>
                <w:lang w:val="bg-BG"/>
              </w:rPr>
            </w:pPr>
            <w:r w:rsidRPr="00366E98">
              <w:rPr>
                <w:rFonts w:ascii="Times New Roman" w:hAnsi="Times New Roman" w:cs="Times New Roman"/>
                <w:sz w:val="20"/>
                <w:szCs w:val="20"/>
                <w:lang w:val="bg-BG"/>
              </w:rPr>
              <w:t>Валентина Николаева Димитрова е свързано лице с „Интерреклама” ЕООД, ЕИК 103863874, на което е Едноличен собственик на капитала. „Интерреклама” ЕООД, ЕИК 103863874, притежава 110 000 акции от капитала на “ГЛЕНМООР КЕПИТАЛ” АДСИЦ, представляващи 22 % от капитала на дружеството. Акциите са записани при учредяване на “ГЛЕНМООР КЕПИТАЛ” АДСИЦ.</w:t>
            </w:r>
          </w:p>
          <w:p w:rsidR="00D84568" w:rsidRPr="00CD0016" w:rsidRDefault="00366E98" w:rsidP="003F6B51">
            <w:pPr>
              <w:spacing w:after="0"/>
              <w:jc w:val="both"/>
              <w:rPr>
                <w:rFonts w:ascii="Times New Roman" w:hAnsi="Times New Roman" w:cs="Times New Roman"/>
                <w:sz w:val="20"/>
                <w:szCs w:val="20"/>
                <w:lang w:val="bg-BG"/>
              </w:rPr>
            </w:pPr>
            <w:r w:rsidRPr="00366E98">
              <w:rPr>
                <w:rFonts w:ascii="Times New Roman" w:hAnsi="Times New Roman" w:cs="Times New Roman"/>
                <w:sz w:val="20"/>
                <w:szCs w:val="20"/>
                <w:lang w:val="bg-BG"/>
              </w:rPr>
              <w:t>Няма издаване на други акции, освен посочените, на членовете на Съвета на директорите или свързани с тях лица от датата на регистрация на Дружеството в Търговския регистър до датата на настоящия Документ за предлаганите ценни книжа или опции, с които те имат прав</w:t>
            </w:r>
            <w:r>
              <w:rPr>
                <w:rFonts w:ascii="Times New Roman" w:hAnsi="Times New Roman" w:cs="Times New Roman"/>
                <w:sz w:val="20"/>
                <w:szCs w:val="20"/>
                <w:lang w:val="bg-BG"/>
              </w:rPr>
              <w:t>ото да придобият акции в бъдеще</w:t>
            </w:r>
            <w:r w:rsidR="00D84568" w:rsidRPr="00CD0016">
              <w:rPr>
                <w:rFonts w:ascii="Times New Roman" w:hAnsi="Times New Roman" w:cs="Times New Roman"/>
                <w:sz w:val="20"/>
                <w:szCs w:val="20"/>
                <w:lang w:val="bg-BG"/>
              </w:rPr>
              <w:t>.</w:t>
            </w:r>
          </w:p>
          <w:p w:rsidR="00D84568" w:rsidRPr="00CD0016" w:rsidRDefault="00D84568"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Членовете на Съвета на директорите нямат право да придобиват ценни книжа от предстоящата емисия при различни от обявената емисионна стойност на акция условия на публичното предлагане. </w:t>
            </w:r>
          </w:p>
          <w:p w:rsidR="00D84568" w:rsidRPr="00CD0016" w:rsidRDefault="00D84568" w:rsidP="003F6B51">
            <w:pPr>
              <w:spacing w:after="0"/>
              <w:jc w:val="both"/>
              <w:rPr>
                <w:rFonts w:ascii="Times New Roman" w:hAnsi="Times New Roman" w:cs="Times New Roman"/>
                <w:sz w:val="20"/>
                <w:szCs w:val="20"/>
                <w:lang w:val="ru-RU"/>
              </w:rPr>
            </w:pPr>
            <w:r w:rsidRPr="00CD0016">
              <w:rPr>
                <w:rFonts w:ascii="Times New Roman" w:hAnsi="Times New Roman" w:cs="Times New Roman"/>
                <w:sz w:val="20"/>
                <w:szCs w:val="20"/>
                <w:lang w:val="bg-BG"/>
              </w:rPr>
              <w:t>Дружеството може да издава допълнителни обикновени акции при последващи увеличения на капитала. Съгласно българското законодателство Дружеството е длъжно да предложи тези обикновени акции на настоящите акционери съгласно правото им да придобият част от новите акции, съответстващи на дела им в капитала преди увеличението. Независимо от това, настоящите акционери могат да изберат да не участват в бъдещо емитиране на обикновени акции.</w:t>
            </w:r>
          </w:p>
          <w:p w:rsidR="001C1570" w:rsidRPr="00CD0016" w:rsidRDefault="001C1570" w:rsidP="003F6B51">
            <w:pPr>
              <w:spacing w:after="0"/>
              <w:jc w:val="both"/>
              <w:rPr>
                <w:rFonts w:ascii="Times New Roman" w:hAnsi="Times New Roman" w:cs="Times New Roman"/>
                <w:sz w:val="20"/>
                <w:szCs w:val="20"/>
                <w:lang w:val="ru-RU"/>
              </w:rPr>
            </w:pPr>
          </w:p>
          <w:p w:rsidR="001C1570" w:rsidRPr="00CD0016" w:rsidRDefault="001C1570" w:rsidP="003F6B51">
            <w:pPr>
              <w:spacing w:after="0"/>
              <w:jc w:val="both"/>
              <w:rPr>
                <w:rFonts w:ascii="Times New Roman" w:hAnsi="Times New Roman" w:cs="Times New Roman"/>
                <w:sz w:val="20"/>
                <w:szCs w:val="20"/>
                <w:lang w:val="ru-RU"/>
              </w:rPr>
            </w:pPr>
          </w:p>
          <w:p w:rsidR="00D84568" w:rsidRPr="00CD0016" w:rsidRDefault="00D84568" w:rsidP="003F6B51">
            <w:pPr>
              <w:spacing w:after="0"/>
              <w:jc w:val="both"/>
              <w:rPr>
                <w:rFonts w:ascii="Times New Roman" w:hAnsi="Times New Roman" w:cs="Times New Roman"/>
                <w:sz w:val="20"/>
                <w:szCs w:val="20"/>
                <w:lang w:val="bg-BG"/>
              </w:rPr>
            </w:pPr>
            <w:r w:rsidRPr="00CD0016">
              <w:rPr>
                <w:rFonts w:ascii="Times New Roman" w:hAnsi="Times New Roman" w:cs="Times New Roman"/>
                <w:b/>
                <w:sz w:val="20"/>
                <w:szCs w:val="20"/>
                <w:lang w:val="bg-BG"/>
              </w:rPr>
              <w:t xml:space="preserve">Таблица № </w:t>
            </w:r>
            <w:r w:rsidR="00BA261F" w:rsidRPr="00CD0016">
              <w:rPr>
                <w:rFonts w:ascii="Times New Roman" w:hAnsi="Times New Roman" w:cs="Times New Roman"/>
                <w:b/>
                <w:sz w:val="20"/>
                <w:szCs w:val="20"/>
                <w:lang w:val="bg-BG"/>
              </w:rPr>
              <w:t>2</w:t>
            </w:r>
            <w:r w:rsidRPr="00CD0016">
              <w:rPr>
                <w:rFonts w:ascii="Times New Roman" w:hAnsi="Times New Roman" w:cs="Times New Roman"/>
                <w:b/>
                <w:sz w:val="20"/>
                <w:szCs w:val="20"/>
                <w:lang w:val="bg-BG"/>
              </w:rPr>
              <w:t>:</w:t>
            </w:r>
            <w:r w:rsidRPr="00CD0016">
              <w:rPr>
                <w:rFonts w:ascii="Times New Roman" w:hAnsi="Times New Roman" w:cs="Times New Roman"/>
                <w:sz w:val="20"/>
                <w:szCs w:val="20"/>
                <w:lang w:val="bg-BG"/>
              </w:rPr>
              <w:t xml:space="preserve"> Разводняване на стойността на акциите (при записани всички акции от увеличението)</w:t>
            </w:r>
          </w:p>
          <w:tbl>
            <w:tblPr>
              <w:tblW w:w="8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949"/>
              <w:gridCol w:w="283"/>
              <w:gridCol w:w="2020"/>
            </w:tblGrid>
            <w:tr w:rsidR="00D84568" w:rsidRPr="00CD0016" w:rsidTr="00564985">
              <w:trPr>
                <w:trHeight w:val="300"/>
              </w:trPr>
              <w:tc>
                <w:tcPr>
                  <w:tcW w:w="8252" w:type="dxa"/>
                  <w:gridSpan w:val="3"/>
                  <w:shd w:val="clear" w:color="auto" w:fill="17365D"/>
                  <w:noWrap/>
                  <w:vAlign w:val="center"/>
                </w:tcPr>
                <w:p w:rsidR="00D84568" w:rsidRPr="00CD0016" w:rsidRDefault="00D84568" w:rsidP="003F6B51">
                  <w:pPr>
                    <w:spacing w:after="0"/>
                    <w:rPr>
                      <w:rFonts w:ascii="Times New Roman" w:hAnsi="Times New Roman" w:cs="Times New Roman"/>
                      <w:b/>
                      <w:bCs/>
                      <w:color w:val="FFFFFF"/>
                      <w:sz w:val="20"/>
                      <w:szCs w:val="20"/>
                      <w:lang w:val="bg-BG" w:eastAsia="bg-BG"/>
                    </w:rPr>
                  </w:pPr>
                  <w:r w:rsidRPr="00CD0016">
                    <w:rPr>
                      <w:rFonts w:ascii="Times New Roman" w:hAnsi="Times New Roman" w:cs="Times New Roman"/>
                      <w:b/>
                      <w:bCs/>
                      <w:color w:val="FFFFFF"/>
                      <w:sz w:val="20"/>
                      <w:szCs w:val="20"/>
                      <w:lang w:val="bg-BG" w:eastAsia="bg-BG"/>
                    </w:rPr>
                    <w:t>Преди увеличението на капитала (към 30.06.2017 г.)</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Обща сума на активите (лв.)</w:t>
                  </w:r>
                </w:p>
              </w:tc>
              <w:tc>
                <w:tcPr>
                  <w:tcW w:w="283"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500 000</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Общо задължения (лв.)</w:t>
                  </w:r>
                </w:p>
              </w:tc>
              <w:tc>
                <w:tcPr>
                  <w:tcW w:w="283"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1312</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Балансова стойност на нетните активи (лв.)</w:t>
                  </w:r>
                </w:p>
              </w:tc>
              <w:tc>
                <w:tcPr>
                  <w:tcW w:w="283" w:type="dxa"/>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498 688</w:t>
                  </w:r>
                </w:p>
              </w:tc>
            </w:tr>
            <w:tr w:rsidR="00D84568" w:rsidRPr="00CD0016" w:rsidTr="00564985">
              <w:trPr>
                <w:trHeight w:val="70"/>
              </w:trPr>
              <w:tc>
                <w:tcPr>
                  <w:tcW w:w="5949" w:type="dxa"/>
                  <w:shd w:val="clear" w:color="auto" w:fill="D9D9D9"/>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p>
              </w:tc>
              <w:tc>
                <w:tcPr>
                  <w:tcW w:w="283" w:type="dxa"/>
                  <w:shd w:val="clear" w:color="auto" w:fill="D9D9D9"/>
                  <w:noWrap/>
                  <w:vAlign w:val="bottom"/>
                </w:tcPr>
                <w:p w:rsidR="00D84568" w:rsidRPr="00CD0016" w:rsidRDefault="00D84568" w:rsidP="003F6B51">
                  <w:pPr>
                    <w:spacing w:after="0"/>
                    <w:rPr>
                      <w:rFonts w:ascii="Times New Roman" w:hAnsi="Times New Roman" w:cs="Times New Roman"/>
                      <w:sz w:val="20"/>
                      <w:szCs w:val="20"/>
                      <w:lang w:val="bg-BG" w:eastAsia="bg-BG"/>
                    </w:rPr>
                  </w:pPr>
                </w:p>
              </w:tc>
              <w:tc>
                <w:tcPr>
                  <w:tcW w:w="2020" w:type="dxa"/>
                  <w:shd w:val="clear" w:color="auto" w:fill="D9D9D9"/>
                  <w:noWrap/>
                  <w:vAlign w:val="bottom"/>
                </w:tcPr>
                <w:p w:rsidR="00D84568" w:rsidRPr="00CD0016" w:rsidRDefault="00D84568" w:rsidP="003F6B51">
                  <w:pPr>
                    <w:spacing w:after="0"/>
                    <w:rPr>
                      <w:rFonts w:ascii="Times New Roman" w:hAnsi="Times New Roman" w:cs="Times New Roman"/>
                      <w:sz w:val="20"/>
                      <w:szCs w:val="20"/>
                      <w:lang w:val="bg-BG" w:eastAsia="bg-BG"/>
                    </w:rPr>
                  </w:pP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Брой акции в обращение</w:t>
                  </w:r>
                </w:p>
              </w:tc>
              <w:tc>
                <w:tcPr>
                  <w:tcW w:w="283"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500 000</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Номинална стойност на една акция (лв.)</w:t>
                  </w:r>
                </w:p>
              </w:tc>
              <w:tc>
                <w:tcPr>
                  <w:tcW w:w="283" w:type="dxa"/>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1,00</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Балансова стойност на една акция (лв.)</w:t>
                  </w:r>
                </w:p>
              </w:tc>
              <w:tc>
                <w:tcPr>
                  <w:tcW w:w="283" w:type="dxa"/>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1,00</w:t>
                  </w:r>
                </w:p>
              </w:tc>
            </w:tr>
            <w:tr w:rsidR="00D84568" w:rsidRPr="00CD0016" w:rsidTr="00564985">
              <w:trPr>
                <w:trHeight w:hRule="exact" w:val="227"/>
              </w:trPr>
              <w:tc>
                <w:tcPr>
                  <w:tcW w:w="5949" w:type="dxa"/>
                  <w:shd w:val="clear" w:color="auto" w:fill="D9D9D9"/>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p>
              </w:tc>
              <w:tc>
                <w:tcPr>
                  <w:tcW w:w="283" w:type="dxa"/>
                  <w:shd w:val="clear" w:color="auto" w:fill="D9D9D9"/>
                  <w:noWrap/>
                  <w:vAlign w:val="bottom"/>
                </w:tcPr>
                <w:p w:rsidR="00D84568" w:rsidRPr="00CD0016" w:rsidRDefault="00D84568" w:rsidP="003F6B51">
                  <w:pPr>
                    <w:spacing w:after="0"/>
                    <w:rPr>
                      <w:rFonts w:ascii="Times New Roman" w:hAnsi="Times New Roman" w:cs="Times New Roman"/>
                      <w:sz w:val="20"/>
                      <w:szCs w:val="20"/>
                      <w:lang w:val="bg-BG" w:eastAsia="bg-BG"/>
                    </w:rPr>
                  </w:pPr>
                </w:p>
              </w:tc>
              <w:tc>
                <w:tcPr>
                  <w:tcW w:w="2020" w:type="dxa"/>
                  <w:shd w:val="clear" w:color="auto" w:fill="D9D9D9"/>
                  <w:noWrap/>
                  <w:vAlign w:val="bottom"/>
                </w:tcPr>
                <w:p w:rsidR="00D84568" w:rsidRPr="00CD0016" w:rsidRDefault="00D84568" w:rsidP="003F6B51">
                  <w:pPr>
                    <w:spacing w:after="0"/>
                    <w:rPr>
                      <w:rFonts w:ascii="Times New Roman" w:hAnsi="Times New Roman" w:cs="Times New Roman"/>
                      <w:sz w:val="20"/>
                      <w:szCs w:val="20"/>
                      <w:lang w:val="bg-BG" w:eastAsia="bg-BG"/>
                    </w:rPr>
                  </w:pP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Увеличението на капитала</w:t>
                  </w:r>
                </w:p>
              </w:tc>
              <w:tc>
                <w:tcPr>
                  <w:tcW w:w="283" w:type="dxa"/>
                  <w:noWrap/>
                  <w:vAlign w:val="bottom"/>
                </w:tcPr>
                <w:p w:rsidR="00D84568" w:rsidRPr="00CD0016" w:rsidRDefault="00D84568"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 </w:t>
                  </w:r>
                </w:p>
              </w:tc>
              <w:tc>
                <w:tcPr>
                  <w:tcW w:w="2020" w:type="dxa"/>
                  <w:noWrap/>
                  <w:vAlign w:val="bottom"/>
                </w:tcPr>
                <w:p w:rsidR="00D84568" w:rsidRPr="00CD0016" w:rsidRDefault="00D84568"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rPr>
                    <w:t> </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lastRenderedPageBreak/>
                    <w:t>Брой нови акции</w:t>
                  </w:r>
                </w:p>
              </w:tc>
              <w:tc>
                <w:tcPr>
                  <w:tcW w:w="283"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sz w:val="20"/>
                      <w:szCs w:val="20"/>
                      <w:lang w:val="bg-BG" w:eastAsia="bg-BG"/>
                    </w:rPr>
                  </w:pPr>
                  <w:r w:rsidRPr="00CD0016">
                    <w:rPr>
                      <w:rFonts w:ascii="Times New Roman" w:hAnsi="Times New Roman" w:cs="Times New Roman"/>
                      <w:sz w:val="20"/>
                      <w:szCs w:val="20"/>
                      <w:lang w:val="bg-BG"/>
                    </w:rPr>
                    <w:t>150 000</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Номинал (лв.)</w:t>
                  </w:r>
                </w:p>
              </w:tc>
              <w:tc>
                <w:tcPr>
                  <w:tcW w:w="283"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sz w:val="20"/>
                      <w:szCs w:val="20"/>
                      <w:lang w:val="bg-BG" w:eastAsia="bg-BG"/>
                    </w:rPr>
                  </w:pPr>
                  <w:r w:rsidRPr="00CD0016">
                    <w:rPr>
                      <w:rFonts w:ascii="Times New Roman" w:hAnsi="Times New Roman" w:cs="Times New Roman"/>
                      <w:sz w:val="20"/>
                      <w:szCs w:val="20"/>
                      <w:lang w:val="bg-BG"/>
                    </w:rPr>
                    <w:t>1,00</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Емисионна стойност на акция (лв.)</w:t>
                  </w:r>
                </w:p>
              </w:tc>
              <w:tc>
                <w:tcPr>
                  <w:tcW w:w="283"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sz w:val="20"/>
                      <w:szCs w:val="20"/>
                      <w:lang w:val="bg-BG" w:eastAsia="bg-BG"/>
                    </w:rPr>
                  </w:pPr>
                  <w:r w:rsidRPr="00CD0016">
                    <w:rPr>
                      <w:rFonts w:ascii="Times New Roman" w:hAnsi="Times New Roman" w:cs="Times New Roman"/>
                      <w:sz w:val="20"/>
                      <w:szCs w:val="20"/>
                      <w:lang w:val="bg-BG"/>
                    </w:rPr>
                    <w:t>1,00</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Увеличение на капитала (лв.) - нетен размер</w:t>
                  </w:r>
                </w:p>
              </w:tc>
              <w:tc>
                <w:tcPr>
                  <w:tcW w:w="283" w:type="dxa"/>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sz w:val="20"/>
                      <w:szCs w:val="20"/>
                      <w:lang w:val="bg-BG" w:eastAsia="bg-BG"/>
                    </w:rPr>
                  </w:pPr>
                  <w:r w:rsidRPr="00CD0016">
                    <w:rPr>
                      <w:rFonts w:ascii="Times New Roman" w:hAnsi="Times New Roman" w:cs="Times New Roman"/>
                      <w:sz w:val="20"/>
                      <w:szCs w:val="20"/>
                      <w:lang w:val="bg-BG"/>
                    </w:rPr>
                    <w:t>150 000</w:t>
                  </w:r>
                </w:p>
              </w:tc>
            </w:tr>
            <w:tr w:rsidR="00D84568" w:rsidRPr="00CD0016" w:rsidTr="00564985">
              <w:trPr>
                <w:trHeight w:hRule="exact" w:val="227"/>
              </w:trPr>
              <w:tc>
                <w:tcPr>
                  <w:tcW w:w="5949" w:type="dxa"/>
                  <w:shd w:val="clear" w:color="auto" w:fill="D9D9D9"/>
                  <w:noWrap/>
                  <w:vAlign w:val="bottom"/>
                </w:tcPr>
                <w:p w:rsidR="00D84568" w:rsidRPr="00CD0016" w:rsidRDefault="00D84568" w:rsidP="003F6B51">
                  <w:pPr>
                    <w:spacing w:after="0"/>
                    <w:rPr>
                      <w:rFonts w:ascii="Times New Roman" w:hAnsi="Times New Roman" w:cs="Times New Roman"/>
                      <w:color w:val="808080"/>
                      <w:sz w:val="20"/>
                      <w:szCs w:val="20"/>
                      <w:lang w:val="bg-BG" w:eastAsia="bg-BG"/>
                    </w:rPr>
                  </w:pPr>
                </w:p>
              </w:tc>
              <w:tc>
                <w:tcPr>
                  <w:tcW w:w="283" w:type="dxa"/>
                  <w:shd w:val="clear" w:color="auto" w:fill="D9D9D9"/>
                  <w:noWrap/>
                  <w:vAlign w:val="bottom"/>
                </w:tcPr>
                <w:p w:rsidR="00D84568" w:rsidRPr="00CD0016" w:rsidRDefault="00D84568" w:rsidP="003F6B51">
                  <w:pPr>
                    <w:spacing w:after="0"/>
                    <w:ind w:firstLineChars="500" w:firstLine="1000"/>
                    <w:rPr>
                      <w:rFonts w:ascii="Times New Roman" w:hAnsi="Times New Roman" w:cs="Times New Roman"/>
                      <w:color w:val="808080"/>
                      <w:sz w:val="20"/>
                      <w:szCs w:val="20"/>
                      <w:lang w:val="bg-BG" w:eastAsia="bg-BG"/>
                    </w:rPr>
                  </w:pPr>
                </w:p>
              </w:tc>
              <w:tc>
                <w:tcPr>
                  <w:tcW w:w="2020" w:type="dxa"/>
                  <w:shd w:val="clear" w:color="auto" w:fill="D9D9D9"/>
                  <w:noWrap/>
                  <w:vAlign w:val="bottom"/>
                </w:tcPr>
                <w:p w:rsidR="00D84568" w:rsidRPr="00CD0016" w:rsidRDefault="00D84568" w:rsidP="003F6B51">
                  <w:pPr>
                    <w:spacing w:after="0"/>
                    <w:ind w:firstLineChars="500" w:firstLine="1000"/>
                    <w:rPr>
                      <w:rFonts w:ascii="Times New Roman" w:hAnsi="Times New Roman" w:cs="Times New Roman"/>
                      <w:color w:val="808080"/>
                      <w:sz w:val="20"/>
                      <w:szCs w:val="20"/>
                      <w:lang w:val="bg-BG" w:eastAsia="bg-BG"/>
                    </w:rPr>
                  </w:pP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След увеличението на капитала</w:t>
                  </w:r>
                </w:p>
              </w:tc>
              <w:tc>
                <w:tcPr>
                  <w:tcW w:w="283" w:type="dxa"/>
                  <w:noWrap/>
                  <w:vAlign w:val="bottom"/>
                </w:tcPr>
                <w:p w:rsidR="00D84568" w:rsidRPr="00CD0016" w:rsidRDefault="00D84568"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 </w:t>
                  </w:r>
                </w:p>
              </w:tc>
              <w:tc>
                <w:tcPr>
                  <w:tcW w:w="2020" w:type="dxa"/>
                  <w:noWrap/>
                  <w:vAlign w:val="bottom"/>
                </w:tcPr>
                <w:p w:rsidR="00D84568" w:rsidRPr="00CD0016" w:rsidRDefault="00D84568" w:rsidP="003F6B51">
                  <w:pPr>
                    <w:spacing w:after="0"/>
                    <w:rPr>
                      <w:rFonts w:ascii="Times New Roman" w:hAnsi="Times New Roman" w:cs="Times New Roman"/>
                      <w:b/>
                      <w:bCs/>
                      <w:color w:val="000000"/>
                      <w:sz w:val="20"/>
                      <w:szCs w:val="20"/>
                      <w:lang w:val="bg-BG" w:eastAsia="bg-BG"/>
                    </w:rPr>
                  </w:pP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Брой акции след увеличението</w:t>
                  </w:r>
                </w:p>
              </w:tc>
              <w:tc>
                <w:tcPr>
                  <w:tcW w:w="283"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650 000</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Балансова стойност на нетните активи (лв.)</w:t>
                  </w:r>
                </w:p>
              </w:tc>
              <w:tc>
                <w:tcPr>
                  <w:tcW w:w="283" w:type="dxa"/>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648 688</w:t>
                  </w: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eastAsia="bg-BG"/>
                    </w:rPr>
                    <w:t>Балансова стойност на акция след увеличението (лв.)</w:t>
                  </w:r>
                </w:p>
              </w:tc>
              <w:tc>
                <w:tcPr>
                  <w:tcW w:w="283" w:type="dxa"/>
                  <w:vAlign w:val="bottom"/>
                </w:tcPr>
                <w:p w:rsidR="00D84568" w:rsidRPr="00CD0016" w:rsidRDefault="00D84568" w:rsidP="003F6B51">
                  <w:pPr>
                    <w:spacing w:after="0"/>
                    <w:rPr>
                      <w:rFonts w:ascii="Times New Roman" w:hAnsi="Times New Roman" w:cs="Times New Roman"/>
                      <w:color w:val="000000"/>
                      <w:sz w:val="20"/>
                      <w:szCs w:val="20"/>
                      <w:lang w:val="bg-BG" w:eastAsia="bg-BG"/>
                    </w:rPr>
                  </w:pPr>
                </w:p>
              </w:tc>
              <w:tc>
                <w:tcPr>
                  <w:tcW w:w="2020"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r w:rsidRPr="00CD0016">
                    <w:rPr>
                      <w:rFonts w:ascii="Times New Roman" w:hAnsi="Times New Roman" w:cs="Times New Roman"/>
                      <w:color w:val="000000"/>
                      <w:sz w:val="20"/>
                      <w:szCs w:val="20"/>
                      <w:lang w:val="bg-BG"/>
                    </w:rPr>
                    <w:t>1,00</w:t>
                  </w:r>
                </w:p>
              </w:tc>
            </w:tr>
            <w:tr w:rsidR="00D84568" w:rsidRPr="00CD0016" w:rsidTr="00564985">
              <w:trPr>
                <w:trHeight w:hRule="exact" w:val="227"/>
              </w:trPr>
              <w:tc>
                <w:tcPr>
                  <w:tcW w:w="5949" w:type="dxa"/>
                  <w:noWrap/>
                  <w:vAlign w:val="bottom"/>
                </w:tcPr>
                <w:p w:rsidR="00D84568" w:rsidRPr="00CD0016" w:rsidRDefault="00D84568" w:rsidP="003F6B51">
                  <w:pPr>
                    <w:spacing w:after="0"/>
                    <w:jc w:val="right"/>
                    <w:rPr>
                      <w:rFonts w:ascii="Times New Roman" w:hAnsi="Times New Roman" w:cs="Times New Roman"/>
                      <w:color w:val="000000"/>
                      <w:sz w:val="20"/>
                      <w:szCs w:val="20"/>
                      <w:lang w:val="bg-BG" w:eastAsia="bg-BG"/>
                    </w:rPr>
                  </w:pPr>
                </w:p>
              </w:tc>
              <w:tc>
                <w:tcPr>
                  <w:tcW w:w="283" w:type="dxa"/>
                  <w:noWrap/>
                  <w:vAlign w:val="bottom"/>
                </w:tcPr>
                <w:p w:rsidR="00D84568" w:rsidRPr="00CD0016" w:rsidRDefault="00D84568" w:rsidP="003F6B51">
                  <w:pPr>
                    <w:spacing w:after="0"/>
                    <w:rPr>
                      <w:rFonts w:ascii="Times New Roman" w:hAnsi="Times New Roman" w:cs="Times New Roman"/>
                      <w:sz w:val="20"/>
                      <w:szCs w:val="20"/>
                      <w:lang w:val="bg-BG" w:eastAsia="bg-BG"/>
                    </w:rPr>
                  </w:pPr>
                </w:p>
              </w:tc>
              <w:tc>
                <w:tcPr>
                  <w:tcW w:w="2020" w:type="dxa"/>
                  <w:noWrap/>
                  <w:vAlign w:val="bottom"/>
                </w:tcPr>
                <w:p w:rsidR="00D84568" w:rsidRPr="00CD0016" w:rsidRDefault="00D84568" w:rsidP="003F6B51">
                  <w:pPr>
                    <w:spacing w:after="0"/>
                    <w:rPr>
                      <w:rFonts w:ascii="Times New Roman" w:hAnsi="Times New Roman" w:cs="Times New Roman"/>
                      <w:sz w:val="20"/>
                      <w:szCs w:val="20"/>
                      <w:lang w:val="bg-BG" w:eastAsia="bg-BG"/>
                    </w:rPr>
                  </w:pPr>
                </w:p>
              </w:tc>
            </w:tr>
            <w:tr w:rsidR="00D84568" w:rsidRPr="00CD0016" w:rsidTr="00564985">
              <w:trPr>
                <w:trHeight w:val="300"/>
              </w:trPr>
              <w:tc>
                <w:tcPr>
                  <w:tcW w:w="5949" w:type="dxa"/>
                  <w:noWrap/>
                  <w:vAlign w:val="bottom"/>
                </w:tcPr>
                <w:p w:rsidR="00D84568" w:rsidRPr="00CD0016" w:rsidRDefault="00D84568"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Разводняване на 1 акция</w:t>
                  </w:r>
                </w:p>
              </w:tc>
              <w:tc>
                <w:tcPr>
                  <w:tcW w:w="283" w:type="dxa"/>
                  <w:noWrap/>
                  <w:vAlign w:val="bottom"/>
                </w:tcPr>
                <w:p w:rsidR="00D84568" w:rsidRPr="00CD0016" w:rsidRDefault="00D84568" w:rsidP="003F6B51">
                  <w:pPr>
                    <w:spacing w:after="0"/>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 </w:t>
                  </w:r>
                </w:p>
              </w:tc>
              <w:tc>
                <w:tcPr>
                  <w:tcW w:w="2020" w:type="dxa"/>
                  <w:noWrap/>
                  <w:vAlign w:val="bottom"/>
                </w:tcPr>
                <w:p w:rsidR="00D84568" w:rsidRPr="00CD0016" w:rsidRDefault="00D84568" w:rsidP="003F6B51">
                  <w:pPr>
                    <w:spacing w:after="0"/>
                    <w:jc w:val="right"/>
                    <w:rPr>
                      <w:rFonts w:ascii="Times New Roman" w:hAnsi="Times New Roman" w:cs="Times New Roman"/>
                      <w:b/>
                      <w:bCs/>
                      <w:color w:val="000000"/>
                      <w:sz w:val="20"/>
                      <w:szCs w:val="20"/>
                      <w:lang w:val="bg-BG" w:eastAsia="bg-BG"/>
                    </w:rPr>
                  </w:pPr>
                  <w:r w:rsidRPr="00CD0016">
                    <w:rPr>
                      <w:rFonts w:ascii="Times New Roman" w:hAnsi="Times New Roman" w:cs="Times New Roman"/>
                      <w:b/>
                      <w:bCs/>
                      <w:color w:val="000000"/>
                      <w:sz w:val="20"/>
                      <w:szCs w:val="20"/>
                      <w:lang w:val="bg-BG" w:eastAsia="bg-BG"/>
                    </w:rPr>
                    <w:t>няма</w:t>
                  </w:r>
                </w:p>
              </w:tc>
            </w:tr>
          </w:tbl>
          <w:p w:rsidR="00D84568" w:rsidRPr="00CD0016" w:rsidRDefault="00D84568" w:rsidP="003F6B51">
            <w:pPr>
              <w:spacing w:after="0"/>
              <w:jc w:val="both"/>
              <w:rPr>
                <w:rFonts w:ascii="Times New Roman" w:hAnsi="Times New Roman" w:cs="Times New Roman"/>
                <w:i/>
                <w:sz w:val="20"/>
                <w:szCs w:val="20"/>
                <w:lang w:val="bg-BG"/>
              </w:rPr>
            </w:pPr>
            <w:r w:rsidRPr="00CD0016">
              <w:rPr>
                <w:rFonts w:ascii="Times New Roman" w:hAnsi="Times New Roman" w:cs="Times New Roman"/>
                <w:b/>
                <w:i/>
                <w:sz w:val="20"/>
                <w:szCs w:val="20"/>
                <w:lang w:val="bg-BG"/>
              </w:rPr>
              <w:t>Източник:</w:t>
            </w:r>
            <w:r w:rsidRPr="00CD0016">
              <w:rPr>
                <w:rFonts w:ascii="Times New Roman" w:hAnsi="Times New Roman" w:cs="Times New Roman"/>
                <w:i/>
                <w:sz w:val="20"/>
                <w:szCs w:val="20"/>
                <w:lang w:val="bg-BG"/>
              </w:rPr>
              <w:t xml:space="preserve"> Одитиран междинен финансови отчет на „ГЛЕНМООР КЕПИТАЛ“ АДСИЦ към 30.06.2017 г.</w:t>
            </w:r>
          </w:p>
          <w:p w:rsidR="00D84568" w:rsidRPr="00CD0016" w:rsidRDefault="00D84568" w:rsidP="003F6B51">
            <w:pPr>
              <w:spacing w:after="0"/>
              <w:jc w:val="both"/>
              <w:rPr>
                <w:rFonts w:ascii="Times New Roman" w:hAnsi="Times New Roman" w:cs="Times New Roman"/>
                <w:sz w:val="20"/>
                <w:szCs w:val="20"/>
                <w:lang w:val="bg-BG"/>
              </w:rPr>
            </w:pPr>
            <w:bookmarkStart w:id="32" w:name="OLE_LINK79"/>
            <w:r w:rsidRPr="00CD0016">
              <w:rPr>
                <w:rFonts w:ascii="Times New Roman" w:hAnsi="Times New Roman" w:cs="Times New Roman"/>
                <w:sz w:val="20"/>
                <w:szCs w:val="20"/>
                <w:lang w:val="bg-BG"/>
              </w:rPr>
              <w:t>Към 30.06.2017</w:t>
            </w:r>
            <w:r w:rsidRPr="00CD0016">
              <w:rPr>
                <w:rFonts w:ascii="Times New Roman" w:hAnsi="Times New Roman" w:cs="Times New Roman"/>
                <w:i/>
                <w:sz w:val="20"/>
                <w:szCs w:val="20"/>
                <w:lang w:val="bg-BG"/>
              </w:rPr>
              <w:t xml:space="preserve"> </w:t>
            </w:r>
            <w:r w:rsidRPr="00CD0016">
              <w:rPr>
                <w:rFonts w:ascii="Times New Roman" w:hAnsi="Times New Roman" w:cs="Times New Roman"/>
                <w:sz w:val="20"/>
                <w:szCs w:val="20"/>
                <w:lang w:val="bg-BG"/>
              </w:rPr>
              <w:t xml:space="preserve">г. балансовата стойност на нетните активи на “ГЛЕНМООР КЕПИТАЛ” АДСИЦ е 499 хил. лв., разпределени в 500 000 акции. Съответно нетната балансова стойност на акция е 1,00 лв. </w:t>
            </w:r>
          </w:p>
          <w:p w:rsidR="00D84568" w:rsidRPr="00CD0016" w:rsidRDefault="00D84568"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При записване на всички акции от увеличението, нетната балансова стойност на Дружеството ще се увеличи със 150 000  лв. (150 000 нови акции по 1,00 лв., без стойността да се коригира с разходите по емисията) до 650 000  лв., а броят на акциите ще достигне 650 000 акции. Новата нетна балансова стойност на акция ще бъде равна на 1,00 лв. В случая няма разводняване на капитала на Дружеството в резултат на планираното увеличение на капитала.</w:t>
            </w:r>
          </w:p>
          <w:p w:rsidR="00D84568" w:rsidRPr="00CD0016" w:rsidRDefault="00D84568" w:rsidP="003F6B51">
            <w:pPr>
              <w:spacing w:after="0"/>
              <w:jc w:val="both"/>
              <w:rPr>
                <w:rFonts w:ascii="Times New Roman" w:hAnsi="Times New Roman" w:cs="Times New Roman"/>
                <w:sz w:val="20"/>
                <w:szCs w:val="20"/>
                <w:lang w:val="bg-BG"/>
              </w:rPr>
            </w:pPr>
            <w:r w:rsidRPr="00CD0016">
              <w:rPr>
                <w:rFonts w:ascii="Times New Roman" w:hAnsi="Times New Roman" w:cs="Times New Roman"/>
                <w:sz w:val="20"/>
                <w:szCs w:val="20"/>
                <w:lang w:val="bg-BG"/>
              </w:rPr>
              <w:t xml:space="preserve">Не се накърняват интересите на сегашните инвеститори, тъй като емисията се осъществява посредством издаването на права. По този начин всеки желаещ настоящ собственик на акции в “ГЛЕНМООР КЕПИТАЛ” АДСИЦ може да запази досегашния си дял в Дружеството при равностойно третиране на всички акционери. </w:t>
            </w:r>
          </w:p>
          <w:p w:rsidR="00E61C3E" w:rsidRPr="00CD0016" w:rsidRDefault="00D84568" w:rsidP="003F6B51">
            <w:pPr>
              <w:spacing w:after="0"/>
              <w:jc w:val="both"/>
              <w:rPr>
                <w:rFonts w:ascii="Times New Roman" w:eastAsia="Calibri" w:hAnsi="Times New Roman" w:cs="Times New Roman"/>
                <w:sz w:val="20"/>
                <w:szCs w:val="20"/>
                <w:lang w:val="bg-BG"/>
              </w:rPr>
            </w:pPr>
            <w:bookmarkStart w:id="33" w:name="OLE_LINK84"/>
            <w:bookmarkEnd w:id="32"/>
            <w:r w:rsidRPr="00CD0016">
              <w:rPr>
                <w:rFonts w:ascii="Times New Roman" w:hAnsi="Times New Roman" w:cs="Times New Roman"/>
                <w:sz w:val="20"/>
                <w:szCs w:val="20"/>
                <w:lang w:val="bg-BG"/>
              </w:rPr>
              <w:t>Посоченият случай е хипотетичен и всеки желаещ собственик на акции в “ГЛЕНМООР КЕПИТАЛ” АДСИЦ може да запази досегашния си дял от капитала на Дружеството при равностойно третиране на всички акционери. В случай че не упражнят полагащите им се права, настоящите акционери ще бъдат компенсирани за разводняването на техния дял от капитала с постъпленията от продажбата на техните права на явния аукцион.</w:t>
            </w:r>
            <w:bookmarkEnd w:id="33"/>
          </w:p>
        </w:tc>
      </w:tr>
      <w:tr w:rsidR="00773CF8" w:rsidRPr="00CD0016" w:rsidTr="00C057E1">
        <w:trPr>
          <w:trHeight w:val="275"/>
        </w:trPr>
        <w:tc>
          <w:tcPr>
            <w:tcW w:w="647" w:type="dxa"/>
            <w:tcBorders>
              <w:bottom w:val="single" w:sz="4" w:space="0" w:color="auto"/>
            </w:tcBorders>
          </w:tcPr>
          <w:p w:rsidR="00773CF8" w:rsidRPr="00CD0016" w:rsidRDefault="00582800" w:rsidP="003F6B51">
            <w:pPr>
              <w:spacing w:after="0"/>
              <w:rPr>
                <w:rFonts w:ascii="Times New Roman" w:hAnsi="Times New Roman" w:cs="Times New Roman"/>
                <w:sz w:val="20"/>
                <w:szCs w:val="20"/>
                <w:lang w:val="bg-BG"/>
              </w:rPr>
            </w:pPr>
            <w:r w:rsidRPr="00CD0016">
              <w:rPr>
                <w:rFonts w:ascii="Times New Roman" w:hAnsi="Times New Roman" w:cs="Times New Roman"/>
                <w:sz w:val="20"/>
                <w:szCs w:val="20"/>
                <w:lang w:val="bg-BG"/>
              </w:rPr>
              <w:lastRenderedPageBreak/>
              <w:t>Д.7</w:t>
            </w:r>
          </w:p>
        </w:tc>
        <w:tc>
          <w:tcPr>
            <w:tcW w:w="10268" w:type="dxa"/>
            <w:shd w:val="clear" w:color="auto" w:fill="auto"/>
          </w:tcPr>
          <w:p w:rsidR="00773CF8" w:rsidRPr="00CD0016" w:rsidRDefault="00D84568" w:rsidP="003F6B51">
            <w:pPr>
              <w:spacing w:after="0"/>
              <w:jc w:val="both"/>
              <w:rPr>
                <w:rFonts w:ascii="Times New Roman" w:eastAsia="Calibri" w:hAnsi="Times New Roman" w:cs="Times New Roman"/>
                <w:sz w:val="20"/>
                <w:szCs w:val="20"/>
                <w:lang w:val="bg-BG"/>
              </w:rPr>
            </w:pPr>
            <w:bookmarkStart w:id="34" w:name="OLE_LINK47"/>
            <w:bookmarkStart w:id="35" w:name="OLE_LINK48"/>
            <w:r w:rsidRPr="00CD0016">
              <w:rPr>
                <w:rFonts w:ascii="Times New Roman" w:hAnsi="Times New Roman" w:cs="Times New Roman"/>
                <w:sz w:val="20"/>
                <w:szCs w:val="20"/>
                <w:lang w:val="bg-BG"/>
              </w:rPr>
              <w:t>Инвеститорите поемат за своя сметка разходите за такси и комисиони на инвестиционния посредник, разплащателните институции, „Българска фондова борса – София” АД, „Централен депозитар” АД, свързани със закупуването на правата и записването на акциите на “ГЛЕНМООР КЕПИТАЛ” АДСИЦ.</w:t>
            </w:r>
            <w:bookmarkEnd w:id="34"/>
            <w:bookmarkEnd w:id="35"/>
          </w:p>
        </w:tc>
      </w:tr>
    </w:tbl>
    <w:p w:rsidR="00A96623" w:rsidRPr="00CD0016" w:rsidRDefault="00A96623" w:rsidP="00A96623">
      <w:pPr>
        <w:spacing w:after="0"/>
        <w:rPr>
          <w:rFonts w:ascii="Times New Roman" w:hAnsi="Times New Roman" w:cs="Times New Roman"/>
          <w:lang w:val="bg-BG"/>
        </w:rPr>
        <w:sectPr w:rsidR="00A96623" w:rsidRPr="00CD0016" w:rsidSect="00C86F52">
          <w:headerReference w:type="default" r:id="rId8"/>
          <w:footerReference w:type="default" r:id="rId9"/>
          <w:pgSz w:w="12240" w:h="15840"/>
          <w:pgMar w:top="1440" w:right="1440" w:bottom="1440" w:left="1440" w:header="720" w:footer="720" w:gutter="0"/>
          <w:cols w:space="720"/>
          <w:docGrid w:linePitch="360"/>
        </w:sectPr>
      </w:pPr>
    </w:p>
    <w:p w:rsidR="00A101D4" w:rsidRPr="00CD0016" w:rsidRDefault="00A101D4" w:rsidP="00A101D4">
      <w:pPr>
        <w:pStyle w:val="Heading1"/>
        <w:spacing w:before="0"/>
        <w:rPr>
          <w:rFonts w:ascii="Times New Roman" w:hAnsi="Times New Roman"/>
          <w:color w:val="auto"/>
          <w:sz w:val="24"/>
          <w:szCs w:val="24"/>
          <w:lang w:val="bg-BG"/>
        </w:rPr>
      </w:pPr>
      <w:bookmarkStart w:id="36" w:name="_Toc185677715"/>
      <w:bookmarkStart w:id="37" w:name="_Toc212621658"/>
      <w:bookmarkStart w:id="38" w:name="_Toc288658386"/>
      <w:bookmarkStart w:id="39" w:name="_Toc288669819"/>
      <w:bookmarkStart w:id="40" w:name="_Toc485902798"/>
      <w:bookmarkEnd w:id="36"/>
      <w:bookmarkEnd w:id="37"/>
      <w:bookmarkEnd w:id="38"/>
      <w:bookmarkEnd w:id="39"/>
      <w:r w:rsidRPr="00CD0016">
        <w:rPr>
          <w:rFonts w:ascii="Times New Roman" w:hAnsi="Times New Roman"/>
          <w:color w:val="auto"/>
          <w:sz w:val="24"/>
          <w:szCs w:val="24"/>
          <w:lang w:val="bg-BG"/>
        </w:rPr>
        <w:lastRenderedPageBreak/>
        <w:t>ПРИЛОЖЕНИЕ № 1</w:t>
      </w:r>
      <w:bookmarkEnd w:id="40"/>
    </w:p>
    <w:p w:rsidR="00A101D4" w:rsidRPr="00CD0016" w:rsidRDefault="00A101D4" w:rsidP="00A101D4">
      <w:pPr>
        <w:pStyle w:val="Normalen"/>
        <w:rPr>
          <w:rFonts w:ascii="Times New Roman" w:hAnsi="Times New Roman"/>
        </w:rPr>
      </w:pPr>
    </w:p>
    <w:p w:rsidR="00A101D4" w:rsidRPr="00CD0016" w:rsidRDefault="00A101D4" w:rsidP="00A101D4">
      <w:pPr>
        <w:pStyle w:val="Normalen"/>
        <w:jc w:val="center"/>
        <w:rPr>
          <w:rFonts w:ascii="Times New Roman" w:hAnsi="Times New Roman"/>
          <w:b/>
          <w:sz w:val="22"/>
          <w:szCs w:val="22"/>
        </w:rPr>
      </w:pPr>
      <w:r w:rsidRPr="00CD0016">
        <w:rPr>
          <w:rFonts w:ascii="Times New Roman" w:hAnsi="Times New Roman"/>
          <w:b/>
          <w:sz w:val="22"/>
          <w:szCs w:val="22"/>
        </w:rPr>
        <w:t xml:space="preserve">ИЗГОТВИЛИ </w:t>
      </w:r>
      <w:r w:rsidR="00356A3C">
        <w:rPr>
          <w:rFonts w:ascii="Times New Roman" w:hAnsi="Times New Roman"/>
          <w:b/>
          <w:sz w:val="22"/>
          <w:szCs w:val="22"/>
        </w:rPr>
        <w:t>РЕЗЮМЕТО НА ПРОСПЕКТА</w:t>
      </w:r>
      <w:r w:rsidRPr="00CD0016">
        <w:rPr>
          <w:rFonts w:ascii="Times New Roman" w:hAnsi="Times New Roman"/>
          <w:b/>
          <w:sz w:val="22"/>
          <w:szCs w:val="22"/>
        </w:rPr>
        <w:t>:</w:t>
      </w:r>
    </w:p>
    <w:p w:rsidR="00A101D4" w:rsidRPr="00CD0016" w:rsidRDefault="00A101D4" w:rsidP="00A101D4">
      <w:pPr>
        <w:pStyle w:val="Normalen"/>
        <w:rPr>
          <w:rFonts w:ascii="Times New Roman" w:hAnsi="Times New Roman"/>
          <w:sz w:val="22"/>
          <w:szCs w:val="22"/>
        </w:rPr>
      </w:pPr>
    </w:p>
    <w:p w:rsidR="00A101D4" w:rsidRPr="00CD0016" w:rsidRDefault="00A101D4" w:rsidP="00A101D4">
      <w:pPr>
        <w:pStyle w:val="Normalen"/>
        <w:rPr>
          <w:rFonts w:ascii="Times New Roman" w:hAnsi="Times New Roman"/>
          <w:sz w:val="22"/>
          <w:szCs w:val="22"/>
        </w:rPr>
      </w:pPr>
    </w:p>
    <w:tbl>
      <w:tblPr>
        <w:tblW w:w="9498" w:type="dxa"/>
        <w:jc w:val="center"/>
        <w:tblLook w:val="00A0" w:firstRow="1" w:lastRow="0" w:firstColumn="1" w:lastColumn="0" w:noHBand="0" w:noVBand="0"/>
      </w:tblPr>
      <w:tblGrid>
        <w:gridCol w:w="2955"/>
        <w:gridCol w:w="275"/>
        <w:gridCol w:w="2999"/>
        <w:gridCol w:w="275"/>
        <w:gridCol w:w="2994"/>
      </w:tblGrid>
      <w:tr w:rsidR="00A101D4" w:rsidRPr="00CD0016" w:rsidTr="00DB7D7D">
        <w:trPr>
          <w:jc w:val="center"/>
        </w:trPr>
        <w:tc>
          <w:tcPr>
            <w:tcW w:w="2835" w:type="dxa"/>
            <w:tcBorders>
              <w:bottom w:val="single" w:sz="4" w:space="0" w:color="auto"/>
            </w:tcBorders>
          </w:tcPr>
          <w:p w:rsidR="00A101D4" w:rsidRPr="00CD0016" w:rsidRDefault="00A101D4" w:rsidP="00DB7D7D">
            <w:pPr>
              <w:pStyle w:val="Normalen"/>
              <w:spacing w:after="60"/>
              <w:jc w:val="center"/>
              <w:rPr>
                <w:rFonts w:ascii="Times New Roman" w:hAnsi="Times New Roman"/>
                <w:sz w:val="22"/>
                <w:szCs w:val="22"/>
              </w:rPr>
            </w:pPr>
          </w:p>
        </w:tc>
        <w:tc>
          <w:tcPr>
            <w:tcW w:w="284" w:type="dxa"/>
          </w:tcPr>
          <w:p w:rsidR="00A101D4" w:rsidRPr="00CD0016" w:rsidRDefault="00A101D4" w:rsidP="00DB7D7D">
            <w:pPr>
              <w:pStyle w:val="Normalen"/>
              <w:spacing w:after="60"/>
              <w:jc w:val="center"/>
              <w:rPr>
                <w:rFonts w:ascii="Times New Roman" w:hAnsi="Times New Roman"/>
                <w:sz w:val="22"/>
                <w:szCs w:val="22"/>
              </w:rPr>
            </w:pPr>
          </w:p>
        </w:tc>
        <w:tc>
          <w:tcPr>
            <w:tcW w:w="3232" w:type="dxa"/>
            <w:tcBorders>
              <w:bottom w:val="single" w:sz="4" w:space="0" w:color="auto"/>
            </w:tcBorders>
          </w:tcPr>
          <w:p w:rsidR="00A101D4" w:rsidRPr="00CD0016" w:rsidRDefault="00A101D4" w:rsidP="00DB7D7D">
            <w:pPr>
              <w:pStyle w:val="Normalen"/>
              <w:spacing w:after="60"/>
              <w:jc w:val="center"/>
              <w:rPr>
                <w:rFonts w:ascii="Times New Roman" w:hAnsi="Times New Roman"/>
                <w:sz w:val="22"/>
                <w:szCs w:val="22"/>
              </w:rPr>
            </w:pPr>
          </w:p>
        </w:tc>
        <w:tc>
          <w:tcPr>
            <w:tcW w:w="284" w:type="dxa"/>
          </w:tcPr>
          <w:p w:rsidR="00A101D4" w:rsidRPr="00CD0016" w:rsidRDefault="00A101D4" w:rsidP="00DB7D7D">
            <w:pPr>
              <w:pStyle w:val="Normalen"/>
              <w:spacing w:after="60"/>
              <w:jc w:val="center"/>
              <w:rPr>
                <w:rFonts w:ascii="Times New Roman" w:hAnsi="Times New Roman"/>
                <w:sz w:val="22"/>
                <w:szCs w:val="22"/>
              </w:rPr>
            </w:pPr>
          </w:p>
        </w:tc>
        <w:tc>
          <w:tcPr>
            <w:tcW w:w="3232" w:type="dxa"/>
            <w:tcBorders>
              <w:bottom w:val="single" w:sz="4" w:space="0" w:color="auto"/>
            </w:tcBorders>
          </w:tcPr>
          <w:p w:rsidR="00A101D4" w:rsidRPr="00CD0016" w:rsidRDefault="00A101D4" w:rsidP="00DB7D7D">
            <w:pPr>
              <w:pStyle w:val="Normalen"/>
              <w:spacing w:after="60"/>
              <w:jc w:val="center"/>
              <w:rPr>
                <w:rFonts w:ascii="Times New Roman" w:hAnsi="Times New Roman"/>
                <w:b/>
                <w:sz w:val="22"/>
                <w:szCs w:val="22"/>
              </w:rPr>
            </w:pPr>
          </w:p>
        </w:tc>
      </w:tr>
      <w:tr w:rsidR="00A101D4" w:rsidRPr="00CD0016" w:rsidTr="00DB7D7D">
        <w:trPr>
          <w:jc w:val="center"/>
        </w:trPr>
        <w:tc>
          <w:tcPr>
            <w:tcW w:w="3232" w:type="dxa"/>
            <w:tcBorders>
              <w:top w:val="single" w:sz="4" w:space="0" w:color="auto"/>
            </w:tcBorders>
          </w:tcPr>
          <w:p w:rsidR="00A101D4" w:rsidRPr="00CD0016" w:rsidRDefault="00363223" w:rsidP="00DB7D7D">
            <w:pPr>
              <w:pStyle w:val="Normalen"/>
              <w:spacing w:before="60"/>
              <w:jc w:val="center"/>
              <w:rPr>
                <w:rFonts w:ascii="Times New Roman" w:hAnsi="Times New Roman"/>
                <w:sz w:val="22"/>
                <w:szCs w:val="22"/>
              </w:rPr>
            </w:pPr>
            <w:r w:rsidRPr="00363223">
              <w:rPr>
                <w:rFonts w:ascii="Times New Roman" w:hAnsi="Times New Roman"/>
                <w:b/>
                <w:sz w:val="22"/>
                <w:szCs w:val="22"/>
              </w:rPr>
              <w:t xml:space="preserve">Владимир Малчев </w:t>
            </w:r>
            <w:r w:rsidR="00A101D4" w:rsidRPr="00CD0016">
              <w:rPr>
                <w:rFonts w:ascii="Times New Roman" w:hAnsi="Times New Roman"/>
                <w:sz w:val="22"/>
                <w:szCs w:val="22"/>
              </w:rPr>
              <w:t>Управител на ИП „ЪП ТРЕНД“ ООД</w:t>
            </w:r>
          </w:p>
        </w:tc>
        <w:tc>
          <w:tcPr>
            <w:tcW w:w="284" w:type="dxa"/>
          </w:tcPr>
          <w:p w:rsidR="00A101D4" w:rsidRPr="00CD0016" w:rsidRDefault="00A101D4" w:rsidP="00DB7D7D">
            <w:pPr>
              <w:pStyle w:val="Normalen"/>
              <w:spacing w:before="60"/>
              <w:rPr>
                <w:rFonts w:ascii="Times New Roman" w:hAnsi="Times New Roman"/>
                <w:sz w:val="22"/>
                <w:szCs w:val="22"/>
              </w:rPr>
            </w:pPr>
          </w:p>
        </w:tc>
        <w:tc>
          <w:tcPr>
            <w:tcW w:w="3232" w:type="dxa"/>
            <w:tcBorders>
              <w:top w:val="single" w:sz="4" w:space="0" w:color="auto"/>
            </w:tcBorders>
          </w:tcPr>
          <w:p w:rsidR="00A101D4" w:rsidRPr="00CD0016" w:rsidRDefault="00A101D4" w:rsidP="00DB7D7D">
            <w:pPr>
              <w:pStyle w:val="Normalen"/>
              <w:spacing w:before="60"/>
              <w:jc w:val="center"/>
              <w:rPr>
                <w:rFonts w:ascii="Times New Roman" w:hAnsi="Times New Roman"/>
                <w:sz w:val="22"/>
                <w:szCs w:val="22"/>
              </w:rPr>
            </w:pPr>
            <w:r w:rsidRPr="00CD0016">
              <w:rPr>
                <w:rFonts w:ascii="Times New Roman" w:hAnsi="Times New Roman"/>
                <w:b/>
                <w:sz w:val="22"/>
                <w:szCs w:val="22"/>
              </w:rPr>
              <w:t xml:space="preserve">Гергана Маринова </w:t>
            </w:r>
            <w:r w:rsidRPr="00CD0016">
              <w:rPr>
                <w:rFonts w:ascii="Times New Roman" w:hAnsi="Times New Roman"/>
                <w:sz w:val="22"/>
                <w:szCs w:val="22"/>
              </w:rPr>
              <w:t>Изпълнителен директор на “ГЛЕНМООР КЕПИТАЛ” АДСИЦ</w:t>
            </w:r>
          </w:p>
        </w:tc>
        <w:tc>
          <w:tcPr>
            <w:tcW w:w="284" w:type="dxa"/>
          </w:tcPr>
          <w:p w:rsidR="00A101D4" w:rsidRPr="00CD0016" w:rsidRDefault="00A101D4" w:rsidP="00DB7D7D">
            <w:pPr>
              <w:pStyle w:val="Normalen"/>
              <w:spacing w:before="60"/>
              <w:rPr>
                <w:rFonts w:ascii="Times New Roman" w:hAnsi="Times New Roman"/>
                <w:sz w:val="22"/>
                <w:szCs w:val="22"/>
              </w:rPr>
            </w:pPr>
          </w:p>
        </w:tc>
        <w:tc>
          <w:tcPr>
            <w:tcW w:w="3232" w:type="dxa"/>
            <w:tcBorders>
              <w:top w:val="single" w:sz="4" w:space="0" w:color="auto"/>
            </w:tcBorders>
          </w:tcPr>
          <w:p w:rsidR="00A101D4" w:rsidRPr="00CD0016" w:rsidRDefault="00A101D4" w:rsidP="00DB7D7D">
            <w:pPr>
              <w:pStyle w:val="Normalen"/>
              <w:spacing w:before="60"/>
              <w:jc w:val="center"/>
              <w:rPr>
                <w:rFonts w:ascii="Times New Roman" w:hAnsi="Times New Roman"/>
                <w:sz w:val="22"/>
                <w:szCs w:val="22"/>
              </w:rPr>
            </w:pPr>
            <w:r w:rsidRPr="00CD0016">
              <w:rPr>
                <w:rFonts w:ascii="Times New Roman" w:hAnsi="Times New Roman"/>
                <w:b/>
                <w:sz w:val="22"/>
                <w:szCs w:val="22"/>
              </w:rPr>
              <w:t xml:space="preserve">Валентина Димитрова </w:t>
            </w:r>
            <w:r w:rsidRPr="00CD0016">
              <w:rPr>
                <w:rFonts w:ascii="Times New Roman" w:hAnsi="Times New Roman"/>
                <w:sz w:val="22"/>
                <w:szCs w:val="22"/>
              </w:rPr>
              <w:t>Съставител на финансовите отчети на “ГЛЕНМООР КЕПИТАЛ” АДСИЦ</w:t>
            </w:r>
          </w:p>
        </w:tc>
      </w:tr>
    </w:tbl>
    <w:p w:rsidR="00A101D4" w:rsidRPr="00CD0016" w:rsidRDefault="00A101D4" w:rsidP="00A101D4">
      <w:pPr>
        <w:pStyle w:val="Normalen"/>
        <w:jc w:val="left"/>
        <w:rPr>
          <w:rFonts w:ascii="Times New Roman" w:hAnsi="Times New Roman"/>
          <w:sz w:val="22"/>
          <w:szCs w:val="22"/>
        </w:rPr>
      </w:pPr>
      <w:r w:rsidRPr="00CD0016">
        <w:rPr>
          <w:rFonts w:ascii="Times New Roman" w:hAnsi="Times New Roman"/>
          <w:sz w:val="22"/>
          <w:szCs w:val="22"/>
        </w:rPr>
        <w:tab/>
      </w:r>
      <w:r w:rsidRPr="00CD0016">
        <w:rPr>
          <w:rFonts w:ascii="Times New Roman" w:hAnsi="Times New Roman"/>
          <w:sz w:val="22"/>
          <w:szCs w:val="22"/>
        </w:rPr>
        <w:tab/>
      </w:r>
      <w:r w:rsidRPr="00CD0016">
        <w:rPr>
          <w:rFonts w:ascii="Times New Roman" w:hAnsi="Times New Roman"/>
          <w:sz w:val="22"/>
          <w:szCs w:val="22"/>
        </w:rPr>
        <w:tab/>
      </w:r>
      <w:r w:rsidRPr="00CD0016">
        <w:rPr>
          <w:rFonts w:ascii="Times New Roman" w:hAnsi="Times New Roman"/>
          <w:sz w:val="22"/>
          <w:szCs w:val="22"/>
        </w:rPr>
        <w:tab/>
      </w:r>
      <w:r w:rsidRPr="00CD0016">
        <w:rPr>
          <w:rFonts w:ascii="Times New Roman" w:hAnsi="Times New Roman"/>
          <w:sz w:val="22"/>
          <w:szCs w:val="22"/>
        </w:rPr>
        <w:tab/>
      </w:r>
      <w:r w:rsidRPr="00CD0016">
        <w:rPr>
          <w:rFonts w:ascii="Times New Roman" w:hAnsi="Times New Roman"/>
          <w:sz w:val="22"/>
          <w:szCs w:val="22"/>
        </w:rPr>
        <w:tab/>
      </w:r>
    </w:p>
    <w:p w:rsidR="00A101D4" w:rsidRPr="00CD0016" w:rsidRDefault="00A101D4" w:rsidP="00A101D4">
      <w:pPr>
        <w:pStyle w:val="Normalen"/>
        <w:rPr>
          <w:rFonts w:ascii="Times New Roman" w:hAnsi="Times New Roman"/>
        </w:rPr>
      </w:pPr>
    </w:p>
    <w:p w:rsidR="00A101D4" w:rsidRPr="00CD0016" w:rsidRDefault="00A101D4" w:rsidP="00A101D4">
      <w:pPr>
        <w:pStyle w:val="Normalen"/>
        <w:jc w:val="center"/>
        <w:rPr>
          <w:rFonts w:ascii="Times New Roman" w:hAnsi="Times New Roman"/>
          <w:b/>
        </w:rPr>
      </w:pPr>
      <w:r w:rsidRPr="00CD0016">
        <w:rPr>
          <w:rFonts w:ascii="Times New Roman" w:hAnsi="Times New Roman"/>
          <w:b/>
        </w:rPr>
        <w:t>ДЕКЛАРАЦИЯ</w:t>
      </w:r>
    </w:p>
    <w:p w:rsidR="00A101D4" w:rsidRPr="00CD0016" w:rsidRDefault="00A101D4" w:rsidP="00A101D4">
      <w:pPr>
        <w:pStyle w:val="Normalen"/>
        <w:rPr>
          <w:rFonts w:ascii="Times New Roman" w:hAnsi="Times New Roman"/>
        </w:rPr>
      </w:pPr>
    </w:p>
    <w:p w:rsidR="00A101D4" w:rsidRPr="00CD0016" w:rsidRDefault="00A101D4" w:rsidP="00A101D4">
      <w:pPr>
        <w:pStyle w:val="Normalen"/>
        <w:ind w:firstLine="720"/>
        <w:rPr>
          <w:rFonts w:ascii="Times New Roman" w:hAnsi="Times New Roman"/>
        </w:rPr>
      </w:pPr>
      <w:r w:rsidRPr="00CD0016">
        <w:rPr>
          <w:rFonts w:ascii="Times New Roman" w:hAnsi="Times New Roman"/>
        </w:rPr>
        <w:t>Долуподписаните:</w:t>
      </w:r>
    </w:p>
    <w:p w:rsidR="00A101D4" w:rsidRPr="00CD0016" w:rsidRDefault="00A101D4" w:rsidP="00A101D4">
      <w:pPr>
        <w:pStyle w:val="Normalen"/>
        <w:ind w:firstLine="720"/>
        <w:rPr>
          <w:rFonts w:ascii="Times New Roman" w:hAnsi="Times New Roman"/>
        </w:rPr>
      </w:pPr>
    </w:p>
    <w:p w:rsidR="00A101D4" w:rsidRPr="00CD0016" w:rsidRDefault="00A101D4" w:rsidP="00A101D4">
      <w:pPr>
        <w:pStyle w:val="Normalen"/>
        <w:ind w:firstLine="720"/>
        <w:rPr>
          <w:rFonts w:ascii="Times New Roman" w:hAnsi="Times New Roman"/>
        </w:rPr>
      </w:pPr>
      <w:r w:rsidRPr="00CD0016">
        <w:rPr>
          <w:rFonts w:ascii="Times New Roman" w:hAnsi="Times New Roman"/>
          <w:b/>
        </w:rPr>
        <w:t xml:space="preserve">Гергана Атанасова Маринова – </w:t>
      </w:r>
      <w:r w:rsidRPr="00CD0016">
        <w:rPr>
          <w:rFonts w:ascii="Times New Roman" w:hAnsi="Times New Roman"/>
        </w:rPr>
        <w:t>в качеството си на Изпълнителен директор и представляващ “ГЛЕНМООР КЕПИТАЛ” АДСИЦ,</w:t>
      </w:r>
    </w:p>
    <w:p w:rsidR="00A101D4" w:rsidRPr="00CD0016" w:rsidRDefault="00363223" w:rsidP="00A101D4">
      <w:pPr>
        <w:pStyle w:val="Normalen"/>
        <w:ind w:firstLine="720"/>
        <w:rPr>
          <w:rFonts w:ascii="Times New Roman" w:hAnsi="Times New Roman"/>
        </w:rPr>
      </w:pPr>
      <w:r w:rsidRPr="00363223">
        <w:rPr>
          <w:rFonts w:ascii="Times New Roman" w:hAnsi="Times New Roman"/>
          <w:b/>
        </w:rPr>
        <w:t xml:space="preserve">Владимир Малчев Малчев </w:t>
      </w:r>
      <w:r w:rsidR="00A101D4" w:rsidRPr="00CD0016">
        <w:rPr>
          <w:rFonts w:ascii="Times New Roman" w:hAnsi="Times New Roman"/>
        </w:rPr>
        <w:t>– в качеството си на Управител и представляващ ИП „ЪП ТРЕНД” ООД,</w:t>
      </w:r>
    </w:p>
    <w:p w:rsidR="00A101D4" w:rsidRPr="00CD0016" w:rsidRDefault="00A101D4" w:rsidP="00A101D4">
      <w:pPr>
        <w:pStyle w:val="Normalen"/>
        <w:ind w:firstLine="720"/>
        <w:rPr>
          <w:rFonts w:ascii="Times New Roman" w:hAnsi="Times New Roman"/>
        </w:rPr>
      </w:pPr>
      <w:r w:rsidRPr="00CD0016">
        <w:rPr>
          <w:rFonts w:ascii="Times New Roman" w:hAnsi="Times New Roman"/>
          <w:b/>
        </w:rPr>
        <w:t xml:space="preserve">Декларираме, че </w:t>
      </w:r>
      <w:r w:rsidR="00356A3C">
        <w:rPr>
          <w:rFonts w:ascii="Times New Roman" w:hAnsi="Times New Roman"/>
          <w:b/>
        </w:rPr>
        <w:t>Резюмето на проспекта</w:t>
      </w:r>
      <w:r w:rsidRPr="00CD0016">
        <w:rPr>
          <w:rFonts w:ascii="Times New Roman" w:hAnsi="Times New Roman"/>
          <w:b/>
        </w:rPr>
        <w:t xml:space="preserve"> отговаря на изискванията на закона. </w:t>
      </w:r>
    </w:p>
    <w:p w:rsidR="00A101D4" w:rsidRPr="00CD0016" w:rsidRDefault="00A101D4" w:rsidP="00A101D4">
      <w:pPr>
        <w:pStyle w:val="Normalen"/>
        <w:rPr>
          <w:rFonts w:ascii="Times New Roman" w:hAnsi="Times New Roman"/>
        </w:rPr>
      </w:pPr>
    </w:p>
    <w:p w:rsidR="00A101D4" w:rsidRPr="00CD0016" w:rsidRDefault="00A101D4" w:rsidP="00A101D4">
      <w:pPr>
        <w:pStyle w:val="Normalen"/>
        <w:ind w:left="720"/>
        <w:jc w:val="left"/>
        <w:rPr>
          <w:rFonts w:ascii="Times New Roman" w:hAnsi="Times New Roman"/>
          <w:b/>
        </w:rPr>
      </w:pPr>
      <w:r w:rsidRPr="00CD0016">
        <w:rPr>
          <w:rFonts w:ascii="Times New Roman" w:hAnsi="Times New Roman"/>
          <w:b/>
        </w:rPr>
        <w:t>За “ГЛЕНМООР КЕПИТАЛ” АДСИЦ:</w:t>
      </w:r>
    </w:p>
    <w:p w:rsidR="00A101D4" w:rsidRPr="00CD0016" w:rsidRDefault="00A101D4" w:rsidP="00A101D4">
      <w:pPr>
        <w:pStyle w:val="Normalen"/>
        <w:jc w:val="left"/>
        <w:rPr>
          <w:rFonts w:ascii="Times New Roman" w:hAnsi="Times New Roman"/>
        </w:rPr>
      </w:pPr>
    </w:p>
    <w:p w:rsidR="00A101D4" w:rsidRPr="00CD0016" w:rsidRDefault="00A101D4" w:rsidP="00A101D4">
      <w:pPr>
        <w:pStyle w:val="Normalen"/>
        <w:ind w:left="720"/>
        <w:rPr>
          <w:rFonts w:ascii="Times New Roman" w:hAnsi="Times New Roman"/>
        </w:rPr>
      </w:pPr>
      <w:r w:rsidRPr="00CD0016">
        <w:rPr>
          <w:rFonts w:ascii="Times New Roman" w:hAnsi="Times New Roman"/>
        </w:rPr>
        <w:t>________________________</w:t>
      </w:r>
    </w:p>
    <w:p w:rsidR="00A101D4" w:rsidRPr="00CD0016" w:rsidRDefault="00A101D4" w:rsidP="00A101D4">
      <w:pPr>
        <w:pStyle w:val="Normalen"/>
        <w:ind w:left="720"/>
        <w:rPr>
          <w:rFonts w:ascii="Times New Roman" w:hAnsi="Times New Roman"/>
          <w:b/>
        </w:rPr>
      </w:pPr>
      <w:r w:rsidRPr="00CD0016">
        <w:rPr>
          <w:rFonts w:ascii="Times New Roman" w:hAnsi="Times New Roman"/>
          <w:b/>
        </w:rPr>
        <w:t xml:space="preserve">Гергана Атанасова Маринова, </w:t>
      </w:r>
    </w:p>
    <w:p w:rsidR="00A101D4" w:rsidRPr="00CD0016" w:rsidRDefault="00A101D4" w:rsidP="00A101D4">
      <w:pPr>
        <w:pStyle w:val="Normalen"/>
        <w:ind w:firstLine="720"/>
        <w:jc w:val="left"/>
        <w:rPr>
          <w:rFonts w:ascii="Times New Roman" w:hAnsi="Times New Roman"/>
        </w:rPr>
      </w:pPr>
      <w:r w:rsidRPr="00CD0016">
        <w:rPr>
          <w:rFonts w:ascii="Times New Roman" w:hAnsi="Times New Roman"/>
        </w:rPr>
        <w:t>Изпълнителен директор</w:t>
      </w:r>
    </w:p>
    <w:p w:rsidR="00A101D4" w:rsidRPr="00CD0016" w:rsidRDefault="00A101D4" w:rsidP="00A101D4">
      <w:pPr>
        <w:pStyle w:val="Normalen"/>
        <w:ind w:left="720"/>
        <w:rPr>
          <w:rFonts w:ascii="Times New Roman" w:hAnsi="Times New Roman"/>
        </w:rPr>
      </w:pPr>
      <w:r w:rsidRPr="00CD0016">
        <w:rPr>
          <w:rFonts w:ascii="Times New Roman" w:hAnsi="Times New Roman"/>
        </w:rPr>
        <w:t>на “ГЛЕНМООР КЕПИТАЛ” АДСИЦ</w:t>
      </w:r>
    </w:p>
    <w:p w:rsidR="00A101D4" w:rsidRPr="00CD0016" w:rsidRDefault="00A101D4" w:rsidP="00A101D4">
      <w:pPr>
        <w:pStyle w:val="Normalen"/>
        <w:rPr>
          <w:rFonts w:ascii="Times New Roman" w:hAnsi="Times New Roman"/>
        </w:rPr>
      </w:pPr>
    </w:p>
    <w:p w:rsidR="00A101D4" w:rsidRPr="00CD0016" w:rsidRDefault="00A101D4" w:rsidP="00A101D4">
      <w:pPr>
        <w:pStyle w:val="Normalen"/>
        <w:rPr>
          <w:rFonts w:ascii="Times New Roman" w:hAnsi="Times New Roman"/>
        </w:rPr>
      </w:pPr>
    </w:p>
    <w:p w:rsidR="00A101D4" w:rsidRPr="00CD0016" w:rsidRDefault="00A101D4" w:rsidP="00A101D4">
      <w:pPr>
        <w:pStyle w:val="Normalen"/>
        <w:ind w:left="720"/>
        <w:jc w:val="left"/>
        <w:rPr>
          <w:rFonts w:ascii="Times New Roman" w:hAnsi="Times New Roman"/>
          <w:b/>
        </w:rPr>
      </w:pPr>
      <w:r w:rsidRPr="00CD0016">
        <w:rPr>
          <w:rFonts w:ascii="Times New Roman" w:hAnsi="Times New Roman"/>
          <w:b/>
        </w:rPr>
        <w:t>За „ЪП ТРЕНД” ООД:</w:t>
      </w:r>
    </w:p>
    <w:p w:rsidR="00A101D4" w:rsidRPr="00CD0016" w:rsidRDefault="00A101D4" w:rsidP="00A101D4">
      <w:pPr>
        <w:pStyle w:val="Normalen"/>
        <w:ind w:left="720"/>
        <w:jc w:val="left"/>
        <w:rPr>
          <w:rFonts w:ascii="Times New Roman" w:hAnsi="Times New Roman"/>
        </w:rPr>
      </w:pPr>
    </w:p>
    <w:p w:rsidR="00A101D4" w:rsidRPr="00CD0016" w:rsidRDefault="00A101D4" w:rsidP="00A101D4">
      <w:pPr>
        <w:pStyle w:val="Normalen"/>
        <w:ind w:left="720"/>
        <w:rPr>
          <w:rFonts w:ascii="Times New Roman" w:hAnsi="Times New Roman"/>
        </w:rPr>
      </w:pPr>
      <w:r w:rsidRPr="00CD0016">
        <w:rPr>
          <w:rFonts w:ascii="Times New Roman" w:hAnsi="Times New Roman"/>
        </w:rPr>
        <w:t>________________________</w:t>
      </w:r>
      <w:r w:rsidRPr="00CD0016">
        <w:rPr>
          <w:rFonts w:ascii="Times New Roman" w:hAnsi="Times New Roman"/>
        </w:rPr>
        <w:tab/>
      </w:r>
      <w:r w:rsidRPr="00CD0016">
        <w:rPr>
          <w:rFonts w:ascii="Times New Roman" w:hAnsi="Times New Roman"/>
        </w:rPr>
        <w:tab/>
      </w:r>
    </w:p>
    <w:p w:rsidR="00A101D4" w:rsidRPr="00CD0016" w:rsidRDefault="00363223" w:rsidP="00A101D4">
      <w:pPr>
        <w:spacing w:before="120" w:after="0"/>
        <w:ind w:left="720"/>
        <w:rPr>
          <w:rFonts w:ascii="Times New Roman" w:hAnsi="Times New Roman" w:cs="Times New Roman"/>
          <w:b/>
          <w:sz w:val="24"/>
          <w:szCs w:val="24"/>
          <w:lang w:val="bg-BG"/>
        </w:rPr>
      </w:pPr>
      <w:bookmarkStart w:id="41" w:name="_Toc185677716"/>
      <w:bookmarkStart w:id="42" w:name="_Toc212621659"/>
      <w:bookmarkStart w:id="43" w:name="_Toc288658387"/>
      <w:bookmarkStart w:id="44" w:name="_Toc288669820"/>
      <w:r w:rsidRPr="00363223">
        <w:rPr>
          <w:rFonts w:ascii="Times New Roman" w:hAnsi="Times New Roman" w:cs="Times New Roman"/>
          <w:b/>
          <w:sz w:val="24"/>
          <w:szCs w:val="24"/>
          <w:lang w:val="bg-BG"/>
        </w:rPr>
        <w:t>Владимир Малчев Малчев</w:t>
      </w:r>
      <w:r w:rsidR="00A101D4" w:rsidRPr="00CD0016">
        <w:rPr>
          <w:rFonts w:ascii="Times New Roman" w:hAnsi="Times New Roman" w:cs="Times New Roman"/>
          <w:b/>
          <w:sz w:val="24"/>
          <w:szCs w:val="24"/>
          <w:lang w:val="bg-BG"/>
        </w:rPr>
        <w:t>,</w:t>
      </w:r>
      <w:r w:rsidR="00A101D4" w:rsidRPr="00CD0016">
        <w:rPr>
          <w:rFonts w:ascii="Times New Roman" w:hAnsi="Times New Roman" w:cs="Times New Roman"/>
          <w:b/>
          <w:sz w:val="24"/>
          <w:szCs w:val="24"/>
          <w:lang w:val="bg-BG"/>
        </w:rPr>
        <w:tab/>
      </w:r>
      <w:r w:rsidR="00A101D4" w:rsidRPr="00CD0016">
        <w:rPr>
          <w:rFonts w:ascii="Times New Roman" w:hAnsi="Times New Roman" w:cs="Times New Roman"/>
          <w:b/>
          <w:sz w:val="24"/>
          <w:szCs w:val="24"/>
          <w:lang w:val="bg-BG"/>
        </w:rPr>
        <w:tab/>
      </w:r>
      <w:r w:rsidR="00A101D4" w:rsidRPr="00CD0016">
        <w:rPr>
          <w:rFonts w:ascii="Times New Roman" w:hAnsi="Times New Roman" w:cs="Times New Roman"/>
          <w:b/>
          <w:sz w:val="24"/>
          <w:szCs w:val="24"/>
          <w:lang w:val="bg-BG"/>
        </w:rPr>
        <w:tab/>
      </w:r>
    </w:p>
    <w:p w:rsidR="00A101D4" w:rsidRPr="00CD0016" w:rsidRDefault="00A101D4" w:rsidP="00A101D4">
      <w:pPr>
        <w:spacing w:before="120" w:after="0"/>
        <w:ind w:left="720"/>
        <w:rPr>
          <w:rFonts w:ascii="Times New Roman" w:hAnsi="Times New Roman" w:cs="Times New Roman"/>
          <w:sz w:val="24"/>
          <w:szCs w:val="24"/>
          <w:lang w:val="bg-BG"/>
        </w:rPr>
      </w:pPr>
      <w:r w:rsidRPr="00CD0016">
        <w:rPr>
          <w:rFonts w:ascii="Times New Roman" w:hAnsi="Times New Roman" w:cs="Times New Roman"/>
          <w:sz w:val="24"/>
          <w:szCs w:val="24"/>
          <w:lang w:val="bg-BG"/>
        </w:rPr>
        <w:t>Управител на ЪП ТРЕНД ООД</w:t>
      </w:r>
      <w:r w:rsidRPr="00CD0016">
        <w:rPr>
          <w:rFonts w:ascii="Times New Roman" w:hAnsi="Times New Roman" w:cs="Times New Roman"/>
          <w:sz w:val="24"/>
          <w:szCs w:val="24"/>
          <w:lang w:val="bg-BG"/>
        </w:rPr>
        <w:tab/>
      </w:r>
      <w:r w:rsidRPr="00CD0016">
        <w:rPr>
          <w:rFonts w:ascii="Times New Roman" w:hAnsi="Times New Roman" w:cs="Times New Roman"/>
          <w:sz w:val="24"/>
          <w:szCs w:val="24"/>
          <w:lang w:val="bg-BG"/>
        </w:rPr>
        <w:tab/>
      </w:r>
      <w:r w:rsidRPr="00CD0016">
        <w:rPr>
          <w:rFonts w:ascii="Times New Roman" w:hAnsi="Times New Roman" w:cs="Times New Roman"/>
          <w:sz w:val="24"/>
          <w:szCs w:val="24"/>
          <w:lang w:val="bg-BG"/>
        </w:rPr>
        <w:tab/>
      </w:r>
      <w:r w:rsidRPr="00CD0016">
        <w:rPr>
          <w:rFonts w:ascii="Times New Roman" w:hAnsi="Times New Roman" w:cs="Times New Roman"/>
          <w:sz w:val="24"/>
          <w:szCs w:val="24"/>
          <w:lang w:val="bg-BG"/>
        </w:rPr>
        <w:tab/>
      </w:r>
      <w:r w:rsidRPr="00CD0016">
        <w:rPr>
          <w:rFonts w:ascii="Times New Roman" w:hAnsi="Times New Roman" w:cs="Times New Roman"/>
          <w:sz w:val="24"/>
          <w:szCs w:val="24"/>
          <w:lang w:val="bg-BG"/>
        </w:rPr>
        <w:tab/>
      </w:r>
      <w:r w:rsidRPr="00CD0016">
        <w:rPr>
          <w:rFonts w:ascii="Times New Roman" w:hAnsi="Times New Roman" w:cs="Times New Roman"/>
          <w:sz w:val="24"/>
          <w:szCs w:val="24"/>
          <w:lang w:val="bg-BG"/>
        </w:rPr>
        <w:tab/>
      </w:r>
    </w:p>
    <w:p w:rsidR="00356A3C" w:rsidRDefault="00A101D4" w:rsidP="00A101D4">
      <w:pPr>
        <w:spacing w:before="120" w:after="0"/>
        <w:ind w:left="720"/>
        <w:rPr>
          <w:rFonts w:ascii="Times New Roman" w:hAnsi="Times New Roman" w:cs="Times New Roman"/>
          <w:sz w:val="24"/>
          <w:szCs w:val="24"/>
          <w:lang w:val="bg-BG"/>
        </w:rPr>
      </w:pPr>
      <w:r w:rsidRPr="00CD0016">
        <w:rPr>
          <w:rFonts w:ascii="Times New Roman" w:hAnsi="Times New Roman" w:cs="Times New Roman"/>
          <w:sz w:val="24"/>
          <w:szCs w:val="24"/>
          <w:lang w:val="bg-BG"/>
        </w:rPr>
        <w:tab/>
      </w:r>
      <w:r w:rsidRPr="00CD0016">
        <w:rPr>
          <w:rFonts w:ascii="Times New Roman" w:hAnsi="Times New Roman" w:cs="Times New Roman"/>
          <w:sz w:val="24"/>
          <w:szCs w:val="24"/>
          <w:lang w:val="bg-BG"/>
        </w:rPr>
        <w:tab/>
      </w:r>
      <w:r w:rsidRPr="00CD0016">
        <w:rPr>
          <w:rFonts w:ascii="Times New Roman" w:hAnsi="Times New Roman" w:cs="Times New Roman"/>
          <w:sz w:val="24"/>
          <w:szCs w:val="24"/>
          <w:lang w:val="bg-BG"/>
        </w:rPr>
        <w:tab/>
      </w:r>
    </w:p>
    <w:p w:rsidR="00356A3C" w:rsidRDefault="00356A3C">
      <w:pPr>
        <w:rPr>
          <w:rFonts w:ascii="Times New Roman" w:hAnsi="Times New Roman" w:cs="Times New Roman"/>
          <w:sz w:val="24"/>
          <w:szCs w:val="24"/>
          <w:lang w:val="bg-BG"/>
        </w:rPr>
      </w:pPr>
      <w:r>
        <w:rPr>
          <w:rFonts w:ascii="Times New Roman" w:hAnsi="Times New Roman" w:cs="Times New Roman"/>
          <w:sz w:val="24"/>
          <w:szCs w:val="24"/>
          <w:lang w:val="bg-BG"/>
        </w:rPr>
        <w:br w:type="page"/>
      </w:r>
    </w:p>
    <w:p w:rsidR="00A101D4" w:rsidRPr="00CD0016" w:rsidRDefault="00A101D4" w:rsidP="00A101D4">
      <w:pPr>
        <w:pStyle w:val="Heading1"/>
        <w:rPr>
          <w:rFonts w:ascii="Times New Roman" w:hAnsi="Times New Roman"/>
          <w:color w:val="auto"/>
          <w:sz w:val="24"/>
          <w:szCs w:val="24"/>
          <w:lang w:val="bg-BG"/>
        </w:rPr>
      </w:pPr>
      <w:bookmarkStart w:id="45" w:name="_Toc485902799"/>
      <w:r w:rsidRPr="00CD0016">
        <w:rPr>
          <w:rFonts w:ascii="Times New Roman" w:hAnsi="Times New Roman"/>
          <w:color w:val="auto"/>
          <w:sz w:val="24"/>
          <w:szCs w:val="24"/>
          <w:lang w:val="bg-BG"/>
        </w:rPr>
        <w:lastRenderedPageBreak/>
        <w:t>ПРИЛОЖЕНИЕ № 2</w:t>
      </w:r>
      <w:bookmarkEnd w:id="41"/>
      <w:bookmarkEnd w:id="42"/>
      <w:bookmarkEnd w:id="43"/>
      <w:bookmarkEnd w:id="44"/>
      <w:bookmarkEnd w:id="45"/>
    </w:p>
    <w:p w:rsidR="00A101D4" w:rsidRPr="00CD0016" w:rsidRDefault="00A101D4" w:rsidP="00A101D4">
      <w:pPr>
        <w:rPr>
          <w:sz w:val="24"/>
          <w:szCs w:val="24"/>
          <w:lang w:val="bg-BG"/>
        </w:rPr>
      </w:pPr>
    </w:p>
    <w:p w:rsidR="00A101D4" w:rsidRPr="00CD0016" w:rsidRDefault="00A101D4" w:rsidP="00A101D4">
      <w:pPr>
        <w:pStyle w:val="Normalen"/>
        <w:jc w:val="center"/>
        <w:rPr>
          <w:rFonts w:ascii="Times New Roman" w:hAnsi="Times New Roman"/>
          <w:b/>
        </w:rPr>
      </w:pPr>
      <w:r w:rsidRPr="00CD0016">
        <w:rPr>
          <w:rFonts w:ascii="Times New Roman" w:hAnsi="Times New Roman"/>
          <w:b/>
        </w:rPr>
        <w:t>ДЕКЛАРАЦИЯ</w:t>
      </w:r>
    </w:p>
    <w:p w:rsidR="00A101D4" w:rsidRPr="00CD0016" w:rsidRDefault="00A101D4" w:rsidP="00A101D4">
      <w:pPr>
        <w:pStyle w:val="Normalen"/>
        <w:jc w:val="center"/>
        <w:rPr>
          <w:rFonts w:ascii="Times New Roman" w:hAnsi="Times New Roman"/>
          <w:b/>
        </w:rPr>
      </w:pPr>
      <w:r w:rsidRPr="00CD0016">
        <w:rPr>
          <w:rFonts w:ascii="Times New Roman" w:hAnsi="Times New Roman"/>
          <w:b/>
        </w:rPr>
        <w:t>по чл. 81, ал. 5 от ЗППЦК</w:t>
      </w:r>
    </w:p>
    <w:p w:rsidR="00A101D4" w:rsidRPr="00CD0016" w:rsidRDefault="00A101D4" w:rsidP="00A101D4">
      <w:pPr>
        <w:pStyle w:val="Normalen"/>
        <w:rPr>
          <w:rFonts w:ascii="Times New Roman" w:hAnsi="Times New Roman"/>
        </w:rPr>
      </w:pPr>
    </w:p>
    <w:p w:rsidR="00A101D4" w:rsidRPr="00CD0016" w:rsidRDefault="00A101D4" w:rsidP="00A101D4">
      <w:pPr>
        <w:pStyle w:val="Normalen"/>
        <w:rPr>
          <w:rFonts w:ascii="Times New Roman" w:hAnsi="Times New Roman"/>
          <w:b/>
        </w:rPr>
      </w:pPr>
      <w:r w:rsidRPr="00CD0016">
        <w:rPr>
          <w:rFonts w:ascii="Times New Roman" w:hAnsi="Times New Roman"/>
          <w:b/>
        </w:rPr>
        <w:t>Долуподписаните:</w:t>
      </w:r>
    </w:p>
    <w:p w:rsidR="00A101D4" w:rsidRPr="00CD0016" w:rsidRDefault="00A101D4" w:rsidP="00A101D4">
      <w:pPr>
        <w:pStyle w:val="Normalen"/>
        <w:numPr>
          <w:ilvl w:val="0"/>
          <w:numId w:val="12"/>
        </w:numPr>
        <w:rPr>
          <w:rFonts w:ascii="Times New Roman" w:hAnsi="Times New Roman"/>
        </w:rPr>
      </w:pPr>
      <w:r w:rsidRPr="00CD0016">
        <w:rPr>
          <w:rFonts w:ascii="Times New Roman" w:hAnsi="Times New Roman"/>
          <w:b/>
        </w:rPr>
        <w:t xml:space="preserve">Гергана Атанасова Маринова – </w:t>
      </w:r>
      <w:r w:rsidRPr="00CD0016">
        <w:rPr>
          <w:rFonts w:ascii="Times New Roman" w:hAnsi="Times New Roman"/>
        </w:rPr>
        <w:t>Изпълнителен директор на “ГЛЕНМООР КЕПИТАЛ” АДСИЦ</w:t>
      </w:r>
      <w:r w:rsidRPr="00CD0016">
        <w:rPr>
          <w:rFonts w:ascii="Times New Roman" w:hAnsi="Times New Roman"/>
          <w:b/>
        </w:rPr>
        <w:t>;</w:t>
      </w:r>
    </w:p>
    <w:p w:rsidR="00A101D4" w:rsidRPr="00CD0016" w:rsidRDefault="00A101D4" w:rsidP="00A101D4">
      <w:pPr>
        <w:pStyle w:val="Normalen"/>
        <w:numPr>
          <w:ilvl w:val="0"/>
          <w:numId w:val="12"/>
        </w:numPr>
        <w:rPr>
          <w:rFonts w:ascii="Times New Roman" w:hAnsi="Times New Roman"/>
        </w:rPr>
      </w:pPr>
      <w:r w:rsidRPr="00CD0016">
        <w:rPr>
          <w:rFonts w:ascii="Times New Roman" w:hAnsi="Times New Roman"/>
          <w:b/>
        </w:rPr>
        <w:t xml:space="preserve">Валентина Николаева Димитрова – </w:t>
      </w:r>
      <w:r w:rsidRPr="00CD0016">
        <w:rPr>
          <w:rFonts w:ascii="Times New Roman" w:hAnsi="Times New Roman"/>
        </w:rPr>
        <w:t>Председател на Съвета на директорите на “ГЛЕНМООР КЕПИТАЛ” АДСИЦ и Съставител на финансовите отчети на “ГЛЕНМООР КЕПИТАЛ” АДСИЦ;</w:t>
      </w:r>
    </w:p>
    <w:p w:rsidR="00A101D4" w:rsidRPr="00CD0016" w:rsidRDefault="00A101D4" w:rsidP="00A101D4">
      <w:pPr>
        <w:pStyle w:val="Normalen"/>
        <w:numPr>
          <w:ilvl w:val="0"/>
          <w:numId w:val="12"/>
        </w:numPr>
        <w:rPr>
          <w:rFonts w:ascii="Times New Roman" w:hAnsi="Times New Roman"/>
        </w:rPr>
      </w:pPr>
      <w:r w:rsidRPr="00CD0016">
        <w:rPr>
          <w:rFonts w:ascii="Times New Roman" w:hAnsi="Times New Roman"/>
          <w:b/>
        </w:rPr>
        <w:t xml:space="preserve">Асен Александров Величков – </w:t>
      </w:r>
      <w:r w:rsidRPr="00CD0016">
        <w:rPr>
          <w:rFonts w:ascii="Times New Roman" w:hAnsi="Times New Roman"/>
        </w:rPr>
        <w:t>Член на Съвета на директорите на “ГЛЕНМООР КЕПИТАЛ” АДСИЦ;</w:t>
      </w:r>
    </w:p>
    <w:p w:rsidR="00A101D4" w:rsidRPr="00CD0016" w:rsidRDefault="003F6B51" w:rsidP="003F6B51">
      <w:pPr>
        <w:pStyle w:val="Normalen"/>
        <w:numPr>
          <w:ilvl w:val="0"/>
          <w:numId w:val="12"/>
        </w:numPr>
        <w:rPr>
          <w:rFonts w:ascii="Times New Roman" w:hAnsi="Times New Roman"/>
        </w:rPr>
      </w:pPr>
      <w:r w:rsidRPr="00CD0016">
        <w:rPr>
          <w:rFonts w:ascii="Times New Roman" w:hAnsi="Times New Roman"/>
          <w:b/>
        </w:rPr>
        <w:t xml:space="preserve">Илия Неделчев Илиев, </w:t>
      </w:r>
      <w:r w:rsidRPr="00CD0016">
        <w:rPr>
          <w:rFonts w:ascii="Times New Roman" w:hAnsi="Times New Roman"/>
        </w:rPr>
        <w:t>Управител на „Приморска Одиторска Компания“ ООД (одиторско дружество) – Одитор на междинния финансов отчет на “ГЛЕНМООР КЕПИТАЛ” АДСИЦ към 30 юни 2017 година</w:t>
      </w:r>
      <w:r w:rsidR="00A101D4" w:rsidRPr="00CD0016">
        <w:rPr>
          <w:rFonts w:ascii="Times New Roman" w:hAnsi="Times New Roman"/>
        </w:rPr>
        <w:t>;</w:t>
      </w:r>
    </w:p>
    <w:p w:rsidR="00A101D4" w:rsidRPr="00CD0016" w:rsidRDefault="00A101D4" w:rsidP="00A101D4">
      <w:pPr>
        <w:pStyle w:val="Normalen"/>
        <w:rPr>
          <w:rFonts w:ascii="Times New Roman" w:hAnsi="Times New Roman"/>
        </w:rPr>
      </w:pPr>
    </w:p>
    <w:p w:rsidR="00A101D4" w:rsidRPr="00CD0016" w:rsidRDefault="00A101D4" w:rsidP="00A101D4">
      <w:pPr>
        <w:pStyle w:val="Normalen"/>
        <w:ind w:firstLine="720"/>
        <w:rPr>
          <w:rFonts w:ascii="Times New Roman" w:hAnsi="Times New Roman"/>
          <w:b/>
        </w:rPr>
      </w:pPr>
      <w:r w:rsidRPr="00CD0016">
        <w:rPr>
          <w:rFonts w:ascii="Times New Roman" w:hAnsi="Times New Roman"/>
          <w:b/>
        </w:rPr>
        <w:t xml:space="preserve">Декларираме, че доколкото ни е известно, съдържащата се в </w:t>
      </w:r>
      <w:r w:rsidR="003F6B51" w:rsidRPr="00CD0016">
        <w:rPr>
          <w:rFonts w:ascii="Times New Roman" w:hAnsi="Times New Roman"/>
          <w:b/>
        </w:rPr>
        <w:t>Резюмето на проспекта</w:t>
      </w:r>
      <w:r w:rsidRPr="00CD0016">
        <w:rPr>
          <w:rFonts w:ascii="Times New Roman" w:hAnsi="Times New Roman"/>
          <w:b/>
        </w:rPr>
        <w:t xml:space="preserve"> информация е пълна и вярна. </w:t>
      </w:r>
    </w:p>
    <w:p w:rsidR="00A101D4" w:rsidRPr="00CD0016" w:rsidRDefault="00A101D4" w:rsidP="00A101D4">
      <w:pPr>
        <w:pStyle w:val="Normalen"/>
        <w:rPr>
          <w:rFonts w:ascii="Times New Roman" w:hAnsi="Times New Roman"/>
        </w:rPr>
      </w:pPr>
    </w:p>
    <w:p w:rsidR="00A101D4" w:rsidRPr="00CD0016" w:rsidRDefault="00A101D4" w:rsidP="00A101D4">
      <w:pPr>
        <w:pStyle w:val="Normalen"/>
        <w:ind w:left="3600" w:firstLine="720"/>
      </w:pPr>
    </w:p>
    <w:p w:rsidR="00A101D4" w:rsidRPr="00CD0016" w:rsidRDefault="00A101D4" w:rsidP="00A101D4">
      <w:pPr>
        <w:pStyle w:val="Normalen"/>
        <w:ind w:left="3600" w:firstLine="720"/>
        <w:rPr>
          <w:rFonts w:ascii="Times New Roman" w:hAnsi="Times New Roman"/>
        </w:rPr>
      </w:pPr>
      <w:r w:rsidRPr="00CD0016">
        <w:rPr>
          <w:rFonts w:ascii="Times New Roman" w:hAnsi="Times New Roman"/>
        </w:rPr>
        <w:t>________________________</w:t>
      </w:r>
      <w:r w:rsidRPr="00CD0016">
        <w:rPr>
          <w:rFonts w:ascii="Times New Roman" w:hAnsi="Times New Roman"/>
        </w:rPr>
        <w:tab/>
      </w:r>
      <w:r w:rsidRPr="00CD0016">
        <w:rPr>
          <w:rFonts w:ascii="Times New Roman" w:hAnsi="Times New Roman"/>
        </w:rPr>
        <w:tab/>
      </w:r>
      <w:r w:rsidRPr="00CD0016">
        <w:rPr>
          <w:rFonts w:ascii="Times New Roman" w:hAnsi="Times New Roman"/>
        </w:rPr>
        <w:tab/>
      </w:r>
    </w:p>
    <w:p w:rsidR="00A101D4" w:rsidRPr="00CD0016" w:rsidRDefault="00A101D4" w:rsidP="00A101D4">
      <w:pPr>
        <w:pStyle w:val="Normalen"/>
        <w:ind w:left="3600" w:firstLine="720"/>
        <w:rPr>
          <w:rFonts w:ascii="Times New Roman" w:hAnsi="Times New Roman"/>
          <w:b/>
        </w:rPr>
      </w:pPr>
      <w:r w:rsidRPr="00CD0016">
        <w:rPr>
          <w:rFonts w:ascii="Times New Roman" w:hAnsi="Times New Roman"/>
          <w:b/>
        </w:rPr>
        <w:t>Гергана Атанасова Маринова</w:t>
      </w:r>
      <w:r w:rsidRPr="00CD0016">
        <w:rPr>
          <w:rFonts w:ascii="Times New Roman" w:hAnsi="Times New Roman"/>
          <w:b/>
        </w:rPr>
        <w:tab/>
      </w:r>
      <w:r w:rsidRPr="00CD0016">
        <w:rPr>
          <w:rFonts w:ascii="Times New Roman" w:hAnsi="Times New Roman"/>
          <w:b/>
        </w:rPr>
        <w:tab/>
      </w:r>
      <w:r w:rsidRPr="00CD0016">
        <w:rPr>
          <w:rFonts w:ascii="Times New Roman" w:hAnsi="Times New Roman"/>
          <w:b/>
        </w:rPr>
        <w:tab/>
      </w:r>
    </w:p>
    <w:p w:rsidR="00A101D4" w:rsidRPr="00CD0016" w:rsidRDefault="00A101D4" w:rsidP="00A101D4">
      <w:pPr>
        <w:pStyle w:val="Normalen"/>
        <w:ind w:left="3600"/>
        <w:rPr>
          <w:rFonts w:ascii="Times New Roman" w:hAnsi="Times New Roman"/>
        </w:rPr>
      </w:pPr>
    </w:p>
    <w:p w:rsidR="00A101D4" w:rsidRPr="00CD0016" w:rsidRDefault="00A101D4" w:rsidP="00A101D4">
      <w:pPr>
        <w:pStyle w:val="Normalen"/>
        <w:ind w:left="3600"/>
        <w:rPr>
          <w:rFonts w:ascii="Times New Roman" w:hAnsi="Times New Roman"/>
        </w:rPr>
      </w:pPr>
    </w:p>
    <w:p w:rsidR="00A101D4" w:rsidRPr="00CD0016" w:rsidRDefault="00A101D4" w:rsidP="00A101D4">
      <w:pPr>
        <w:pStyle w:val="Normalen"/>
        <w:ind w:left="3600"/>
        <w:rPr>
          <w:rFonts w:ascii="Times New Roman" w:hAnsi="Times New Roman"/>
        </w:rPr>
      </w:pPr>
    </w:p>
    <w:p w:rsidR="00A101D4" w:rsidRPr="00CD0016" w:rsidRDefault="00A101D4" w:rsidP="00A101D4">
      <w:pPr>
        <w:pStyle w:val="Normalen"/>
        <w:ind w:left="3600" w:firstLine="720"/>
        <w:rPr>
          <w:rFonts w:ascii="Times New Roman" w:hAnsi="Times New Roman"/>
        </w:rPr>
      </w:pPr>
      <w:r w:rsidRPr="00CD0016">
        <w:rPr>
          <w:rFonts w:ascii="Times New Roman" w:hAnsi="Times New Roman"/>
        </w:rPr>
        <w:t>________________________</w:t>
      </w:r>
      <w:r w:rsidRPr="00CD0016">
        <w:rPr>
          <w:rFonts w:ascii="Times New Roman" w:hAnsi="Times New Roman"/>
        </w:rPr>
        <w:tab/>
      </w:r>
      <w:r w:rsidRPr="00CD0016">
        <w:rPr>
          <w:rFonts w:ascii="Times New Roman" w:hAnsi="Times New Roman"/>
        </w:rPr>
        <w:tab/>
      </w:r>
      <w:r w:rsidRPr="00CD0016">
        <w:rPr>
          <w:rFonts w:ascii="Times New Roman" w:hAnsi="Times New Roman"/>
        </w:rPr>
        <w:tab/>
      </w:r>
    </w:p>
    <w:p w:rsidR="00A101D4" w:rsidRPr="00CD0016" w:rsidRDefault="00A101D4" w:rsidP="00A101D4">
      <w:pPr>
        <w:pStyle w:val="Normalen"/>
        <w:ind w:left="3600" w:firstLine="720"/>
        <w:rPr>
          <w:rFonts w:ascii="Times New Roman" w:hAnsi="Times New Roman"/>
          <w:b/>
        </w:rPr>
      </w:pPr>
      <w:r w:rsidRPr="00CD0016">
        <w:rPr>
          <w:rFonts w:ascii="Times New Roman" w:hAnsi="Times New Roman"/>
          <w:b/>
        </w:rPr>
        <w:t>Валентина Николаева Димитрова</w:t>
      </w:r>
    </w:p>
    <w:p w:rsidR="00A101D4" w:rsidRPr="00CD0016" w:rsidRDefault="00A101D4" w:rsidP="00A101D4">
      <w:pPr>
        <w:pStyle w:val="Normalen"/>
        <w:ind w:left="3600"/>
        <w:rPr>
          <w:rFonts w:ascii="Times New Roman" w:hAnsi="Times New Roman"/>
        </w:rPr>
      </w:pPr>
    </w:p>
    <w:p w:rsidR="00A101D4" w:rsidRPr="00CD0016" w:rsidRDefault="00A101D4" w:rsidP="00A101D4">
      <w:pPr>
        <w:pStyle w:val="Normalen"/>
        <w:ind w:left="8640"/>
        <w:jc w:val="left"/>
        <w:rPr>
          <w:rFonts w:ascii="Times New Roman" w:hAnsi="Times New Roman"/>
        </w:rPr>
      </w:pPr>
    </w:p>
    <w:p w:rsidR="00A101D4" w:rsidRPr="00CD0016" w:rsidRDefault="00A101D4" w:rsidP="00A101D4">
      <w:pPr>
        <w:pStyle w:val="Normalen"/>
        <w:ind w:left="8640"/>
        <w:jc w:val="left"/>
        <w:rPr>
          <w:rFonts w:ascii="Times New Roman" w:hAnsi="Times New Roman"/>
        </w:rPr>
      </w:pPr>
    </w:p>
    <w:p w:rsidR="00A101D4" w:rsidRPr="00CD0016" w:rsidRDefault="00A101D4" w:rsidP="00A101D4">
      <w:pPr>
        <w:pStyle w:val="Normalen"/>
        <w:ind w:left="3600" w:firstLine="720"/>
        <w:rPr>
          <w:rFonts w:ascii="Times New Roman" w:hAnsi="Times New Roman"/>
        </w:rPr>
      </w:pPr>
      <w:r w:rsidRPr="00CD0016">
        <w:rPr>
          <w:rFonts w:ascii="Times New Roman" w:hAnsi="Times New Roman"/>
        </w:rPr>
        <w:t>________________________</w:t>
      </w:r>
      <w:r w:rsidRPr="00CD0016">
        <w:rPr>
          <w:rFonts w:ascii="Times New Roman" w:hAnsi="Times New Roman"/>
        </w:rPr>
        <w:tab/>
      </w:r>
      <w:r w:rsidRPr="00CD0016">
        <w:rPr>
          <w:rFonts w:ascii="Times New Roman" w:hAnsi="Times New Roman"/>
        </w:rPr>
        <w:tab/>
      </w:r>
      <w:r w:rsidRPr="00CD0016">
        <w:rPr>
          <w:rFonts w:ascii="Times New Roman" w:hAnsi="Times New Roman"/>
        </w:rPr>
        <w:tab/>
      </w:r>
    </w:p>
    <w:p w:rsidR="00A101D4" w:rsidRPr="00CD0016" w:rsidRDefault="00A101D4" w:rsidP="00A101D4">
      <w:pPr>
        <w:pStyle w:val="Normalen"/>
        <w:ind w:left="3600" w:firstLine="720"/>
        <w:rPr>
          <w:rFonts w:ascii="Times New Roman" w:hAnsi="Times New Roman"/>
          <w:b/>
        </w:rPr>
      </w:pPr>
      <w:r w:rsidRPr="00CD0016">
        <w:rPr>
          <w:rFonts w:ascii="Times New Roman" w:hAnsi="Times New Roman"/>
          <w:b/>
        </w:rPr>
        <w:t>Асен Александров Величков</w:t>
      </w:r>
      <w:r w:rsidRPr="00CD0016">
        <w:rPr>
          <w:rFonts w:ascii="Times New Roman" w:hAnsi="Times New Roman"/>
          <w:b/>
        </w:rPr>
        <w:tab/>
      </w:r>
      <w:r w:rsidRPr="00CD0016">
        <w:rPr>
          <w:rFonts w:ascii="Times New Roman" w:hAnsi="Times New Roman"/>
          <w:b/>
        </w:rPr>
        <w:tab/>
      </w:r>
      <w:r w:rsidRPr="00CD0016">
        <w:rPr>
          <w:rFonts w:ascii="Times New Roman" w:hAnsi="Times New Roman"/>
          <w:b/>
        </w:rPr>
        <w:tab/>
      </w:r>
    </w:p>
    <w:p w:rsidR="00A101D4" w:rsidRPr="00CD0016" w:rsidRDefault="00A101D4" w:rsidP="00A101D4">
      <w:pPr>
        <w:pStyle w:val="Normalen"/>
        <w:ind w:left="3600"/>
        <w:rPr>
          <w:rFonts w:ascii="Times New Roman" w:hAnsi="Times New Roman"/>
        </w:rPr>
      </w:pPr>
    </w:p>
    <w:p w:rsidR="00A101D4" w:rsidRPr="00CD0016" w:rsidRDefault="00A101D4" w:rsidP="00A101D4">
      <w:pPr>
        <w:pStyle w:val="Normalen"/>
        <w:ind w:left="3600"/>
        <w:jc w:val="left"/>
        <w:rPr>
          <w:rFonts w:ascii="Times New Roman" w:hAnsi="Times New Roman"/>
        </w:rPr>
      </w:pPr>
    </w:p>
    <w:p w:rsidR="00A101D4" w:rsidRPr="00CD0016" w:rsidRDefault="00A101D4" w:rsidP="00A101D4">
      <w:pPr>
        <w:pStyle w:val="Normalen"/>
        <w:ind w:left="3600"/>
        <w:jc w:val="left"/>
        <w:rPr>
          <w:rFonts w:ascii="Times New Roman" w:hAnsi="Times New Roman"/>
        </w:rPr>
      </w:pPr>
    </w:p>
    <w:p w:rsidR="00A101D4" w:rsidRPr="00CD0016" w:rsidRDefault="00A101D4" w:rsidP="00A101D4">
      <w:pPr>
        <w:pStyle w:val="Normalen"/>
        <w:ind w:left="3600" w:firstLine="720"/>
        <w:rPr>
          <w:rFonts w:ascii="Times New Roman" w:hAnsi="Times New Roman"/>
        </w:rPr>
      </w:pPr>
      <w:r w:rsidRPr="00CD0016">
        <w:rPr>
          <w:rFonts w:ascii="Times New Roman" w:hAnsi="Times New Roman"/>
        </w:rPr>
        <w:t>________________________</w:t>
      </w:r>
      <w:r w:rsidRPr="00CD0016">
        <w:rPr>
          <w:rFonts w:ascii="Times New Roman" w:hAnsi="Times New Roman"/>
        </w:rPr>
        <w:tab/>
      </w:r>
      <w:r w:rsidRPr="00CD0016">
        <w:rPr>
          <w:rFonts w:ascii="Times New Roman" w:hAnsi="Times New Roman"/>
        </w:rPr>
        <w:tab/>
      </w:r>
      <w:r w:rsidRPr="00CD0016">
        <w:rPr>
          <w:rFonts w:ascii="Times New Roman" w:hAnsi="Times New Roman"/>
        </w:rPr>
        <w:tab/>
      </w:r>
    </w:p>
    <w:p w:rsidR="00A101D4" w:rsidRPr="008737EF" w:rsidRDefault="003F6B51" w:rsidP="00A101D4">
      <w:pPr>
        <w:pStyle w:val="Normalen"/>
        <w:ind w:left="3600" w:firstLine="720"/>
        <w:rPr>
          <w:rFonts w:ascii="Times New Roman" w:hAnsi="Times New Roman"/>
          <w:b/>
        </w:rPr>
      </w:pPr>
      <w:r w:rsidRPr="00CD0016">
        <w:rPr>
          <w:rFonts w:ascii="Times New Roman" w:hAnsi="Times New Roman"/>
          <w:b/>
        </w:rPr>
        <w:t>Илия Неделчев Илиев</w:t>
      </w:r>
      <w:r w:rsidR="00A101D4" w:rsidRPr="008737EF">
        <w:rPr>
          <w:rFonts w:ascii="Times New Roman" w:hAnsi="Times New Roman"/>
          <w:b/>
        </w:rPr>
        <w:tab/>
      </w:r>
      <w:r w:rsidR="00A101D4" w:rsidRPr="008737EF">
        <w:rPr>
          <w:rFonts w:ascii="Times New Roman" w:hAnsi="Times New Roman"/>
          <w:b/>
        </w:rPr>
        <w:tab/>
      </w:r>
      <w:r w:rsidR="00A101D4" w:rsidRPr="008737EF">
        <w:rPr>
          <w:rFonts w:ascii="Times New Roman" w:hAnsi="Times New Roman"/>
          <w:b/>
        </w:rPr>
        <w:tab/>
      </w:r>
    </w:p>
    <w:p w:rsidR="00A101D4" w:rsidRPr="008737EF" w:rsidRDefault="00A101D4" w:rsidP="00A101D4">
      <w:pPr>
        <w:rPr>
          <w:b/>
          <w:sz w:val="24"/>
          <w:szCs w:val="24"/>
          <w:lang w:val="bg-BG"/>
        </w:rPr>
      </w:pPr>
    </w:p>
    <w:p w:rsidR="00A101D4" w:rsidRPr="008737EF" w:rsidRDefault="00A101D4" w:rsidP="00A101D4">
      <w:pPr>
        <w:pStyle w:val="Heading1"/>
        <w:spacing w:before="0"/>
        <w:rPr>
          <w:rFonts w:ascii="Times New Roman" w:hAnsi="Times New Roman"/>
          <w:lang w:val="bg-BG"/>
        </w:rPr>
      </w:pPr>
    </w:p>
    <w:sectPr w:rsidR="00A101D4" w:rsidRPr="008737EF" w:rsidSect="00DB7D7D">
      <w:head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603D" w:rsidRDefault="009E603D" w:rsidP="000938EB">
      <w:pPr>
        <w:spacing w:after="0"/>
      </w:pPr>
      <w:r>
        <w:separator/>
      </w:r>
    </w:p>
  </w:endnote>
  <w:endnote w:type="continuationSeparator" w:id="0">
    <w:p w:rsidR="009E603D" w:rsidRDefault="009E603D" w:rsidP="000938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03D" w:rsidRDefault="009E603D">
    <w:pPr>
      <w:pStyle w:val="Footer"/>
      <w:jc w:val="right"/>
    </w:pPr>
  </w:p>
  <w:p w:rsidR="009E603D" w:rsidRDefault="009E6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603D" w:rsidRDefault="009E603D" w:rsidP="000938EB">
      <w:pPr>
        <w:spacing w:after="0"/>
      </w:pPr>
      <w:r>
        <w:separator/>
      </w:r>
    </w:p>
  </w:footnote>
  <w:footnote w:type="continuationSeparator" w:id="0">
    <w:p w:rsidR="009E603D" w:rsidRDefault="009E603D" w:rsidP="000938E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03D" w:rsidRPr="00841FAD" w:rsidRDefault="009E603D" w:rsidP="000938EB">
    <w:pPr>
      <w:pStyle w:val="Header"/>
      <w:rPr>
        <w:rFonts w:ascii="Times New Roman" w:hAnsi="Times New Roman"/>
        <w:sz w:val="20"/>
        <w:szCs w:val="20"/>
      </w:rPr>
    </w:pPr>
  </w:p>
  <w:p w:rsidR="009E603D" w:rsidRPr="00EA0259" w:rsidRDefault="009E603D" w:rsidP="000938EB">
    <w:pPr>
      <w:pStyle w:val="Header"/>
      <w:rPr>
        <w:b/>
        <w:spacing w:val="20"/>
        <w:sz w:val="20"/>
        <w:szCs w:val="20"/>
        <w:lang w:val="bg-BG"/>
      </w:rPr>
    </w:pPr>
    <w:r w:rsidRPr="00564985">
      <w:rPr>
        <w:rFonts w:ascii="Times New Roman" w:hAnsi="Times New Roman"/>
        <w:b/>
        <w:spacing w:val="20"/>
        <w:lang w:val="bg-BG"/>
      </w:rPr>
      <w:t>ГЛЕНМООР КЕПИТАЛ</w:t>
    </w:r>
    <w:r>
      <w:rPr>
        <w:rFonts w:ascii="Times New Roman" w:hAnsi="Times New Roman"/>
        <w:b/>
        <w:spacing w:val="20"/>
        <w:lang w:val="bg-BG"/>
      </w:rPr>
      <w:t xml:space="preserve"> АДСИЦ</w:t>
    </w:r>
    <w:r w:rsidRPr="00841FAD">
      <w:rPr>
        <w:rFonts w:ascii="Times New Roman Bold" w:hAnsi="Times New Roman Bold"/>
        <w:b/>
        <w:spacing w:val="20"/>
        <w:sz w:val="20"/>
        <w:szCs w:val="20"/>
        <w:lang w:val="bg-BG"/>
      </w:rPr>
      <w:tab/>
    </w:r>
    <w:r>
      <w:rPr>
        <w:b/>
        <w:spacing w:val="20"/>
        <w:sz w:val="20"/>
        <w:szCs w:val="20"/>
        <w:lang w:val="bg-BG"/>
      </w:rPr>
      <w:t xml:space="preserve">      </w:t>
    </w:r>
    <w:r w:rsidRPr="00EA0259">
      <w:rPr>
        <w:rFonts w:ascii="Times New Roman" w:hAnsi="Times New Roman"/>
        <w:b/>
        <w:spacing w:val="20"/>
        <w:sz w:val="20"/>
        <w:szCs w:val="20"/>
        <w:lang w:val="bg-BG"/>
      </w:rPr>
      <w:t>Резюме</w:t>
    </w:r>
    <w:r w:rsidRPr="00E63D06">
      <w:rPr>
        <w:rFonts w:ascii="Times New Roman" w:hAnsi="Times New Roman"/>
        <w:b/>
        <w:spacing w:val="20"/>
        <w:sz w:val="20"/>
        <w:szCs w:val="20"/>
        <w:lang w:val="ru-RU"/>
      </w:rPr>
      <w:t xml:space="preserve"> </w:t>
    </w:r>
    <w:r>
      <w:rPr>
        <w:rFonts w:ascii="Times New Roman" w:hAnsi="Times New Roman"/>
        <w:b/>
        <w:spacing w:val="20"/>
        <w:sz w:val="20"/>
        <w:szCs w:val="20"/>
        <w:lang w:val="bg-BG"/>
      </w:rPr>
      <w:t>на проспекта</w:t>
    </w:r>
  </w:p>
  <w:p w:rsidR="009E603D" w:rsidRPr="000938EB" w:rsidRDefault="00EB4E3E">
    <w:pPr>
      <w:pStyle w:val="Header"/>
      <w:rPr>
        <w:rFonts w:ascii="Times New Roman" w:hAnsi="Times New Roman"/>
        <w:sz w:val="20"/>
        <w:szCs w:val="20"/>
        <w:lang w:val="bg-BG"/>
      </w:rPr>
    </w:pPr>
    <w:r>
      <w:rPr>
        <w:rFonts w:ascii="Times New Roman" w:hAnsi="Times New Roman"/>
        <w:noProof/>
        <w:sz w:val="20"/>
        <w:szCs w:val="20"/>
        <w:lang w:val="bg-BG" w:eastAsia="bg-BG"/>
      </w:rPr>
      <w:pict>
        <v:shapetype id="_x0000_t32" coordsize="21600,21600" o:spt="32" o:oned="t" path="m,l21600,21600e" filled="f">
          <v:path arrowok="t" fillok="f" o:connecttype="none"/>
          <o:lock v:ext="edit" shapetype="t"/>
        </v:shapetype>
        <v:shape id="AutoShape 1" o:spid="_x0000_s12290" type="#_x0000_t32" style="position:absolute;margin-left:1.5pt;margin-top:5pt;width:451.9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" strokeweight="1pt">
          <v:stroke dashstyle="1 1" endcap="round"/>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03D" w:rsidRPr="00841FAD" w:rsidRDefault="009E603D" w:rsidP="00DB7D7D">
    <w:pPr>
      <w:pStyle w:val="Header"/>
    </w:pPr>
  </w:p>
  <w:p w:rsidR="009E603D" w:rsidRPr="00841FAD" w:rsidRDefault="009E603D" w:rsidP="00DB7D7D">
    <w:pPr>
      <w:pStyle w:val="Header"/>
      <w:rPr>
        <w:rFonts w:ascii="Times New Roman Bold" w:hAnsi="Times New Roman Bold"/>
        <w:b/>
        <w:spacing w:val="20"/>
        <w:sz w:val="20"/>
        <w:szCs w:val="20"/>
      </w:rPr>
    </w:pPr>
    <w:r w:rsidRPr="00A73869">
      <w:rPr>
        <w:rFonts w:ascii="Times New Roman" w:hAnsi="Times New Roman"/>
        <w:b/>
        <w:spacing w:val="20"/>
      </w:rPr>
      <w:t>ГЛЕНМООР КЕПИТАЛ</w:t>
    </w:r>
    <w:r>
      <w:rPr>
        <w:rFonts w:ascii="Times New Roman" w:hAnsi="Times New Roman"/>
        <w:b/>
        <w:spacing w:val="20"/>
      </w:rPr>
      <w:t xml:space="preserve"> АДСИЦ</w:t>
    </w:r>
    <w:r w:rsidRPr="00841FAD">
      <w:rPr>
        <w:rFonts w:ascii="Times New Roman Bold" w:hAnsi="Times New Roman Bold"/>
        <w:b/>
        <w:spacing w:val="20"/>
        <w:sz w:val="20"/>
        <w:szCs w:val="20"/>
      </w:rPr>
      <w:tab/>
    </w:r>
    <w:r>
      <w:rPr>
        <w:b/>
        <w:spacing w:val="20"/>
        <w:sz w:val="20"/>
        <w:szCs w:val="20"/>
      </w:rPr>
      <w:t xml:space="preserve">      </w:t>
    </w:r>
    <w:proofErr w:type="spellStart"/>
    <w:r w:rsidRPr="003F6B51">
      <w:rPr>
        <w:rFonts w:ascii="Times New Roman Bold" w:hAnsi="Times New Roman Bold"/>
        <w:b/>
        <w:spacing w:val="20"/>
        <w:sz w:val="20"/>
        <w:szCs w:val="20"/>
      </w:rPr>
      <w:t>Резюме</w:t>
    </w:r>
    <w:proofErr w:type="spellEnd"/>
    <w:r w:rsidRPr="003F6B51">
      <w:rPr>
        <w:rFonts w:ascii="Times New Roman Bold" w:hAnsi="Times New Roman Bold"/>
        <w:b/>
        <w:spacing w:val="20"/>
        <w:sz w:val="20"/>
        <w:szCs w:val="20"/>
      </w:rPr>
      <w:t xml:space="preserve"> на </w:t>
    </w:r>
    <w:proofErr w:type="spellStart"/>
    <w:r w:rsidRPr="003F6B51">
      <w:rPr>
        <w:rFonts w:ascii="Times New Roman Bold" w:hAnsi="Times New Roman Bold"/>
        <w:b/>
        <w:spacing w:val="20"/>
        <w:sz w:val="20"/>
        <w:szCs w:val="20"/>
      </w:rPr>
      <w:t>проспекта</w:t>
    </w:r>
    <w:proofErr w:type="spellEnd"/>
  </w:p>
  <w:p w:rsidR="009E603D" w:rsidRPr="005A39D4" w:rsidRDefault="00EB4E3E" w:rsidP="00DB7D7D">
    <w:pPr>
      <w:pStyle w:val="Header"/>
    </w:pPr>
    <w:r>
      <w:rPr>
        <w:noProof/>
        <w:lang w:val="bg-BG" w:eastAsia="bg-BG"/>
      </w:rPr>
      <w:pict>
        <v:shapetype id="_x0000_t32" coordsize="21600,21600" o:spt="32" o:oned="t" path="m,l21600,21600e" filled="f">
          <v:path arrowok="t" fillok="f" o:connecttype="none"/>
          <o:lock v:ext="edit" shapetype="t"/>
        </v:shapetype>
        <v:shape id="AutoShape 14" o:spid="_x0000_s12289" type="#_x0000_t32" style="position:absolute;margin-left:-2.25pt;margin-top:2.9pt;width:466.5pt;height:0;z-index:251660288;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" strokeweight="1pt">
          <v:stroke dashstyle="1 1" endcap="roun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2D45"/>
    <w:multiLevelType w:val="hybridMultilevel"/>
    <w:tmpl w:val="E80E1092"/>
    <w:lvl w:ilvl="0" w:tplc="0402000B">
      <w:start w:val="1"/>
      <w:numFmt w:val="bullet"/>
      <w:lvlText w:val=""/>
      <w:lvlJc w:val="left"/>
      <w:pPr>
        <w:tabs>
          <w:tab w:val="num" w:pos="1080"/>
        </w:tabs>
        <w:ind w:left="1080" w:hanging="360"/>
      </w:pPr>
      <w:rPr>
        <w:rFonts w:ascii="Wingdings" w:hAnsi="Wingdings" w:hint="default"/>
      </w:rPr>
    </w:lvl>
    <w:lvl w:ilvl="1" w:tplc="ED9E89BE">
      <w:start w:val="1"/>
      <w:numFmt w:val="bullet"/>
      <w:lvlText w:val=""/>
      <w:lvlJc w:val="left"/>
      <w:pPr>
        <w:tabs>
          <w:tab w:val="num" w:pos="1800"/>
        </w:tabs>
        <w:ind w:left="1800" w:hanging="360"/>
      </w:pPr>
      <w:rPr>
        <w:rFonts w:ascii="Wingdings" w:hAnsi="Wingdings" w:hint="default"/>
        <w:color w:val="auto"/>
        <w:sz w:val="24"/>
        <w:szCs w:val="22"/>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1243BFA"/>
    <w:multiLevelType w:val="hybridMultilevel"/>
    <w:tmpl w:val="C01A3C88"/>
    <w:lvl w:ilvl="0" w:tplc="0402000B">
      <w:start w:val="1"/>
      <w:numFmt w:val="bullet"/>
      <w:lvlText w:val=""/>
      <w:lvlJc w:val="left"/>
      <w:pPr>
        <w:tabs>
          <w:tab w:val="num" w:pos="720"/>
        </w:tabs>
        <w:ind w:left="720" w:hanging="360"/>
      </w:pPr>
      <w:rPr>
        <w:rFonts w:ascii="Wingdings" w:hAnsi="Wingdings" w:hint="default"/>
      </w:rPr>
    </w:lvl>
    <w:lvl w:ilvl="1" w:tplc="0402000D">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AE6D07"/>
    <w:multiLevelType w:val="hybridMultilevel"/>
    <w:tmpl w:val="F308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504FEA"/>
    <w:multiLevelType w:val="hybridMultilevel"/>
    <w:tmpl w:val="B2FE32C6"/>
    <w:lvl w:ilvl="0" w:tplc="C8342D26">
      <w:start w:val="1"/>
      <w:numFmt w:val="bullet"/>
      <w:lvlText w:val=""/>
      <w:lvlJc w:val="left"/>
      <w:pPr>
        <w:tabs>
          <w:tab w:val="num" w:pos="360"/>
        </w:tabs>
        <w:ind w:left="357" w:hanging="357"/>
      </w:pPr>
      <w:rPr>
        <w:rFonts w:ascii="Wingdings" w:hAnsi="Wingdings" w:hint="default"/>
        <w:color w:val="000080"/>
      </w:rPr>
    </w:lvl>
    <w:lvl w:ilvl="1" w:tplc="6486C51E" w:tentative="1">
      <w:start w:val="1"/>
      <w:numFmt w:val="bullet"/>
      <w:lvlText w:val="o"/>
      <w:lvlJc w:val="left"/>
      <w:pPr>
        <w:tabs>
          <w:tab w:val="num" w:pos="429"/>
        </w:tabs>
        <w:ind w:left="429" w:hanging="360"/>
      </w:pPr>
      <w:rPr>
        <w:rFonts w:ascii="Courier New" w:hAnsi="Courier New" w:cs="Wingdings" w:hint="default"/>
      </w:rPr>
    </w:lvl>
    <w:lvl w:ilvl="2" w:tplc="C778F8B0" w:tentative="1">
      <w:start w:val="1"/>
      <w:numFmt w:val="bullet"/>
      <w:lvlText w:val=""/>
      <w:lvlJc w:val="left"/>
      <w:pPr>
        <w:tabs>
          <w:tab w:val="num" w:pos="1149"/>
        </w:tabs>
        <w:ind w:left="1149" w:hanging="360"/>
      </w:pPr>
      <w:rPr>
        <w:rFonts w:ascii="Wingdings" w:hAnsi="Wingdings" w:hint="default"/>
      </w:rPr>
    </w:lvl>
    <w:lvl w:ilvl="3" w:tplc="04AA4B8E" w:tentative="1">
      <w:start w:val="1"/>
      <w:numFmt w:val="bullet"/>
      <w:lvlText w:val=""/>
      <w:lvlJc w:val="left"/>
      <w:pPr>
        <w:tabs>
          <w:tab w:val="num" w:pos="1869"/>
        </w:tabs>
        <w:ind w:left="1869" w:hanging="360"/>
      </w:pPr>
      <w:rPr>
        <w:rFonts w:ascii="Symbol" w:hAnsi="Symbol" w:hint="default"/>
      </w:rPr>
    </w:lvl>
    <w:lvl w:ilvl="4" w:tplc="13B0ACDE" w:tentative="1">
      <w:start w:val="1"/>
      <w:numFmt w:val="bullet"/>
      <w:lvlText w:val="o"/>
      <w:lvlJc w:val="left"/>
      <w:pPr>
        <w:tabs>
          <w:tab w:val="num" w:pos="2589"/>
        </w:tabs>
        <w:ind w:left="2589" w:hanging="360"/>
      </w:pPr>
      <w:rPr>
        <w:rFonts w:ascii="Courier New" w:hAnsi="Courier New" w:cs="Wingdings" w:hint="default"/>
      </w:rPr>
    </w:lvl>
    <w:lvl w:ilvl="5" w:tplc="5BDA36E2" w:tentative="1">
      <w:start w:val="1"/>
      <w:numFmt w:val="bullet"/>
      <w:lvlText w:val=""/>
      <w:lvlJc w:val="left"/>
      <w:pPr>
        <w:tabs>
          <w:tab w:val="num" w:pos="3309"/>
        </w:tabs>
        <w:ind w:left="3309" w:hanging="360"/>
      </w:pPr>
      <w:rPr>
        <w:rFonts w:ascii="Wingdings" w:hAnsi="Wingdings" w:hint="default"/>
      </w:rPr>
    </w:lvl>
    <w:lvl w:ilvl="6" w:tplc="0BEEE75C" w:tentative="1">
      <w:start w:val="1"/>
      <w:numFmt w:val="bullet"/>
      <w:lvlText w:val=""/>
      <w:lvlJc w:val="left"/>
      <w:pPr>
        <w:tabs>
          <w:tab w:val="num" w:pos="4029"/>
        </w:tabs>
        <w:ind w:left="4029" w:hanging="360"/>
      </w:pPr>
      <w:rPr>
        <w:rFonts w:ascii="Symbol" w:hAnsi="Symbol" w:hint="default"/>
      </w:rPr>
    </w:lvl>
    <w:lvl w:ilvl="7" w:tplc="547A66FE" w:tentative="1">
      <w:start w:val="1"/>
      <w:numFmt w:val="bullet"/>
      <w:lvlText w:val="o"/>
      <w:lvlJc w:val="left"/>
      <w:pPr>
        <w:tabs>
          <w:tab w:val="num" w:pos="4749"/>
        </w:tabs>
        <w:ind w:left="4749" w:hanging="360"/>
      </w:pPr>
      <w:rPr>
        <w:rFonts w:ascii="Courier New" w:hAnsi="Courier New" w:cs="Wingdings" w:hint="default"/>
      </w:rPr>
    </w:lvl>
    <w:lvl w:ilvl="8" w:tplc="ACC46882" w:tentative="1">
      <w:start w:val="1"/>
      <w:numFmt w:val="bullet"/>
      <w:lvlText w:val=""/>
      <w:lvlJc w:val="left"/>
      <w:pPr>
        <w:tabs>
          <w:tab w:val="num" w:pos="5469"/>
        </w:tabs>
        <w:ind w:left="5469" w:hanging="360"/>
      </w:pPr>
      <w:rPr>
        <w:rFonts w:ascii="Wingdings" w:hAnsi="Wingdings" w:hint="default"/>
      </w:rPr>
    </w:lvl>
  </w:abstractNum>
  <w:abstractNum w:abstractNumId="4" w15:restartNumberingAfterBreak="0">
    <w:nsid w:val="368D7629"/>
    <w:multiLevelType w:val="hybridMultilevel"/>
    <w:tmpl w:val="91829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872E21"/>
    <w:multiLevelType w:val="hybridMultilevel"/>
    <w:tmpl w:val="DDACD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B62C9A"/>
    <w:multiLevelType w:val="hybridMultilevel"/>
    <w:tmpl w:val="E748522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4C8B449D"/>
    <w:multiLevelType w:val="hybridMultilevel"/>
    <w:tmpl w:val="526A14E8"/>
    <w:lvl w:ilvl="0" w:tplc="6C00B584">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4F5A6358"/>
    <w:multiLevelType w:val="hybridMultilevel"/>
    <w:tmpl w:val="C5BE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6437FC"/>
    <w:multiLevelType w:val="hybridMultilevel"/>
    <w:tmpl w:val="E5962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673A53"/>
    <w:multiLevelType w:val="hybridMultilevel"/>
    <w:tmpl w:val="62605AD0"/>
    <w:lvl w:ilvl="0" w:tplc="4B3C8F70">
      <w:start w:val="9"/>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965B57"/>
    <w:multiLevelType w:val="hybridMultilevel"/>
    <w:tmpl w:val="CA662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E0766D"/>
    <w:multiLevelType w:val="hybridMultilevel"/>
    <w:tmpl w:val="E2E2AF66"/>
    <w:lvl w:ilvl="0" w:tplc="0AD8589C">
      <w:numFmt w:val="bullet"/>
      <w:lvlText w:val="-"/>
      <w:lvlJc w:val="left"/>
      <w:pPr>
        <w:tabs>
          <w:tab w:val="num" w:pos="0"/>
        </w:tabs>
        <w:ind w:left="0" w:hanging="360"/>
      </w:pPr>
      <w:rPr>
        <w:rFonts w:ascii="Times New Roman" w:eastAsia="Times New Roman" w:hAnsi="Times New Roman" w:cs="Times New Roman"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num w:numId="1">
    <w:abstractNumId w:val="10"/>
  </w:num>
  <w:num w:numId="2">
    <w:abstractNumId w:val="9"/>
  </w:num>
  <w:num w:numId="3">
    <w:abstractNumId w:val="8"/>
  </w:num>
  <w:num w:numId="4">
    <w:abstractNumId w:val="2"/>
  </w:num>
  <w:num w:numId="5">
    <w:abstractNumId w:val="4"/>
  </w:num>
  <w:num w:numId="6">
    <w:abstractNumId w:val="11"/>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 w:numId="11">
    <w:abstractNumId w:val="1"/>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12291"/>
    <o:shapelayout v:ext="edit">
      <o:idmap v:ext="edit" data="12"/>
      <o:rules v:ext="edit">
        <o:r id="V:Rule3" type="connector" idref="#AutoShape 1"/>
        <o:r id="V:Rule4" type="connector" idref="#AutoShape 14"/>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4397"/>
    <w:rsid w:val="00000086"/>
    <w:rsid w:val="00001E65"/>
    <w:rsid w:val="00002EDD"/>
    <w:rsid w:val="00003F17"/>
    <w:rsid w:val="00012F3E"/>
    <w:rsid w:val="00015AC3"/>
    <w:rsid w:val="00023C04"/>
    <w:rsid w:val="00025004"/>
    <w:rsid w:val="000253F7"/>
    <w:rsid w:val="00025B45"/>
    <w:rsid w:val="000274C0"/>
    <w:rsid w:val="00033D71"/>
    <w:rsid w:val="000352AC"/>
    <w:rsid w:val="00042951"/>
    <w:rsid w:val="00044815"/>
    <w:rsid w:val="00046195"/>
    <w:rsid w:val="00046F16"/>
    <w:rsid w:val="00047116"/>
    <w:rsid w:val="0005375B"/>
    <w:rsid w:val="000542EB"/>
    <w:rsid w:val="000546A1"/>
    <w:rsid w:val="00062974"/>
    <w:rsid w:val="00073E7A"/>
    <w:rsid w:val="00084776"/>
    <w:rsid w:val="0009002C"/>
    <w:rsid w:val="00090254"/>
    <w:rsid w:val="000916E6"/>
    <w:rsid w:val="00091CC3"/>
    <w:rsid w:val="000936B1"/>
    <w:rsid w:val="000938EB"/>
    <w:rsid w:val="00093E37"/>
    <w:rsid w:val="00095CF5"/>
    <w:rsid w:val="000A0E07"/>
    <w:rsid w:val="000A39DE"/>
    <w:rsid w:val="000A6E51"/>
    <w:rsid w:val="000B02C9"/>
    <w:rsid w:val="000B0602"/>
    <w:rsid w:val="000B0BF4"/>
    <w:rsid w:val="000B1989"/>
    <w:rsid w:val="000B765A"/>
    <w:rsid w:val="000B7C81"/>
    <w:rsid w:val="000B7E19"/>
    <w:rsid w:val="000C1250"/>
    <w:rsid w:val="000C1E4E"/>
    <w:rsid w:val="000C21B8"/>
    <w:rsid w:val="000C40A3"/>
    <w:rsid w:val="000C5D83"/>
    <w:rsid w:val="000C5FD1"/>
    <w:rsid w:val="000C6553"/>
    <w:rsid w:val="000D2941"/>
    <w:rsid w:val="000D39D9"/>
    <w:rsid w:val="000E10FD"/>
    <w:rsid w:val="000E14DB"/>
    <w:rsid w:val="000E1C65"/>
    <w:rsid w:val="000E7173"/>
    <w:rsid w:val="000F0CE1"/>
    <w:rsid w:val="001005AA"/>
    <w:rsid w:val="001005BD"/>
    <w:rsid w:val="001042E0"/>
    <w:rsid w:val="0010561D"/>
    <w:rsid w:val="001072E4"/>
    <w:rsid w:val="0011041C"/>
    <w:rsid w:val="001114FF"/>
    <w:rsid w:val="00111F20"/>
    <w:rsid w:val="001153E1"/>
    <w:rsid w:val="00123301"/>
    <w:rsid w:val="0013637E"/>
    <w:rsid w:val="001400D9"/>
    <w:rsid w:val="00142A76"/>
    <w:rsid w:val="00146B78"/>
    <w:rsid w:val="00147CD6"/>
    <w:rsid w:val="00150A45"/>
    <w:rsid w:val="00154DE1"/>
    <w:rsid w:val="00164517"/>
    <w:rsid w:val="00166B6F"/>
    <w:rsid w:val="001726B1"/>
    <w:rsid w:val="00183A54"/>
    <w:rsid w:val="00183D6C"/>
    <w:rsid w:val="00186939"/>
    <w:rsid w:val="00190022"/>
    <w:rsid w:val="001A431B"/>
    <w:rsid w:val="001A7060"/>
    <w:rsid w:val="001A7945"/>
    <w:rsid w:val="001C1570"/>
    <w:rsid w:val="001D2715"/>
    <w:rsid w:val="001F067C"/>
    <w:rsid w:val="001F2AC4"/>
    <w:rsid w:val="001F2EB6"/>
    <w:rsid w:val="001F4BA4"/>
    <w:rsid w:val="001F60DE"/>
    <w:rsid w:val="002025FB"/>
    <w:rsid w:val="002043FD"/>
    <w:rsid w:val="002072F7"/>
    <w:rsid w:val="00212F60"/>
    <w:rsid w:val="00214BFE"/>
    <w:rsid w:val="00216A0B"/>
    <w:rsid w:val="00220587"/>
    <w:rsid w:val="002254F1"/>
    <w:rsid w:val="002258C0"/>
    <w:rsid w:val="002335E6"/>
    <w:rsid w:val="0023402D"/>
    <w:rsid w:val="002350B4"/>
    <w:rsid w:val="00236C59"/>
    <w:rsid w:val="00241B8C"/>
    <w:rsid w:val="002462E9"/>
    <w:rsid w:val="002539CC"/>
    <w:rsid w:val="002643FD"/>
    <w:rsid w:val="0026509C"/>
    <w:rsid w:val="00266FD9"/>
    <w:rsid w:val="00272F15"/>
    <w:rsid w:val="00285B52"/>
    <w:rsid w:val="00292249"/>
    <w:rsid w:val="002A1061"/>
    <w:rsid w:val="002A3530"/>
    <w:rsid w:val="002A4C5F"/>
    <w:rsid w:val="002A631C"/>
    <w:rsid w:val="002B19DC"/>
    <w:rsid w:val="002B7BB9"/>
    <w:rsid w:val="002C0010"/>
    <w:rsid w:val="002C3CB5"/>
    <w:rsid w:val="002C515B"/>
    <w:rsid w:val="002D0E76"/>
    <w:rsid w:val="002D380F"/>
    <w:rsid w:val="002D5E03"/>
    <w:rsid w:val="002E1C3D"/>
    <w:rsid w:val="002E4039"/>
    <w:rsid w:val="002E48E7"/>
    <w:rsid w:val="002E6A06"/>
    <w:rsid w:val="002F12B9"/>
    <w:rsid w:val="002F491C"/>
    <w:rsid w:val="002F4D12"/>
    <w:rsid w:val="00301C7D"/>
    <w:rsid w:val="00304718"/>
    <w:rsid w:val="00313EA1"/>
    <w:rsid w:val="0031533A"/>
    <w:rsid w:val="0032019A"/>
    <w:rsid w:val="003212C6"/>
    <w:rsid w:val="003218BA"/>
    <w:rsid w:val="0032353F"/>
    <w:rsid w:val="00323DC0"/>
    <w:rsid w:val="00326F7A"/>
    <w:rsid w:val="00330CEB"/>
    <w:rsid w:val="00334C6F"/>
    <w:rsid w:val="0033741C"/>
    <w:rsid w:val="00337C50"/>
    <w:rsid w:val="0034455C"/>
    <w:rsid w:val="00344EF3"/>
    <w:rsid w:val="00346785"/>
    <w:rsid w:val="00356A3C"/>
    <w:rsid w:val="0035775E"/>
    <w:rsid w:val="0036063B"/>
    <w:rsid w:val="00363223"/>
    <w:rsid w:val="003642FC"/>
    <w:rsid w:val="00365435"/>
    <w:rsid w:val="00365A50"/>
    <w:rsid w:val="00365F94"/>
    <w:rsid w:val="00366E98"/>
    <w:rsid w:val="00370737"/>
    <w:rsid w:val="00373B65"/>
    <w:rsid w:val="00374397"/>
    <w:rsid w:val="003777D8"/>
    <w:rsid w:val="00380564"/>
    <w:rsid w:val="0039106F"/>
    <w:rsid w:val="00393462"/>
    <w:rsid w:val="00393C4C"/>
    <w:rsid w:val="003952F4"/>
    <w:rsid w:val="003A046D"/>
    <w:rsid w:val="003A26B9"/>
    <w:rsid w:val="003A2A8A"/>
    <w:rsid w:val="003B28B6"/>
    <w:rsid w:val="003B3CE5"/>
    <w:rsid w:val="003B68AA"/>
    <w:rsid w:val="003B7700"/>
    <w:rsid w:val="003C3234"/>
    <w:rsid w:val="003C4D48"/>
    <w:rsid w:val="003C7406"/>
    <w:rsid w:val="003D1FFA"/>
    <w:rsid w:val="003D3E06"/>
    <w:rsid w:val="003D79AC"/>
    <w:rsid w:val="003E3113"/>
    <w:rsid w:val="003E4B10"/>
    <w:rsid w:val="003E6976"/>
    <w:rsid w:val="003E6B85"/>
    <w:rsid w:val="003E78B3"/>
    <w:rsid w:val="003F1394"/>
    <w:rsid w:val="003F35BF"/>
    <w:rsid w:val="003F6B51"/>
    <w:rsid w:val="003F7132"/>
    <w:rsid w:val="003F7A64"/>
    <w:rsid w:val="00406C48"/>
    <w:rsid w:val="00422083"/>
    <w:rsid w:val="00431333"/>
    <w:rsid w:val="00431D7C"/>
    <w:rsid w:val="00435570"/>
    <w:rsid w:val="004356E4"/>
    <w:rsid w:val="00435ED9"/>
    <w:rsid w:val="0044029B"/>
    <w:rsid w:val="00446A89"/>
    <w:rsid w:val="00450672"/>
    <w:rsid w:val="00455C54"/>
    <w:rsid w:val="0045775C"/>
    <w:rsid w:val="0046440B"/>
    <w:rsid w:val="004748E8"/>
    <w:rsid w:val="004769CE"/>
    <w:rsid w:val="00477E05"/>
    <w:rsid w:val="004801A9"/>
    <w:rsid w:val="00483BBC"/>
    <w:rsid w:val="00485E89"/>
    <w:rsid w:val="00496495"/>
    <w:rsid w:val="004A5701"/>
    <w:rsid w:val="004B6EF2"/>
    <w:rsid w:val="004C1933"/>
    <w:rsid w:val="004D1ED3"/>
    <w:rsid w:val="004D4B41"/>
    <w:rsid w:val="004D4EEA"/>
    <w:rsid w:val="004D69DF"/>
    <w:rsid w:val="004E0DBC"/>
    <w:rsid w:val="004E49D3"/>
    <w:rsid w:val="004F0904"/>
    <w:rsid w:val="004F0A55"/>
    <w:rsid w:val="004F0AAE"/>
    <w:rsid w:val="004F4742"/>
    <w:rsid w:val="004F73F4"/>
    <w:rsid w:val="0050277F"/>
    <w:rsid w:val="00504373"/>
    <w:rsid w:val="0051027E"/>
    <w:rsid w:val="0051280F"/>
    <w:rsid w:val="00512E54"/>
    <w:rsid w:val="0052578A"/>
    <w:rsid w:val="00526DD5"/>
    <w:rsid w:val="005405A6"/>
    <w:rsid w:val="00542D7B"/>
    <w:rsid w:val="00552DDA"/>
    <w:rsid w:val="0055767E"/>
    <w:rsid w:val="005627F6"/>
    <w:rsid w:val="00564985"/>
    <w:rsid w:val="0056610D"/>
    <w:rsid w:val="005678F3"/>
    <w:rsid w:val="00571476"/>
    <w:rsid w:val="0057278D"/>
    <w:rsid w:val="00575465"/>
    <w:rsid w:val="00582800"/>
    <w:rsid w:val="00582E1C"/>
    <w:rsid w:val="00583098"/>
    <w:rsid w:val="005858A5"/>
    <w:rsid w:val="00590866"/>
    <w:rsid w:val="00595526"/>
    <w:rsid w:val="005A0134"/>
    <w:rsid w:val="005A25FC"/>
    <w:rsid w:val="005A5702"/>
    <w:rsid w:val="005A6926"/>
    <w:rsid w:val="005A752E"/>
    <w:rsid w:val="005B54AD"/>
    <w:rsid w:val="005B554A"/>
    <w:rsid w:val="005B74C3"/>
    <w:rsid w:val="005C0CEC"/>
    <w:rsid w:val="005C2BDF"/>
    <w:rsid w:val="005C451E"/>
    <w:rsid w:val="005E3CB9"/>
    <w:rsid w:val="005E78AC"/>
    <w:rsid w:val="005F2DC9"/>
    <w:rsid w:val="005F7419"/>
    <w:rsid w:val="00601F43"/>
    <w:rsid w:val="00603D6D"/>
    <w:rsid w:val="006052F0"/>
    <w:rsid w:val="00605425"/>
    <w:rsid w:val="0060641B"/>
    <w:rsid w:val="006064CF"/>
    <w:rsid w:val="0061048D"/>
    <w:rsid w:val="00611420"/>
    <w:rsid w:val="0061293D"/>
    <w:rsid w:val="0062406F"/>
    <w:rsid w:val="00625121"/>
    <w:rsid w:val="0063211A"/>
    <w:rsid w:val="00634225"/>
    <w:rsid w:val="0063428C"/>
    <w:rsid w:val="00634A72"/>
    <w:rsid w:val="00637CAD"/>
    <w:rsid w:val="00640218"/>
    <w:rsid w:val="00645E7D"/>
    <w:rsid w:val="006520BC"/>
    <w:rsid w:val="0065257D"/>
    <w:rsid w:val="006543C3"/>
    <w:rsid w:val="00656281"/>
    <w:rsid w:val="00656EB6"/>
    <w:rsid w:val="00656F2D"/>
    <w:rsid w:val="00657D96"/>
    <w:rsid w:val="00660627"/>
    <w:rsid w:val="0066382F"/>
    <w:rsid w:val="00663A4F"/>
    <w:rsid w:val="006643C6"/>
    <w:rsid w:val="006645B4"/>
    <w:rsid w:val="00666BD8"/>
    <w:rsid w:val="006675F9"/>
    <w:rsid w:val="006677B7"/>
    <w:rsid w:val="00674852"/>
    <w:rsid w:val="0067528D"/>
    <w:rsid w:val="00677B34"/>
    <w:rsid w:val="00677F69"/>
    <w:rsid w:val="00680C1B"/>
    <w:rsid w:val="006846BE"/>
    <w:rsid w:val="006856E9"/>
    <w:rsid w:val="006873AE"/>
    <w:rsid w:val="00695842"/>
    <w:rsid w:val="006A0C03"/>
    <w:rsid w:val="006A2753"/>
    <w:rsid w:val="006A56BD"/>
    <w:rsid w:val="006A5D77"/>
    <w:rsid w:val="006B292C"/>
    <w:rsid w:val="006B3B2D"/>
    <w:rsid w:val="006C211F"/>
    <w:rsid w:val="006C3281"/>
    <w:rsid w:val="006C57CD"/>
    <w:rsid w:val="006C61DF"/>
    <w:rsid w:val="006C7C7E"/>
    <w:rsid w:val="006D208D"/>
    <w:rsid w:val="006D5512"/>
    <w:rsid w:val="006D575B"/>
    <w:rsid w:val="006E486F"/>
    <w:rsid w:val="006E5ECA"/>
    <w:rsid w:val="006E70BB"/>
    <w:rsid w:val="006E752D"/>
    <w:rsid w:val="006F7B98"/>
    <w:rsid w:val="00702E59"/>
    <w:rsid w:val="00703BB7"/>
    <w:rsid w:val="00707E76"/>
    <w:rsid w:val="00716CA1"/>
    <w:rsid w:val="00722351"/>
    <w:rsid w:val="00726ECC"/>
    <w:rsid w:val="007309C7"/>
    <w:rsid w:val="00735FF7"/>
    <w:rsid w:val="00742F8D"/>
    <w:rsid w:val="0074448B"/>
    <w:rsid w:val="00753A6E"/>
    <w:rsid w:val="00756EBE"/>
    <w:rsid w:val="00763585"/>
    <w:rsid w:val="00764D29"/>
    <w:rsid w:val="0077066B"/>
    <w:rsid w:val="00773CF8"/>
    <w:rsid w:val="00773E8E"/>
    <w:rsid w:val="00775750"/>
    <w:rsid w:val="007768AA"/>
    <w:rsid w:val="00785DBA"/>
    <w:rsid w:val="00792448"/>
    <w:rsid w:val="00796A21"/>
    <w:rsid w:val="007A649B"/>
    <w:rsid w:val="007C00CD"/>
    <w:rsid w:val="007C0BC7"/>
    <w:rsid w:val="007C1D6D"/>
    <w:rsid w:val="007C5127"/>
    <w:rsid w:val="007C7825"/>
    <w:rsid w:val="007D1BB3"/>
    <w:rsid w:val="007D2A7D"/>
    <w:rsid w:val="007D3D96"/>
    <w:rsid w:val="007D5106"/>
    <w:rsid w:val="007D7E14"/>
    <w:rsid w:val="007E0338"/>
    <w:rsid w:val="007E2096"/>
    <w:rsid w:val="007E71B9"/>
    <w:rsid w:val="007E7BCF"/>
    <w:rsid w:val="007F43B5"/>
    <w:rsid w:val="007F50B7"/>
    <w:rsid w:val="007F5841"/>
    <w:rsid w:val="00800101"/>
    <w:rsid w:val="00800482"/>
    <w:rsid w:val="00800A8B"/>
    <w:rsid w:val="00803901"/>
    <w:rsid w:val="00807F84"/>
    <w:rsid w:val="00812D3B"/>
    <w:rsid w:val="008134AC"/>
    <w:rsid w:val="008161F1"/>
    <w:rsid w:val="00817E45"/>
    <w:rsid w:val="00821F4A"/>
    <w:rsid w:val="00822CBC"/>
    <w:rsid w:val="00823A28"/>
    <w:rsid w:val="008256FC"/>
    <w:rsid w:val="0083265D"/>
    <w:rsid w:val="008329B2"/>
    <w:rsid w:val="008337E4"/>
    <w:rsid w:val="00837611"/>
    <w:rsid w:val="00842D91"/>
    <w:rsid w:val="00844C10"/>
    <w:rsid w:val="008453C7"/>
    <w:rsid w:val="00845C75"/>
    <w:rsid w:val="00847886"/>
    <w:rsid w:val="008503CB"/>
    <w:rsid w:val="00852BBD"/>
    <w:rsid w:val="00852CF4"/>
    <w:rsid w:val="00854532"/>
    <w:rsid w:val="0085778E"/>
    <w:rsid w:val="008639C2"/>
    <w:rsid w:val="0086552C"/>
    <w:rsid w:val="00872108"/>
    <w:rsid w:val="008737EF"/>
    <w:rsid w:val="00874463"/>
    <w:rsid w:val="0087485C"/>
    <w:rsid w:val="00876729"/>
    <w:rsid w:val="00876B95"/>
    <w:rsid w:val="008778A9"/>
    <w:rsid w:val="00882462"/>
    <w:rsid w:val="008848DE"/>
    <w:rsid w:val="00885DA9"/>
    <w:rsid w:val="008860F6"/>
    <w:rsid w:val="00891301"/>
    <w:rsid w:val="00891E29"/>
    <w:rsid w:val="00892D41"/>
    <w:rsid w:val="00894E88"/>
    <w:rsid w:val="0089596E"/>
    <w:rsid w:val="0089653D"/>
    <w:rsid w:val="008A25CB"/>
    <w:rsid w:val="008A3699"/>
    <w:rsid w:val="008A38D6"/>
    <w:rsid w:val="008A792E"/>
    <w:rsid w:val="008B4616"/>
    <w:rsid w:val="008C0D9E"/>
    <w:rsid w:val="008C4DF9"/>
    <w:rsid w:val="008C6042"/>
    <w:rsid w:val="008D2410"/>
    <w:rsid w:val="008D4AED"/>
    <w:rsid w:val="008D6FB9"/>
    <w:rsid w:val="008E1605"/>
    <w:rsid w:val="008E3DB3"/>
    <w:rsid w:val="008E6970"/>
    <w:rsid w:val="008F5DA4"/>
    <w:rsid w:val="008F7BCB"/>
    <w:rsid w:val="009035B2"/>
    <w:rsid w:val="00903E8E"/>
    <w:rsid w:val="00911B01"/>
    <w:rsid w:val="00911B6E"/>
    <w:rsid w:val="00912F23"/>
    <w:rsid w:val="00914E85"/>
    <w:rsid w:val="00917447"/>
    <w:rsid w:val="009176EF"/>
    <w:rsid w:val="009207BD"/>
    <w:rsid w:val="00922797"/>
    <w:rsid w:val="00925102"/>
    <w:rsid w:val="00927546"/>
    <w:rsid w:val="0093480E"/>
    <w:rsid w:val="0094003F"/>
    <w:rsid w:val="00944044"/>
    <w:rsid w:val="009465E2"/>
    <w:rsid w:val="009538BE"/>
    <w:rsid w:val="00953B99"/>
    <w:rsid w:val="009563DC"/>
    <w:rsid w:val="009619EE"/>
    <w:rsid w:val="00964F86"/>
    <w:rsid w:val="009735EB"/>
    <w:rsid w:val="00973EC7"/>
    <w:rsid w:val="00974490"/>
    <w:rsid w:val="00985752"/>
    <w:rsid w:val="0099139C"/>
    <w:rsid w:val="00993161"/>
    <w:rsid w:val="009A5F57"/>
    <w:rsid w:val="009A7511"/>
    <w:rsid w:val="009B6E3E"/>
    <w:rsid w:val="009B7CEB"/>
    <w:rsid w:val="009C093D"/>
    <w:rsid w:val="009C0D6A"/>
    <w:rsid w:val="009C45A3"/>
    <w:rsid w:val="009C7665"/>
    <w:rsid w:val="009D1E1E"/>
    <w:rsid w:val="009D318D"/>
    <w:rsid w:val="009D4862"/>
    <w:rsid w:val="009D68E5"/>
    <w:rsid w:val="009D70C2"/>
    <w:rsid w:val="009D75E2"/>
    <w:rsid w:val="009E053D"/>
    <w:rsid w:val="009E2EF3"/>
    <w:rsid w:val="009E603D"/>
    <w:rsid w:val="009F2168"/>
    <w:rsid w:val="009F3509"/>
    <w:rsid w:val="009F3D1A"/>
    <w:rsid w:val="009F715E"/>
    <w:rsid w:val="00A00A97"/>
    <w:rsid w:val="00A0140E"/>
    <w:rsid w:val="00A029ED"/>
    <w:rsid w:val="00A101D4"/>
    <w:rsid w:val="00A15392"/>
    <w:rsid w:val="00A15393"/>
    <w:rsid w:val="00A155C5"/>
    <w:rsid w:val="00A168E3"/>
    <w:rsid w:val="00A20777"/>
    <w:rsid w:val="00A25CFC"/>
    <w:rsid w:val="00A27B50"/>
    <w:rsid w:val="00A32D8B"/>
    <w:rsid w:val="00A3483F"/>
    <w:rsid w:val="00A34BAE"/>
    <w:rsid w:val="00A3651E"/>
    <w:rsid w:val="00A418F5"/>
    <w:rsid w:val="00A4220F"/>
    <w:rsid w:val="00A50C0B"/>
    <w:rsid w:val="00A50DD9"/>
    <w:rsid w:val="00A622E0"/>
    <w:rsid w:val="00A62FF2"/>
    <w:rsid w:val="00A66C82"/>
    <w:rsid w:val="00A71591"/>
    <w:rsid w:val="00A72CB7"/>
    <w:rsid w:val="00A72D95"/>
    <w:rsid w:val="00A77646"/>
    <w:rsid w:val="00A82702"/>
    <w:rsid w:val="00A8381E"/>
    <w:rsid w:val="00A87056"/>
    <w:rsid w:val="00A876FA"/>
    <w:rsid w:val="00A914A3"/>
    <w:rsid w:val="00A9228C"/>
    <w:rsid w:val="00A95197"/>
    <w:rsid w:val="00A953B8"/>
    <w:rsid w:val="00A96623"/>
    <w:rsid w:val="00A9736C"/>
    <w:rsid w:val="00AA4143"/>
    <w:rsid w:val="00AA4B15"/>
    <w:rsid w:val="00AB02F8"/>
    <w:rsid w:val="00AB1F56"/>
    <w:rsid w:val="00AB5605"/>
    <w:rsid w:val="00AB5CB2"/>
    <w:rsid w:val="00AC146C"/>
    <w:rsid w:val="00AC1977"/>
    <w:rsid w:val="00AC2981"/>
    <w:rsid w:val="00AC332E"/>
    <w:rsid w:val="00AD0329"/>
    <w:rsid w:val="00AD50E9"/>
    <w:rsid w:val="00AD6AE4"/>
    <w:rsid w:val="00AD6BBC"/>
    <w:rsid w:val="00AE122C"/>
    <w:rsid w:val="00AE71DC"/>
    <w:rsid w:val="00AF2643"/>
    <w:rsid w:val="00AF56EB"/>
    <w:rsid w:val="00AF7D61"/>
    <w:rsid w:val="00B02560"/>
    <w:rsid w:val="00B05D38"/>
    <w:rsid w:val="00B06FEE"/>
    <w:rsid w:val="00B10977"/>
    <w:rsid w:val="00B121FE"/>
    <w:rsid w:val="00B1323E"/>
    <w:rsid w:val="00B21FDB"/>
    <w:rsid w:val="00B228F2"/>
    <w:rsid w:val="00B250FB"/>
    <w:rsid w:val="00B323B7"/>
    <w:rsid w:val="00B37949"/>
    <w:rsid w:val="00B40E2E"/>
    <w:rsid w:val="00B46714"/>
    <w:rsid w:val="00B538CD"/>
    <w:rsid w:val="00B57F05"/>
    <w:rsid w:val="00B608A4"/>
    <w:rsid w:val="00B60EF0"/>
    <w:rsid w:val="00B6211F"/>
    <w:rsid w:val="00B63042"/>
    <w:rsid w:val="00B63CD2"/>
    <w:rsid w:val="00B65D89"/>
    <w:rsid w:val="00B75414"/>
    <w:rsid w:val="00B7767B"/>
    <w:rsid w:val="00B8237E"/>
    <w:rsid w:val="00B84027"/>
    <w:rsid w:val="00B84543"/>
    <w:rsid w:val="00B8649D"/>
    <w:rsid w:val="00B91951"/>
    <w:rsid w:val="00B95DC3"/>
    <w:rsid w:val="00BA261F"/>
    <w:rsid w:val="00BA4CC0"/>
    <w:rsid w:val="00BA7250"/>
    <w:rsid w:val="00BB0C43"/>
    <w:rsid w:val="00BB2C89"/>
    <w:rsid w:val="00BB2DE2"/>
    <w:rsid w:val="00BB4B9A"/>
    <w:rsid w:val="00BB69C8"/>
    <w:rsid w:val="00BB71FC"/>
    <w:rsid w:val="00BC10FC"/>
    <w:rsid w:val="00BC2695"/>
    <w:rsid w:val="00BC29A8"/>
    <w:rsid w:val="00BC5B74"/>
    <w:rsid w:val="00BC60D2"/>
    <w:rsid w:val="00BC778F"/>
    <w:rsid w:val="00BD7F9E"/>
    <w:rsid w:val="00BE4E34"/>
    <w:rsid w:val="00BF2AFB"/>
    <w:rsid w:val="00BF44EB"/>
    <w:rsid w:val="00BF58FA"/>
    <w:rsid w:val="00BF6275"/>
    <w:rsid w:val="00C03C8A"/>
    <w:rsid w:val="00C04308"/>
    <w:rsid w:val="00C04454"/>
    <w:rsid w:val="00C057E1"/>
    <w:rsid w:val="00C169EC"/>
    <w:rsid w:val="00C16F49"/>
    <w:rsid w:val="00C2167B"/>
    <w:rsid w:val="00C22F8E"/>
    <w:rsid w:val="00C340DD"/>
    <w:rsid w:val="00C34B1F"/>
    <w:rsid w:val="00C34E81"/>
    <w:rsid w:val="00C35391"/>
    <w:rsid w:val="00C3709A"/>
    <w:rsid w:val="00C37B39"/>
    <w:rsid w:val="00C37B8F"/>
    <w:rsid w:val="00C4574D"/>
    <w:rsid w:val="00C546F9"/>
    <w:rsid w:val="00C549AD"/>
    <w:rsid w:val="00C56E05"/>
    <w:rsid w:val="00C576DC"/>
    <w:rsid w:val="00C62526"/>
    <w:rsid w:val="00C63E75"/>
    <w:rsid w:val="00C646C1"/>
    <w:rsid w:val="00C65C4E"/>
    <w:rsid w:val="00C70914"/>
    <w:rsid w:val="00C733BE"/>
    <w:rsid w:val="00C76DF3"/>
    <w:rsid w:val="00C802A3"/>
    <w:rsid w:val="00C83906"/>
    <w:rsid w:val="00C869C3"/>
    <w:rsid w:val="00C86F52"/>
    <w:rsid w:val="00C92125"/>
    <w:rsid w:val="00C92473"/>
    <w:rsid w:val="00C94588"/>
    <w:rsid w:val="00C951F8"/>
    <w:rsid w:val="00CA3F53"/>
    <w:rsid w:val="00CA5D1C"/>
    <w:rsid w:val="00CB5036"/>
    <w:rsid w:val="00CC35A7"/>
    <w:rsid w:val="00CC3E08"/>
    <w:rsid w:val="00CC6D1E"/>
    <w:rsid w:val="00CD0016"/>
    <w:rsid w:val="00CD2AD9"/>
    <w:rsid w:val="00CE3125"/>
    <w:rsid w:val="00CE5E88"/>
    <w:rsid w:val="00CF012A"/>
    <w:rsid w:val="00CF1B32"/>
    <w:rsid w:val="00CF320F"/>
    <w:rsid w:val="00CF4B96"/>
    <w:rsid w:val="00CF78B8"/>
    <w:rsid w:val="00D0299E"/>
    <w:rsid w:val="00D03FDD"/>
    <w:rsid w:val="00D04B28"/>
    <w:rsid w:val="00D04CF0"/>
    <w:rsid w:val="00D057EF"/>
    <w:rsid w:val="00D07297"/>
    <w:rsid w:val="00D07604"/>
    <w:rsid w:val="00D146F0"/>
    <w:rsid w:val="00D168B6"/>
    <w:rsid w:val="00D17175"/>
    <w:rsid w:val="00D2516F"/>
    <w:rsid w:val="00D25882"/>
    <w:rsid w:val="00D27364"/>
    <w:rsid w:val="00D30DD6"/>
    <w:rsid w:val="00D31092"/>
    <w:rsid w:val="00D328B9"/>
    <w:rsid w:val="00D342FC"/>
    <w:rsid w:val="00D353DA"/>
    <w:rsid w:val="00D520F8"/>
    <w:rsid w:val="00D52FC4"/>
    <w:rsid w:val="00D538CC"/>
    <w:rsid w:val="00D53AAB"/>
    <w:rsid w:val="00D56183"/>
    <w:rsid w:val="00D60405"/>
    <w:rsid w:val="00D635AD"/>
    <w:rsid w:val="00D63E6E"/>
    <w:rsid w:val="00D65389"/>
    <w:rsid w:val="00D7714B"/>
    <w:rsid w:val="00D81FD6"/>
    <w:rsid w:val="00D84568"/>
    <w:rsid w:val="00D90873"/>
    <w:rsid w:val="00D93348"/>
    <w:rsid w:val="00D93E25"/>
    <w:rsid w:val="00D97673"/>
    <w:rsid w:val="00D97BCB"/>
    <w:rsid w:val="00DA16B7"/>
    <w:rsid w:val="00DA32AD"/>
    <w:rsid w:val="00DB70DD"/>
    <w:rsid w:val="00DB7D7D"/>
    <w:rsid w:val="00DC3997"/>
    <w:rsid w:val="00DC3E95"/>
    <w:rsid w:val="00DC4923"/>
    <w:rsid w:val="00DD16C5"/>
    <w:rsid w:val="00DD40F3"/>
    <w:rsid w:val="00DD7207"/>
    <w:rsid w:val="00DE45DA"/>
    <w:rsid w:val="00DE64A7"/>
    <w:rsid w:val="00DF3AED"/>
    <w:rsid w:val="00E012E4"/>
    <w:rsid w:val="00E042DB"/>
    <w:rsid w:val="00E04DBC"/>
    <w:rsid w:val="00E04F21"/>
    <w:rsid w:val="00E04F5A"/>
    <w:rsid w:val="00E04F7A"/>
    <w:rsid w:val="00E06E04"/>
    <w:rsid w:val="00E077D5"/>
    <w:rsid w:val="00E107C1"/>
    <w:rsid w:val="00E12F1B"/>
    <w:rsid w:val="00E14270"/>
    <w:rsid w:val="00E22271"/>
    <w:rsid w:val="00E25883"/>
    <w:rsid w:val="00E36159"/>
    <w:rsid w:val="00E4627D"/>
    <w:rsid w:val="00E511B6"/>
    <w:rsid w:val="00E56A90"/>
    <w:rsid w:val="00E6129A"/>
    <w:rsid w:val="00E61C3E"/>
    <w:rsid w:val="00E6613C"/>
    <w:rsid w:val="00E66390"/>
    <w:rsid w:val="00E66597"/>
    <w:rsid w:val="00E733C0"/>
    <w:rsid w:val="00E81608"/>
    <w:rsid w:val="00E828B7"/>
    <w:rsid w:val="00E836C5"/>
    <w:rsid w:val="00E841D9"/>
    <w:rsid w:val="00E844B4"/>
    <w:rsid w:val="00E84D70"/>
    <w:rsid w:val="00E91BFE"/>
    <w:rsid w:val="00E9382D"/>
    <w:rsid w:val="00E97BE4"/>
    <w:rsid w:val="00EA6BE6"/>
    <w:rsid w:val="00EB09CF"/>
    <w:rsid w:val="00EB2406"/>
    <w:rsid w:val="00EB4E3E"/>
    <w:rsid w:val="00EB542B"/>
    <w:rsid w:val="00EB6B33"/>
    <w:rsid w:val="00EC1BE2"/>
    <w:rsid w:val="00EC5814"/>
    <w:rsid w:val="00EC5C5A"/>
    <w:rsid w:val="00EC7D98"/>
    <w:rsid w:val="00ED2B22"/>
    <w:rsid w:val="00ED428F"/>
    <w:rsid w:val="00EE258A"/>
    <w:rsid w:val="00EE2D7A"/>
    <w:rsid w:val="00EE58D1"/>
    <w:rsid w:val="00EF59C1"/>
    <w:rsid w:val="00F06947"/>
    <w:rsid w:val="00F1027E"/>
    <w:rsid w:val="00F152E5"/>
    <w:rsid w:val="00F2658B"/>
    <w:rsid w:val="00F3264B"/>
    <w:rsid w:val="00F33BED"/>
    <w:rsid w:val="00F366AB"/>
    <w:rsid w:val="00F3732F"/>
    <w:rsid w:val="00F37741"/>
    <w:rsid w:val="00F4283D"/>
    <w:rsid w:val="00F44C42"/>
    <w:rsid w:val="00F45DDB"/>
    <w:rsid w:val="00F512A5"/>
    <w:rsid w:val="00F52F12"/>
    <w:rsid w:val="00F56823"/>
    <w:rsid w:val="00F568A2"/>
    <w:rsid w:val="00F57391"/>
    <w:rsid w:val="00F61042"/>
    <w:rsid w:val="00F64ED0"/>
    <w:rsid w:val="00F66E74"/>
    <w:rsid w:val="00F67F60"/>
    <w:rsid w:val="00F7280E"/>
    <w:rsid w:val="00F75BCA"/>
    <w:rsid w:val="00F77B31"/>
    <w:rsid w:val="00F81826"/>
    <w:rsid w:val="00F8485F"/>
    <w:rsid w:val="00F8784F"/>
    <w:rsid w:val="00F906CF"/>
    <w:rsid w:val="00F90AEB"/>
    <w:rsid w:val="00F911A2"/>
    <w:rsid w:val="00F91F86"/>
    <w:rsid w:val="00F944DD"/>
    <w:rsid w:val="00F94538"/>
    <w:rsid w:val="00F945F0"/>
    <w:rsid w:val="00F95C08"/>
    <w:rsid w:val="00F96D1D"/>
    <w:rsid w:val="00FA38DB"/>
    <w:rsid w:val="00FA42DA"/>
    <w:rsid w:val="00FA6415"/>
    <w:rsid w:val="00FA7C3E"/>
    <w:rsid w:val="00FB2BF1"/>
    <w:rsid w:val="00FB3441"/>
    <w:rsid w:val="00FB4A2E"/>
    <w:rsid w:val="00FC02C0"/>
    <w:rsid w:val="00FC0C24"/>
    <w:rsid w:val="00FC2986"/>
    <w:rsid w:val="00FC43B3"/>
    <w:rsid w:val="00FC529F"/>
    <w:rsid w:val="00FC5B4E"/>
    <w:rsid w:val="00FC613D"/>
    <w:rsid w:val="00FC73DA"/>
    <w:rsid w:val="00FD0393"/>
    <w:rsid w:val="00FD39B2"/>
    <w:rsid w:val="00FD4C48"/>
    <w:rsid w:val="00FD7D8D"/>
    <w:rsid w:val="00FE0D89"/>
    <w:rsid w:val="00FE74AD"/>
    <w:rsid w:val="00FE78E6"/>
    <w:rsid w:val="00FF058D"/>
    <w:rsid w:val="00FF3CA5"/>
    <w:rsid w:val="00FF515C"/>
    <w:rsid w:val="00FF52E4"/>
    <w:rsid w:val="00FF59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5:docId w15:val="{0CC7C91E-8372-4610-A3D2-8FD4103A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6F52"/>
  </w:style>
  <w:style w:type="paragraph" w:styleId="Heading1">
    <w:name w:val="heading 1"/>
    <w:basedOn w:val="Normal"/>
    <w:next w:val="Normal"/>
    <w:link w:val="Heading1Char"/>
    <w:uiPriority w:val="99"/>
    <w:qFormat/>
    <w:rsid w:val="00DE45DA"/>
    <w:pPr>
      <w:keepNext/>
      <w:keepLines/>
      <w:spacing w:before="480" w:after="0"/>
      <w:jc w:val="both"/>
      <w:outlineLvl w:val="0"/>
    </w:pPr>
    <w:rPr>
      <w:rFonts w:ascii="Cambria" w:eastAsia="Calibri"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776"/>
    <w:rPr>
      <w:color w:val="0000FF" w:themeColor="hyperlink"/>
      <w:u w:val="single"/>
    </w:rPr>
  </w:style>
  <w:style w:type="paragraph" w:styleId="BalloonText">
    <w:name w:val="Balloon Text"/>
    <w:basedOn w:val="Normal"/>
    <w:link w:val="BalloonTextChar"/>
    <w:uiPriority w:val="99"/>
    <w:semiHidden/>
    <w:unhideWhenUsed/>
    <w:rsid w:val="006752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28D"/>
    <w:rPr>
      <w:rFonts w:ascii="Tahoma" w:hAnsi="Tahoma" w:cs="Tahoma"/>
      <w:sz w:val="16"/>
      <w:szCs w:val="16"/>
    </w:rPr>
  </w:style>
  <w:style w:type="character" w:customStyle="1" w:styleId="FontStyle12">
    <w:name w:val="Font Style12"/>
    <w:rsid w:val="001F067C"/>
    <w:rPr>
      <w:rFonts w:ascii="Cambria" w:hAnsi="Cambria" w:cs="Cambria"/>
      <w:sz w:val="18"/>
      <w:szCs w:val="18"/>
    </w:rPr>
  </w:style>
  <w:style w:type="paragraph" w:styleId="NoSpacing">
    <w:name w:val="No Spacing"/>
    <w:uiPriority w:val="99"/>
    <w:qFormat/>
    <w:rsid w:val="001F067C"/>
    <w:pPr>
      <w:spacing w:after="0"/>
    </w:pPr>
    <w:rPr>
      <w:rFonts w:ascii="Calibri" w:eastAsia="Calibri" w:hAnsi="Calibri" w:cs="Times New Roman"/>
      <w:lang w:val="bg-BG"/>
    </w:rPr>
  </w:style>
  <w:style w:type="character" w:customStyle="1" w:styleId="apple-style-span">
    <w:name w:val="apple-style-span"/>
    <w:basedOn w:val="DefaultParagraphFont"/>
    <w:uiPriority w:val="99"/>
    <w:rsid w:val="00E04F21"/>
  </w:style>
  <w:style w:type="paragraph" w:customStyle="1" w:styleId="Style5">
    <w:name w:val="Style5"/>
    <w:basedOn w:val="Normal"/>
    <w:rsid w:val="00E04DBC"/>
    <w:pPr>
      <w:widowControl w:val="0"/>
      <w:autoSpaceDE w:val="0"/>
      <w:autoSpaceDN w:val="0"/>
      <w:adjustRightInd w:val="0"/>
      <w:spacing w:after="0"/>
      <w:jc w:val="both"/>
    </w:pPr>
    <w:rPr>
      <w:rFonts w:ascii="Arial" w:eastAsia="Times New Roman" w:hAnsi="Arial" w:cs="Times New Roman"/>
      <w:sz w:val="24"/>
      <w:szCs w:val="24"/>
      <w:lang w:val="bg-BG"/>
    </w:rPr>
  </w:style>
  <w:style w:type="paragraph" w:customStyle="1" w:styleId="Style6">
    <w:name w:val="Style6"/>
    <w:basedOn w:val="Normal"/>
    <w:uiPriority w:val="99"/>
    <w:rsid w:val="00E04DBC"/>
    <w:pPr>
      <w:widowControl w:val="0"/>
      <w:autoSpaceDE w:val="0"/>
      <w:autoSpaceDN w:val="0"/>
      <w:adjustRightInd w:val="0"/>
      <w:spacing w:after="0" w:line="300" w:lineRule="exact"/>
      <w:jc w:val="both"/>
    </w:pPr>
    <w:rPr>
      <w:rFonts w:ascii="Arial" w:eastAsia="Times New Roman" w:hAnsi="Arial" w:cs="Times New Roman"/>
      <w:sz w:val="24"/>
      <w:szCs w:val="24"/>
      <w:lang w:val="bg-BG"/>
    </w:rPr>
  </w:style>
  <w:style w:type="character" w:customStyle="1" w:styleId="FontStyle107">
    <w:name w:val="Font Style107"/>
    <w:uiPriority w:val="99"/>
    <w:rsid w:val="00E04DBC"/>
    <w:rPr>
      <w:rFonts w:ascii="Arial" w:hAnsi="Arial" w:cs="Arial"/>
      <w:b/>
      <w:bCs/>
      <w:i/>
      <w:iCs/>
      <w:sz w:val="20"/>
      <w:szCs w:val="20"/>
    </w:rPr>
  </w:style>
  <w:style w:type="character" w:customStyle="1" w:styleId="FontStyle120">
    <w:name w:val="Font Style120"/>
    <w:uiPriority w:val="99"/>
    <w:rsid w:val="00E04DBC"/>
    <w:rPr>
      <w:rFonts w:ascii="Arial" w:hAnsi="Arial" w:cs="Arial"/>
      <w:sz w:val="20"/>
      <w:szCs w:val="20"/>
    </w:rPr>
  </w:style>
  <w:style w:type="character" w:customStyle="1" w:styleId="Heading1Char">
    <w:name w:val="Heading 1 Char"/>
    <w:basedOn w:val="DefaultParagraphFont"/>
    <w:link w:val="Heading1"/>
    <w:uiPriority w:val="99"/>
    <w:rsid w:val="00DE45DA"/>
    <w:rPr>
      <w:rFonts w:ascii="Cambria" w:eastAsia="Calibri" w:hAnsi="Cambria" w:cs="Times New Roman"/>
      <w:b/>
      <w:bCs/>
      <w:color w:val="365F91"/>
      <w:sz w:val="28"/>
      <w:szCs w:val="28"/>
    </w:rPr>
  </w:style>
  <w:style w:type="paragraph" w:customStyle="1" w:styleId="Normalen">
    <w:name w:val="Normalen"/>
    <w:basedOn w:val="Normal"/>
    <w:link w:val="NormalenChar"/>
    <w:uiPriority w:val="99"/>
    <w:rsid w:val="00DE45DA"/>
    <w:pPr>
      <w:spacing w:after="0"/>
      <w:jc w:val="both"/>
    </w:pPr>
    <w:rPr>
      <w:rFonts w:ascii="Calibri" w:eastAsia="Calibri" w:hAnsi="Calibri" w:cs="Times New Roman"/>
      <w:sz w:val="24"/>
      <w:szCs w:val="24"/>
      <w:lang w:val="bg-BG"/>
    </w:rPr>
  </w:style>
  <w:style w:type="character" w:customStyle="1" w:styleId="NormalenChar">
    <w:name w:val="Normalen Char"/>
    <w:link w:val="Normalen"/>
    <w:uiPriority w:val="99"/>
    <w:rsid w:val="00DE45DA"/>
    <w:rPr>
      <w:rFonts w:ascii="Calibri" w:eastAsia="Calibri" w:hAnsi="Calibri" w:cs="Times New Roman"/>
      <w:sz w:val="24"/>
      <w:szCs w:val="24"/>
      <w:lang w:val="bg-BG"/>
    </w:rPr>
  </w:style>
  <w:style w:type="paragraph" w:styleId="Header">
    <w:name w:val="header"/>
    <w:basedOn w:val="Normal"/>
    <w:link w:val="HeaderChar"/>
    <w:uiPriority w:val="99"/>
    <w:unhideWhenUsed/>
    <w:rsid w:val="000938EB"/>
    <w:pPr>
      <w:tabs>
        <w:tab w:val="center" w:pos="4703"/>
        <w:tab w:val="right" w:pos="9406"/>
      </w:tabs>
      <w:spacing w:after="0"/>
    </w:pPr>
  </w:style>
  <w:style w:type="character" w:customStyle="1" w:styleId="HeaderChar">
    <w:name w:val="Header Char"/>
    <w:basedOn w:val="DefaultParagraphFont"/>
    <w:link w:val="Header"/>
    <w:uiPriority w:val="99"/>
    <w:rsid w:val="000938EB"/>
  </w:style>
  <w:style w:type="paragraph" w:styleId="Footer">
    <w:name w:val="footer"/>
    <w:basedOn w:val="Normal"/>
    <w:link w:val="FooterChar"/>
    <w:uiPriority w:val="99"/>
    <w:unhideWhenUsed/>
    <w:rsid w:val="000938EB"/>
    <w:pPr>
      <w:tabs>
        <w:tab w:val="center" w:pos="4703"/>
        <w:tab w:val="right" w:pos="9406"/>
      </w:tabs>
      <w:spacing w:after="0"/>
    </w:pPr>
  </w:style>
  <w:style w:type="character" w:customStyle="1" w:styleId="FooterChar">
    <w:name w:val="Footer Char"/>
    <w:basedOn w:val="DefaultParagraphFont"/>
    <w:link w:val="Footer"/>
    <w:uiPriority w:val="99"/>
    <w:rsid w:val="000938EB"/>
  </w:style>
  <w:style w:type="paragraph" w:styleId="BodyText2">
    <w:name w:val="Body Text 2"/>
    <w:basedOn w:val="Normal"/>
    <w:link w:val="BodyText2Char"/>
    <w:uiPriority w:val="99"/>
    <w:rsid w:val="00AE71DC"/>
    <w:pPr>
      <w:spacing w:after="0"/>
      <w:jc w:val="both"/>
    </w:pPr>
    <w:rPr>
      <w:rFonts w:ascii="Times New Roman" w:eastAsia="Times New Roman" w:hAnsi="Times New Roman" w:cs="Times New Roman"/>
      <w:sz w:val="24"/>
      <w:szCs w:val="20"/>
      <w:lang w:val="bg-BG"/>
    </w:rPr>
  </w:style>
  <w:style w:type="character" w:customStyle="1" w:styleId="BodyText2Char">
    <w:name w:val="Body Text 2 Char"/>
    <w:basedOn w:val="DefaultParagraphFont"/>
    <w:link w:val="BodyText2"/>
    <w:uiPriority w:val="99"/>
    <w:rsid w:val="00AE71DC"/>
    <w:rPr>
      <w:rFonts w:ascii="Times New Roman" w:eastAsia="Times New Roman" w:hAnsi="Times New Roman" w:cs="Times New Roman"/>
      <w:sz w:val="24"/>
      <w:szCs w:val="20"/>
      <w:lang w:val="bg-BG"/>
    </w:rPr>
  </w:style>
  <w:style w:type="paragraph" w:styleId="Revision">
    <w:name w:val="Revision"/>
    <w:hidden/>
    <w:uiPriority w:val="99"/>
    <w:semiHidden/>
    <w:rsid w:val="00435ED9"/>
    <w:pPr>
      <w:spacing w:after="0"/>
    </w:pPr>
  </w:style>
  <w:style w:type="paragraph" w:customStyle="1" w:styleId="Default">
    <w:name w:val="Default"/>
    <w:uiPriority w:val="99"/>
    <w:rsid w:val="001005BD"/>
    <w:pPr>
      <w:autoSpaceDE w:val="0"/>
      <w:autoSpaceDN w:val="0"/>
      <w:adjustRightInd w:val="0"/>
      <w:spacing w:after="0"/>
    </w:pPr>
    <w:rPr>
      <w:rFonts w:ascii="Times New Roman" w:eastAsia="Times New Roman" w:hAnsi="Times New Roman" w:cs="Times New Roman"/>
      <w:color w:val="000000"/>
      <w:sz w:val="24"/>
      <w:szCs w:val="24"/>
    </w:rPr>
  </w:style>
  <w:style w:type="table" w:styleId="TableGrid">
    <w:name w:val="Table Grid"/>
    <w:basedOn w:val="TableNormal"/>
    <w:rsid w:val="00FB3441"/>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0405"/>
    <w:rPr>
      <w:sz w:val="16"/>
      <w:szCs w:val="16"/>
    </w:rPr>
  </w:style>
  <w:style w:type="paragraph" w:styleId="CommentText">
    <w:name w:val="annotation text"/>
    <w:basedOn w:val="Normal"/>
    <w:link w:val="CommentTextChar"/>
    <w:uiPriority w:val="99"/>
    <w:semiHidden/>
    <w:unhideWhenUsed/>
    <w:rsid w:val="00D60405"/>
    <w:rPr>
      <w:sz w:val="20"/>
      <w:szCs w:val="20"/>
    </w:rPr>
  </w:style>
  <w:style w:type="character" w:customStyle="1" w:styleId="CommentTextChar">
    <w:name w:val="Comment Text Char"/>
    <w:basedOn w:val="DefaultParagraphFont"/>
    <w:link w:val="CommentText"/>
    <w:uiPriority w:val="99"/>
    <w:semiHidden/>
    <w:rsid w:val="00D60405"/>
    <w:rPr>
      <w:sz w:val="20"/>
      <w:szCs w:val="20"/>
    </w:rPr>
  </w:style>
  <w:style w:type="paragraph" w:styleId="CommentSubject">
    <w:name w:val="annotation subject"/>
    <w:basedOn w:val="CommentText"/>
    <w:next w:val="CommentText"/>
    <w:link w:val="CommentSubjectChar"/>
    <w:uiPriority w:val="99"/>
    <w:semiHidden/>
    <w:unhideWhenUsed/>
    <w:rsid w:val="00D60405"/>
    <w:rPr>
      <w:b/>
      <w:bCs/>
    </w:rPr>
  </w:style>
  <w:style w:type="character" w:customStyle="1" w:styleId="CommentSubjectChar">
    <w:name w:val="Comment Subject Char"/>
    <w:basedOn w:val="CommentTextChar"/>
    <w:link w:val="CommentSubject"/>
    <w:uiPriority w:val="99"/>
    <w:semiHidden/>
    <w:rsid w:val="00D604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0846">
      <w:bodyDiv w:val="1"/>
      <w:marLeft w:val="0"/>
      <w:marRight w:val="0"/>
      <w:marTop w:val="0"/>
      <w:marBottom w:val="0"/>
      <w:divBdr>
        <w:top w:val="none" w:sz="0" w:space="0" w:color="auto"/>
        <w:left w:val="none" w:sz="0" w:space="0" w:color="auto"/>
        <w:bottom w:val="none" w:sz="0" w:space="0" w:color="auto"/>
        <w:right w:val="none" w:sz="0" w:space="0" w:color="auto"/>
      </w:divBdr>
    </w:div>
    <w:div w:id="240526241">
      <w:bodyDiv w:val="1"/>
      <w:marLeft w:val="0"/>
      <w:marRight w:val="0"/>
      <w:marTop w:val="0"/>
      <w:marBottom w:val="0"/>
      <w:divBdr>
        <w:top w:val="none" w:sz="0" w:space="0" w:color="auto"/>
        <w:left w:val="none" w:sz="0" w:space="0" w:color="auto"/>
        <w:bottom w:val="none" w:sz="0" w:space="0" w:color="auto"/>
        <w:right w:val="none" w:sz="0" w:space="0" w:color="auto"/>
      </w:divBdr>
    </w:div>
    <w:div w:id="311179177">
      <w:bodyDiv w:val="1"/>
      <w:marLeft w:val="0"/>
      <w:marRight w:val="0"/>
      <w:marTop w:val="0"/>
      <w:marBottom w:val="0"/>
      <w:divBdr>
        <w:top w:val="none" w:sz="0" w:space="0" w:color="auto"/>
        <w:left w:val="none" w:sz="0" w:space="0" w:color="auto"/>
        <w:bottom w:val="none" w:sz="0" w:space="0" w:color="auto"/>
        <w:right w:val="none" w:sz="0" w:space="0" w:color="auto"/>
      </w:divBdr>
    </w:div>
    <w:div w:id="446778713">
      <w:bodyDiv w:val="1"/>
      <w:marLeft w:val="0"/>
      <w:marRight w:val="0"/>
      <w:marTop w:val="0"/>
      <w:marBottom w:val="0"/>
      <w:divBdr>
        <w:top w:val="none" w:sz="0" w:space="0" w:color="auto"/>
        <w:left w:val="none" w:sz="0" w:space="0" w:color="auto"/>
        <w:bottom w:val="none" w:sz="0" w:space="0" w:color="auto"/>
        <w:right w:val="none" w:sz="0" w:space="0" w:color="auto"/>
      </w:divBdr>
    </w:div>
    <w:div w:id="490876152">
      <w:bodyDiv w:val="1"/>
      <w:marLeft w:val="0"/>
      <w:marRight w:val="0"/>
      <w:marTop w:val="0"/>
      <w:marBottom w:val="0"/>
      <w:divBdr>
        <w:top w:val="none" w:sz="0" w:space="0" w:color="auto"/>
        <w:left w:val="none" w:sz="0" w:space="0" w:color="auto"/>
        <w:bottom w:val="none" w:sz="0" w:space="0" w:color="auto"/>
        <w:right w:val="none" w:sz="0" w:space="0" w:color="auto"/>
      </w:divBdr>
    </w:div>
    <w:div w:id="513420154">
      <w:bodyDiv w:val="1"/>
      <w:marLeft w:val="0"/>
      <w:marRight w:val="0"/>
      <w:marTop w:val="0"/>
      <w:marBottom w:val="0"/>
      <w:divBdr>
        <w:top w:val="none" w:sz="0" w:space="0" w:color="auto"/>
        <w:left w:val="none" w:sz="0" w:space="0" w:color="auto"/>
        <w:bottom w:val="none" w:sz="0" w:space="0" w:color="auto"/>
        <w:right w:val="none" w:sz="0" w:space="0" w:color="auto"/>
      </w:divBdr>
    </w:div>
    <w:div w:id="527522583">
      <w:bodyDiv w:val="1"/>
      <w:marLeft w:val="0"/>
      <w:marRight w:val="0"/>
      <w:marTop w:val="0"/>
      <w:marBottom w:val="0"/>
      <w:divBdr>
        <w:top w:val="none" w:sz="0" w:space="0" w:color="auto"/>
        <w:left w:val="none" w:sz="0" w:space="0" w:color="auto"/>
        <w:bottom w:val="none" w:sz="0" w:space="0" w:color="auto"/>
        <w:right w:val="none" w:sz="0" w:space="0" w:color="auto"/>
      </w:divBdr>
    </w:div>
    <w:div w:id="628824840">
      <w:bodyDiv w:val="1"/>
      <w:marLeft w:val="0"/>
      <w:marRight w:val="0"/>
      <w:marTop w:val="0"/>
      <w:marBottom w:val="0"/>
      <w:divBdr>
        <w:top w:val="none" w:sz="0" w:space="0" w:color="auto"/>
        <w:left w:val="none" w:sz="0" w:space="0" w:color="auto"/>
        <w:bottom w:val="none" w:sz="0" w:space="0" w:color="auto"/>
        <w:right w:val="none" w:sz="0" w:space="0" w:color="auto"/>
      </w:divBdr>
    </w:div>
    <w:div w:id="730422430">
      <w:bodyDiv w:val="1"/>
      <w:marLeft w:val="0"/>
      <w:marRight w:val="0"/>
      <w:marTop w:val="0"/>
      <w:marBottom w:val="0"/>
      <w:divBdr>
        <w:top w:val="none" w:sz="0" w:space="0" w:color="auto"/>
        <w:left w:val="none" w:sz="0" w:space="0" w:color="auto"/>
        <w:bottom w:val="none" w:sz="0" w:space="0" w:color="auto"/>
        <w:right w:val="none" w:sz="0" w:space="0" w:color="auto"/>
      </w:divBdr>
    </w:div>
    <w:div w:id="765880345">
      <w:bodyDiv w:val="1"/>
      <w:marLeft w:val="0"/>
      <w:marRight w:val="0"/>
      <w:marTop w:val="0"/>
      <w:marBottom w:val="0"/>
      <w:divBdr>
        <w:top w:val="none" w:sz="0" w:space="0" w:color="auto"/>
        <w:left w:val="none" w:sz="0" w:space="0" w:color="auto"/>
        <w:bottom w:val="none" w:sz="0" w:space="0" w:color="auto"/>
        <w:right w:val="none" w:sz="0" w:space="0" w:color="auto"/>
      </w:divBdr>
    </w:div>
    <w:div w:id="856426110">
      <w:bodyDiv w:val="1"/>
      <w:marLeft w:val="0"/>
      <w:marRight w:val="0"/>
      <w:marTop w:val="0"/>
      <w:marBottom w:val="0"/>
      <w:divBdr>
        <w:top w:val="none" w:sz="0" w:space="0" w:color="auto"/>
        <w:left w:val="none" w:sz="0" w:space="0" w:color="auto"/>
        <w:bottom w:val="none" w:sz="0" w:space="0" w:color="auto"/>
        <w:right w:val="none" w:sz="0" w:space="0" w:color="auto"/>
      </w:divBdr>
    </w:div>
    <w:div w:id="909926981">
      <w:bodyDiv w:val="1"/>
      <w:marLeft w:val="0"/>
      <w:marRight w:val="0"/>
      <w:marTop w:val="0"/>
      <w:marBottom w:val="0"/>
      <w:divBdr>
        <w:top w:val="none" w:sz="0" w:space="0" w:color="auto"/>
        <w:left w:val="none" w:sz="0" w:space="0" w:color="auto"/>
        <w:bottom w:val="none" w:sz="0" w:space="0" w:color="auto"/>
        <w:right w:val="none" w:sz="0" w:space="0" w:color="auto"/>
      </w:divBdr>
    </w:div>
    <w:div w:id="975597959">
      <w:bodyDiv w:val="1"/>
      <w:marLeft w:val="0"/>
      <w:marRight w:val="0"/>
      <w:marTop w:val="0"/>
      <w:marBottom w:val="0"/>
      <w:divBdr>
        <w:top w:val="none" w:sz="0" w:space="0" w:color="auto"/>
        <w:left w:val="none" w:sz="0" w:space="0" w:color="auto"/>
        <w:bottom w:val="none" w:sz="0" w:space="0" w:color="auto"/>
        <w:right w:val="none" w:sz="0" w:space="0" w:color="auto"/>
      </w:divBdr>
    </w:div>
    <w:div w:id="1029644944">
      <w:bodyDiv w:val="1"/>
      <w:marLeft w:val="0"/>
      <w:marRight w:val="0"/>
      <w:marTop w:val="0"/>
      <w:marBottom w:val="0"/>
      <w:divBdr>
        <w:top w:val="none" w:sz="0" w:space="0" w:color="auto"/>
        <w:left w:val="none" w:sz="0" w:space="0" w:color="auto"/>
        <w:bottom w:val="none" w:sz="0" w:space="0" w:color="auto"/>
        <w:right w:val="none" w:sz="0" w:space="0" w:color="auto"/>
      </w:divBdr>
    </w:div>
    <w:div w:id="1137379279">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425541266">
      <w:bodyDiv w:val="1"/>
      <w:marLeft w:val="0"/>
      <w:marRight w:val="0"/>
      <w:marTop w:val="0"/>
      <w:marBottom w:val="0"/>
      <w:divBdr>
        <w:top w:val="none" w:sz="0" w:space="0" w:color="auto"/>
        <w:left w:val="none" w:sz="0" w:space="0" w:color="auto"/>
        <w:bottom w:val="none" w:sz="0" w:space="0" w:color="auto"/>
        <w:right w:val="none" w:sz="0" w:space="0" w:color="auto"/>
      </w:divBdr>
    </w:div>
    <w:div w:id="1681542505">
      <w:bodyDiv w:val="1"/>
      <w:marLeft w:val="0"/>
      <w:marRight w:val="0"/>
      <w:marTop w:val="0"/>
      <w:marBottom w:val="0"/>
      <w:divBdr>
        <w:top w:val="none" w:sz="0" w:space="0" w:color="auto"/>
        <w:left w:val="none" w:sz="0" w:space="0" w:color="auto"/>
        <w:bottom w:val="none" w:sz="0" w:space="0" w:color="auto"/>
        <w:right w:val="none" w:sz="0" w:space="0" w:color="auto"/>
      </w:divBdr>
    </w:div>
    <w:div w:id="1697776342">
      <w:bodyDiv w:val="1"/>
      <w:marLeft w:val="0"/>
      <w:marRight w:val="0"/>
      <w:marTop w:val="0"/>
      <w:marBottom w:val="0"/>
      <w:divBdr>
        <w:top w:val="none" w:sz="0" w:space="0" w:color="auto"/>
        <w:left w:val="none" w:sz="0" w:space="0" w:color="auto"/>
        <w:bottom w:val="none" w:sz="0" w:space="0" w:color="auto"/>
        <w:right w:val="none" w:sz="0" w:space="0" w:color="auto"/>
      </w:divBdr>
    </w:div>
    <w:div w:id="1712148634">
      <w:bodyDiv w:val="1"/>
      <w:marLeft w:val="0"/>
      <w:marRight w:val="0"/>
      <w:marTop w:val="0"/>
      <w:marBottom w:val="0"/>
      <w:divBdr>
        <w:top w:val="none" w:sz="0" w:space="0" w:color="auto"/>
        <w:left w:val="none" w:sz="0" w:space="0" w:color="auto"/>
        <w:bottom w:val="none" w:sz="0" w:space="0" w:color="auto"/>
        <w:right w:val="none" w:sz="0" w:space="0" w:color="auto"/>
      </w:divBdr>
    </w:div>
    <w:div w:id="1767647900">
      <w:bodyDiv w:val="1"/>
      <w:marLeft w:val="0"/>
      <w:marRight w:val="0"/>
      <w:marTop w:val="0"/>
      <w:marBottom w:val="0"/>
      <w:divBdr>
        <w:top w:val="none" w:sz="0" w:space="0" w:color="auto"/>
        <w:left w:val="none" w:sz="0" w:space="0" w:color="auto"/>
        <w:bottom w:val="none" w:sz="0" w:space="0" w:color="auto"/>
        <w:right w:val="none" w:sz="0" w:space="0" w:color="auto"/>
      </w:divBdr>
    </w:div>
    <w:div w:id="1851599335">
      <w:bodyDiv w:val="1"/>
      <w:marLeft w:val="0"/>
      <w:marRight w:val="0"/>
      <w:marTop w:val="0"/>
      <w:marBottom w:val="0"/>
      <w:divBdr>
        <w:top w:val="none" w:sz="0" w:space="0" w:color="auto"/>
        <w:left w:val="none" w:sz="0" w:space="0" w:color="auto"/>
        <w:bottom w:val="none" w:sz="0" w:space="0" w:color="auto"/>
        <w:right w:val="none" w:sz="0" w:space="0" w:color="auto"/>
      </w:divBdr>
    </w:div>
    <w:div w:id="18667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F64E7-C9E8-49DC-965C-FB20CCF27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16</Pages>
  <Words>9261</Words>
  <Characters>52791</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dc:creator>
  <cp:lastModifiedBy>Krasimir Gyurov</cp:lastModifiedBy>
  <cp:revision>18</cp:revision>
  <cp:lastPrinted>2016-06-06T11:08:00Z</cp:lastPrinted>
  <dcterms:created xsi:type="dcterms:W3CDTF">2017-08-20T05:31:00Z</dcterms:created>
  <dcterms:modified xsi:type="dcterms:W3CDTF">2017-11-14T16:08:00Z</dcterms:modified>
</cp:coreProperties>
</file>