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9C925" w14:textId="77777777" w:rsidR="00E175F2" w:rsidRPr="00324962" w:rsidRDefault="00E175F2" w:rsidP="00152D36">
      <w:pPr>
        <w:pStyle w:val="Title"/>
        <w:spacing w:after="120"/>
        <w:jc w:val="left"/>
      </w:pPr>
      <w:bookmarkStart w:id="0" w:name="OLE_LINK1"/>
      <w:bookmarkStart w:id="1" w:name="_GoBack"/>
      <w:bookmarkEnd w:id="1"/>
    </w:p>
    <w:p w14:paraId="1DC68A47" w14:textId="77777777" w:rsidR="00E175F2" w:rsidRPr="00675457" w:rsidRDefault="00E175F2" w:rsidP="00152D36">
      <w:pPr>
        <w:jc w:val="center"/>
        <w:rPr>
          <w:b/>
          <w:bCs/>
          <w:sz w:val="46"/>
          <w:szCs w:val="46"/>
        </w:rPr>
      </w:pPr>
    </w:p>
    <w:p w14:paraId="64B3869B" w14:textId="77777777" w:rsidR="00E175F2" w:rsidRPr="00955E19" w:rsidRDefault="000F1AF2" w:rsidP="00152D36">
      <w:pPr>
        <w:jc w:val="center"/>
        <w:rPr>
          <w:b/>
          <w:bCs/>
          <w:sz w:val="36"/>
          <w:szCs w:val="36"/>
        </w:rPr>
      </w:pPr>
      <w:r>
        <w:rPr>
          <w:b/>
          <w:bCs/>
          <w:sz w:val="36"/>
          <w:szCs w:val="36"/>
        </w:rPr>
        <w:pict w14:anchorId="6C21CC1E">
          <v:rect id="_x0000_i1025" style="width:0;height:1.5pt" o:hralign="center" o:hrstd="t" o:hr="t" fillcolor="#d5d5d5" stroked="f"/>
        </w:pict>
      </w:r>
    </w:p>
    <w:p w14:paraId="67B75596" w14:textId="2CFE21C6" w:rsidR="00E175F2" w:rsidRPr="00955E19" w:rsidRDefault="00E175F2" w:rsidP="000F1AF2">
      <w:pPr>
        <w:rPr>
          <w:b/>
          <w:bCs/>
          <w:sz w:val="56"/>
          <w:szCs w:val="56"/>
        </w:rPr>
      </w:pPr>
    </w:p>
    <w:p w14:paraId="7F5B4609" w14:textId="77777777" w:rsidR="00E175F2" w:rsidRPr="00955E19" w:rsidRDefault="00E175F2" w:rsidP="00152D36">
      <w:pPr>
        <w:jc w:val="center"/>
        <w:rPr>
          <w:b/>
          <w:bCs/>
          <w:sz w:val="56"/>
          <w:szCs w:val="56"/>
        </w:rPr>
      </w:pPr>
      <w:r w:rsidRPr="00955E19">
        <w:rPr>
          <w:b/>
          <w:bCs/>
          <w:sz w:val="56"/>
          <w:szCs w:val="56"/>
        </w:rPr>
        <w:t xml:space="preserve">ДОКУМЕНТ ЗА ПРЕДЛАГАНИТЕ ЦЕННИ КНИЖА </w:t>
      </w:r>
    </w:p>
    <w:p w14:paraId="6B9AD2B5" w14:textId="77777777" w:rsidR="00E175F2" w:rsidRPr="00955E19" w:rsidRDefault="00E175F2" w:rsidP="00152D36">
      <w:pPr>
        <w:jc w:val="center"/>
        <w:rPr>
          <w:b/>
          <w:bCs/>
        </w:rPr>
      </w:pPr>
    </w:p>
    <w:p w14:paraId="2D926B4E" w14:textId="77777777" w:rsidR="00E175F2" w:rsidRPr="00955E19" w:rsidRDefault="00E175F2" w:rsidP="00152D36">
      <w:pPr>
        <w:jc w:val="center"/>
        <w:rPr>
          <w:b/>
          <w:bCs/>
          <w:sz w:val="28"/>
          <w:szCs w:val="28"/>
        </w:rPr>
      </w:pPr>
      <w:r w:rsidRPr="00955E19">
        <w:rPr>
          <w:b/>
          <w:bCs/>
          <w:sz w:val="28"/>
          <w:szCs w:val="28"/>
        </w:rPr>
        <w:t>ПРОСПЕКТ ЗА ПЪРВИЧНО ПУБЛИЧНО ПРЕДЛАГАНЕ</w:t>
      </w:r>
    </w:p>
    <w:p w14:paraId="331387E4" w14:textId="243FBAE6" w:rsidR="00203B76" w:rsidRDefault="00E175F2" w:rsidP="00203B76">
      <w:pPr>
        <w:jc w:val="center"/>
        <w:rPr>
          <w:b/>
          <w:bCs/>
          <w:sz w:val="28"/>
          <w:szCs w:val="28"/>
        </w:rPr>
      </w:pPr>
      <w:r w:rsidRPr="00955E19">
        <w:rPr>
          <w:b/>
          <w:bCs/>
          <w:sz w:val="28"/>
          <w:szCs w:val="28"/>
        </w:rPr>
        <w:t xml:space="preserve">НА </w:t>
      </w:r>
      <w:r w:rsidR="00203B76" w:rsidRPr="000D7715">
        <w:rPr>
          <w:b/>
          <w:bCs/>
          <w:sz w:val="28"/>
          <w:szCs w:val="28"/>
        </w:rPr>
        <w:t xml:space="preserve">150 000 БР. ОБИКНОВЕНИ, ПОИМЕННИ, БЕЗНАЛИЧНИ </w:t>
      </w:r>
    </w:p>
    <w:p w14:paraId="6939D78F" w14:textId="5516BD02" w:rsidR="00E175F2" w:rsidRPr="00955E19" w:rsidRDefault="00203B76" w:rsidP="00203B76">
      <w:pPr>
        <w:jc w:val="center"/>
        <w:rPr>
          <w:b/>
          <w:sz w:val="28"/>
          <w:szCs w:val="28"/>
        </w:rPr>
      </w:pPr>
      <w:r w:rsidRPr="000D7715">
        <w:rPr>
          <w:b/>
          <w:bCs/>
          <w:sz w:val="28"/>
          <w:szCs w:val="28"/>
        </w:rPr>
        <w:t xml:space="preserve">АКЦИИ ОТ ПЪРВОНАЧАЛНОТО УВЕЛИЧЕНИЕ НА КАПИТАЛА НА </w:t>
      </w:r>
      <w:r w:rsidRPr="00955E19">
        <w:rPr>
          <w:b/>
          <w:sz w:val="28"/>
          <w:szCs w:val="28"/>
          <w:lang w:val="ru-RU"/>
        </w:rPr>
        <w:t>ГЛЕНМООР КЕПИТАЛ</w:t>
      </w:r>
      <w:r w:rsidRPr="00955E19">
        <w:rPr>
          <w:b/>
          <w:sz w:val="28"/>
          <w:szCs w:val="28"/>
        </w:rPr>
        <w:t xml:space="preserve"> АДСИЦ</w:t>
      </w:r>
      <w:r>
        <w:rPr>
          <w:b/>
          <w:sz w:val="28"/>
          <w:szCs w:val="28"/>
        </w:rPr>
        <w:t xml:space="preserve">, </w:t>
      </w:r>
      <w:r w:rsidRPr="000D7715">
        <w:rPr>
          <w:b/>
          <w:bCs/>
          <w:sz w:val="28"/>
          <w:szCs w:val="28"/>
        </w:rPr>
        <w:t>ISIN</w:t>
      </w:r>
      <w:r>
        <w:rPr>
          <w:b/>
          <w:bCs/>
          <w:sz w:val="28"/>
          <w:szCs w:val="28"/>
        </w:rPr>
        <w:t>:  BG1100006177</w:t>
      </w:r>
    </w:p>
    <w:p w14:paraId="6B0F8481" w14:textId="77777777" w:rsidR="00E175F2" w:rsidRPr="00955E19" w:rsidRDefault="00E175F2" w:rsidP="00152D36">
      <w:pPr>
        <w:rPr>
          <w:sz w:val="22"/>
        </w:rPr>
      </w:pPr>
    </w:p>
    <w:p w14:paraId="4D5B36DC" w14:textId="77777777" w:rsidR="00E175F2" w:rsidRPr="00955E19" w:rsidRDefault="000F1AF2" w:rsidP="00152D36">
      <w:pPr>
        <w:jc w:val="center"/>
        <w:rPr>
          <w:b/>
          <w:bCs/>
        </w:rPr>
      </w:pPr>
      <w:r>
        <w:rPr>
          <w:b/>
          <w:bCs/>
          <w:sz w:val="36"/>
          <w:szCs w:val="36"/>
        </w:rPr>
        <w:pict w14:anchorId="67A087B1">
          <v:rect id="_x0000_i1026" style="width:0;height:1.5pt" o:hralign="center" o:hrstd="t" o:hr="t" fillcolor="#d5d5d5" stroked="f"/>
        </w:pict>
      </w:r>
    </w:p>
    <w:p w14:paraId="0D9DCFAA" w14:textId="768358C4" w:rsidR="00E175F2" w:rsidRDefault="00274C44" w:rsidP="00152D36">
      <w:pPr>
        <w:pStyle w:val="NoSpacing"/>
        <w:jc w:val="both"/>
        <w:rPr>
          <w:sz w:val="22"/>
          <w:szCs w:val="22"/>
          <w:lang w:val="bg-BG"/>
        </w:rPr>
      </w:pPr>
      <w:r>
        <w:rPr>
          <w:sz w:val="22"/>
          <w:szCs w:val="22"/>
          <w:lang w:val="bg-BG"/>
        </w:rPr>
        <w:t>Проспектът</w:t>
      </w:r>
      <w:r w:rsidRPr="00F35C3E">
        <w:rPr>
          <w:sz w:val="22"/>
          <w:szCs w:val="22"/>
          <w:lang w:val="bg-BG"/>
        </w:rPr>
        <w:t xml:space="preserve"> съдържа цялата информация за “</w:t>
      </w:r>
      <w:r>
        <w:rPr>
          <w:sz w:val="22"/>
          <w:szCs w:val="22"/>
          <w:lang w:val="bg-BG"/>
        </w:rPr>
        <w:t>ГЛЕНМООР КЕПИТАЛ</w:t>
      </w:r>
      <w:r w:rsidRPr="00F35C3E">
        <w:rPr>
          <w:sz w:val="22"/>
          <w:szCs w:val="22"/>
          <w:lang w:val="bg-BG"/>
        </w:rPr>
        <w:t>” АДСИЦ, която съобразно конкретните особености на Емитента и ценните книжа, които се предлагат публично, е необходима на инвеститорите за точна оценка на икономическото и финансовото състояние на Емитента и на правата, свързани с ценните книжа. Инвестирането в ценни книжа е свързано с определени рискове. В т. 4 от Регистрационния документ и в т. 2 от Документа за предлаганите ценни книжа са разгледани подробно рисковите фактори</w:t>
      </w:r>
      <w:r w:rsidR="00E175F2" w:rsidRPr="00955E19">
        <w:rPr>
          <w:sz w:val="22"/>
          <w:szCs w:val="22"/>
          <w:lang w:val="bg-BG"/>
        </w:rPr>
        <w:t xml:space="preserve">. В интерес на инвеститорите е да се запознаят подробно както с настоящия Документ за предлаганите ценни книжа, така и с Регистрационния документ, </w:t>
      </w:r>
      <w:r w:rsidRPr="00F35C3E">
        <w:rPr>
          <w:sz w:val="22"/>
          <w:szCs w:val="22"/>
          <w:lang w:val="bg-BG"/>
        </w:rPr>
        <w:t>преди да вземат решение да инвестират</w:t>
      </w:r>
      <w:r w:rsidR="00E175F2" w:rsidRPr="00955E19">
        <w:rPr>
          <w:sz w:val="22"/>
          <w:szCs w:val="22"/>
          <w:lang w:val="bg-BG"/>
        </w:rPr>
        <w:t xml:space="preserve">. </w:t>
      </w:r>
    </w:p>
    <w:p w14:paraId="70813BBC" w14:textId="77777777" w:rsidR="002D209E" w:rsidRDefault="002D209E" w:rsidP="00152D36">
      <w:pPr>
        <w:pStyle w:val="NoSpacing"/>
        <w:jc w:val="both"/>
        <w:rPr>
          <w:sz w:val="22"/>
          <w:szCs w:val="22"/>
          <w:lang w:val="bg-BG"/>
        </w:rPr>
      </w:pPr>
    </w:p>
    <w:p w14:paraId="49F149A3" w14:textId="4EDC3244" w:rsidR="002D209E" w:rsidRPr="00955E19" w:rsidRDefault="002D209E" w:rsidP="00152D36">
      <w:pPr>
        <w:pStyle w:val="NoSpacing"/>
        <w:jc w:val="both"/>
        <w:rPr>
          <w:sz w:val="22"/>
          <w:szCs w:val="22"/>
          <w:lang w:val="bg-BG"/>
        </w:rPr>
      </w:pPr>
      <w:r w:rsidRPr="002D209E">
        <w:rPr>
          <w:sz w:val="22"/>
          <w:szCs w:val="22"/>
          <w:lang w:val="bg-BG"/>
        </w:rPr>
        <w:t>Членовете на Съвета на директорите на “ГЛЕНМООР КЕПИТАЛ” АДСИЦ – Гергана Атанасова Маринова, Асен Александров Величков и Валентина Николаева Димитрова, отговарят солидарно за вредите, причинени от неверни, заблуждаващи или непълни данни в целия Документ за предлаганите ценни книжа, съответно за цялата информация в него. Съставителят на финансовите отчети на Емитента – Валентина Николаева Димитрова, отговаря солидарно с лицата по предходното изречение за вреди, причинени от неверни, заблуждаващи или непълни данни във финансовите отчети, а регистрираният одитор на Дружеството – "ПРИМОРСКА ОДИТОРСКА КОМПАНИЯ" ООД, регистрирано специализирано одиторско предприятие, ЕИК 103599983, със седалище и адрес на управление: гр. Варна, район Одесос, ул. Струга № 23, ет. 7, ап. 226, представлявано от управителя Илия Неделчев Илиев – за вредите, причинени от одитираните от него финансови отчети</w:t>
      </w:r>
    </w:p>
    <w:p w14:paraId="7A345DE8" w14:textId="77777777" w:rsidR="00E175F2" w:rsidRPr="00955E19" w:rsidRDefault="00E175F2" w:rsidP="00152D36">
      <w:pPr>
        <w:pStyle w:val="NoSpacing"/>
        <w:jc w:val="both"/>
        <w:rPr>
          <w:sz w:val="22"/>
          <w:szCs w:val="22"/>
          <w:lang w:val="bg-BG"/>
        </w:rPr>
      </w:pPr>
    </w:p>
    <w:p w14:paraId="4603937A" w14:textId="77777777" w:rsidR="00E175F2" w:rsidRPr="00955E19" w:rsidRDefault="00E175F2" w:rsidP="00152D36">
      <w:pPr>
        <w:pStyle w:val="NoSpacing"/>
        <w:jc w:val="both"/>
        <w:rPr>
          <w:b/>
          <w:smallCaps/>
          <w:sz w:val="22"/>
          <w:szCs w:val="22"/>
          <w:lang w:val="bg-BG"/>
        </w:rPr>
      </w:pPr>
      <w:r w:rsidRPr="00955E19">
        <w:rPr>
          <w:b/>
          <w:smallCaps/>
          <w:sz w:val="22"/>
          <w:szCs w:val="22"/>
          <w:lang w:val="bg-BG"/>
        </w:rPr>
        <w:t>Настоящият Проспект за първично публично предлагане на акции на “ГЛЕНМООР КЕПИТАЛ” АДСИЦ е потвърден от Комисията за финансов надзор с решение № …. от ……………...201</w:t>
      </w:r>
      <w:r w:rsidRPr="00955E19">
        <w:rPr>
          <w:b/>
          <w:smallCaps/>
          <w:sz w:val="22"/>
          <w:szCs w:val="22"/>
          <w:lang w:val="ru-RU"/>
        </w:rPr>
        <w:t>7</w:t>
      </w:r>
      <w:r w:rsidRPr="00955E19">
        <w:rPr>
          <w:b/>
          <w:smallCaps/>
          <w:sz w:val="22"/>
          <w:szCs w:val="22"/>
          <w:lang w:val="bg-BG"/>
        </w:rPr>
        <w:t xml:space="preserve"> г., което не означава, че Комисията одобрява или не одобрява инвестирането в предлаганите ценни книжа, нито че носи отговорност за верността на предоставената в документа информация.</w:t>
      </w:r>
    </w:p>
    <w:p w14:paraId="756EE89D" w14:textId="77777777" w:rsidR="00E175F2" w:rsidRPr="00955E19" w:rsidRDefault="00E175F2" w:rsidP="00152D36">
      <w:pPr>
        <w:jc w:val="both"/>
        <w:rPr>
          <w:bCs/>
        </w:rPr>
      </w:pPr>
    </w:p>
    <w:p w14:paraId="3ADED695" w14:textId="0E830640" w:rsidR="00E175F2" w:rsidRPr="00955E19" w:rsidRDefault="00B05539" w:rsidP="00152D36">
      <w:pPr>
        <w:jc w:val="center"/>
        <w:rPr>
          <w:b/>
          <w:szCs w:val="24"/>
        </w:rPr>
      </w:pPr>
      <w:r w:rsidRPr="000F1AF2">
        <w:rPr>
          <w:b/>
          <w:szCs w:val="24"/>
        </w:rPr>
        <w:t>14</w:t>
      </w:r>
      <w:r w:rsidR="00A0096B" w:rsidRPr="00B05539">
        <w:rPr>
          <w:b/>
          <w:szCs w:val="24"/>
        </w:rPr>
        <w:t xml:space="preserve"> Ноември </w:t>
      </w:r>
      <w:r w:rsidR="00E175F2" w:rsidRPr="00B05539">
        <w:rPr>
          <w:b/>
          <w:szCs w:val="24"/>
        </w:rPr>
        <w:t>201</w:t>
      </w:r>
      <w:r w:rsidR="00E175F2" w:rsidRPr="00B05539">
        <w:rPr>
          <w:b/>
          <w:szCs w:val="24"/>
          <w:lang w:val="ru-RU"/>
        </w:rPr>
        <w:t>7</w:t>
      </w:r>
      <w:r w:rsidR="00E175F2" w:rsidRPr="00B05539">
        <w:rPr>
          <w:b/>
          <w:szCs w:val="24"/>
        </w:rPr>
        <w:t xml:space="preserve"> година</w:t>
      </w:r>
      <w:r w:rsidR="00E175F2" w:rsidRPr="00955E19">
        <w:rPr>
          <w:b/>
          <w:szCs w:val="24"/>
        </w:rPr>
        <w:t xml:space="preserve"> </w:t>
      </w:r>
    </w:p>
    <w:p w14:paraId="11DADC3C" w14:textId="77777777" w:rsidR="00E175F2" w:rsidRPr="00955E19" w:rsidRDefault="00E175F2" w:rsidP="00152D36">
      <w:pPr>
        <w:pStyle w:val="BodyText"/>
        <w:spacing w:after="120"/>
        <w:jc w:val="center"/>
        <w:rPr>
          <w:b/>
          <w:bCs/>
          <w:color w:val="auto"/>
        </w:rPr>
      </w:pPr>
    </w:p>
    <w:p w14:paraId="143FB5ED" w14:textId="77777777" w:rsidR="00E175F2" w:rsidRPr="00955E19" w:rsidRDefault="00E175F2" w:rsidP="00662C15">
      <w:pPr>
        <w:pStyle w:val="Normalen"/>
        <w:spacing w:after="200"/>
        <w:rPr>
          <w:sz w:val="20"/>
        </w:rPr>
      </w:pPr>
      <w:r w:rsidRPr="00955E19">
        <w:rPr>
          <w:b/>
          <w:bCs/>
          <w:sz w:val="20"/>
        </w:rPr>
        <w:br w:type="page"/>
      </w:r>
      <w:bookmarkEnd w:id="0"/>
      <w:r w:rsidRPr="00955E19">
        <w:rPr>
          <w:sz w:val="20"/>
        </w:rPr>
        <w:lastRenderedPageBreak/>
        <w:t xml:space="preserve">Проспектът за публично предлагане на акции на “ГЛЕНМООР КЕПИТАЛ” АДСИЦ се състои от Регистрационен документ, Документ за предлаганите ценни книжа и Резюме. </w:t>
      </w:r>
    </w:p>
    <w:p w14:paraId="6B330D8D" w14:textId="77777777" w:rsidR="00E175F2" w:rsidRPr="00955E19" w:rsidRDefault="00E175F2" w:rsidP="00152D36">
      <w:pPr>
        <w:pStyle w:val="Normalen"/>
        <w:spacing w:after="200"/>
        <w:rPr>
          <w:sz w:val="20"/>
        </w:rPr>
      </w:pPr>
      <w:r w:rsidRPr="00955E19">
        <w:rPr>
          <w:sz w:val="20"/>
        </w:rPr>
        <w:t>Инвеститорите, проявили интерес към предлаганите акции, могат да получат безплатно копие на Документа за предлаганите ценни книжа, както и допълнителна информация, лично или на посочен от тях електронен адрес, в офисите на:</w:t>
      </w:r>
    </w:p>
    <w:p w14:paraId="209BCCDD" w14:textId="77777777" w:rsidR="00E175F2" w:rsidRPr="00955E19" w:rsidRDefault="00E175F2" w:rsidP="00152D36">
      <w:pPr>
        <w:pStyle w:val="PlainText"/>
        <w:spacing w:after="200"/>
        <w:jc w:val="both"/>
        <w:rPr>
          <w:rFonts w:ascii="Times New Roman" w:hAnsi="Times New Roman"/>
          <w:b/>
          <w:sz w:val="22"/>
          <w:szCs w:val="22"/>
          <w:lang w:val="bg-BG"/>
        </w:rPr>
      </w:pPr>
    </w:p>
    <w:tbl>
      <w:tblPr>
        <w:tblW w:w="0" w:type="auto"/>
        <w:tblInd w:w="228" w:type="dxa"/>
        <w:tblBorders>
          <w:bottom w:val="double" w:sz="4" w:space="0" w:color="auto"/>
        </w:tblBorders>
        <w:tblLook w:val="00A0" w:firstRow="1" w:lastRow="0" w:firstColumn="1" w:lastColumn="0" w:noHBand="0" w:noVBand="0"/>
      </w:tblPr>
      <w:tblGrid>
        <w:gridCol w:w="9000"/>
      </w:tblGrid>
      <w:tr w:rsidR="00E175F2" w:rsidRPr="00955E19" w14:paraId="210566FD" w14:textId="77777777" w:rsidTr="00F16244">
        <w:trPr>
          <w:trHeight w:val="450"/>
        </w:trPr>
        <w:tc>
          <w:tcPr>
            <w:tcW w:w="9000" w:type="dxa"/>
            <w:vAlign w:val="center"/>
          </w:tcPr>
          <w:p w14:paraId="140F10D5" w14:textId="77777777" w:rsidR="00E175F2" w:rsidRPr="00955E19" w:rsidRDefault="00E175F2" w:rsidP="00152D36">
            <w:pPr>
              <w:pStyle w:val="PlainText"/>
              <w:spacing w:after="200"/>
              <w:rPr>
                <w:rFonts w:ascii="Times New Roman" w:hAnsi="Times New Roman"/>
                <w:b/>
                <w:smallCaps/>
                <w:sz w:val="22"/>
                <w:szCs w:val="22"/>
                <w:lang w:val="bg-BG"/>
              </w:rPr>
            </w:pPr>
            <w:r w:rsidRPr="00955E19">
              <w:rPr>
                <w:rFonts w:ascii="Times New Roman" w:hAnsi="Times New Roman"/>
                <w:b/>
                <w:smallCaps/>
                <w:sz w:val="22"/>
                <w:szCs w:val="22"/>
                <w:u w:val="single"/>
                <w:lang w:val="bg-BG"/>
              </w:rPr>
              <w:t>Емитента</w:t>
            </w:r>
            <w:r w:rsidRPr="00955E19">
              <w:rPr>
                <w:rFonts w:ascii="Times New Roman" w:hAnsi="Times New Roman"/>
                <w:b/>
                <w:smallCaps/>
                <w:sz w:val="22"/>
                <w:szCs w:val="22"/>
                <w:lang w:val="bg-BG"/>
              </w:rPr>
              <w:t xml:space="preserve">: </w:t>
            </w:r>
          </w:p>
        </w:tc>
      </w:tr>
      <w:tr w:rsidR="00E175F2" w:rsidRPr="00955E19" w14:paraId="0773D74F" w14:textId="77777777" w:rsidTr="00F16244">
        <w:trPr>
          <w:trHeight w:val="207"/>
        </w:trPr>
        <w:tc>
          <w:tcPr>
            <w:tcW w:w="9000" w:type="dxa"/>
            <w:vAlign w:val="center"/>
          </w:tcPr>
          <w:p w14:paraId="674CC6CF" w14:textId="77777777" w:rsidR="00E175F2" w:rsidRPr="00955E19" w:rsidRDefault="00E175F2" w:rsidP="00152D36">
            <w:pPr>
              <w:pStyle w:val="PlainText"/>
              <w:spacing w:after="200"/>
              <w:rPr>
                <w:rFonts w:ascii="Times New Roman" w:hAnsi="Times New Roman"/>
                <w:sz w:val="22"/>
                <w:szCs w:val="22"/>
                <w:lang w:val="bg-BG"/>
              </w:rPr>
            </w:pPr>
            <w:r w:rsidRPr="00955E19">
              <w:rPr>
                <w:rFonts w:ascii="Times New Roman" w:hAnsi="Times New Roman"/>
                <w:b/>
                <w:sz w:val="22"/>
                <w:szCs w:val="22"/>
                <w:lang w:val="bg-BG"/>
              </w:rPr>
              <w:t>“ГЛЕНМООР КЕПИТАЛ” АДСИЦ</w:t>
            </w:r>
          </w:p>
        </w:tc>
      </w:tr>
      <w:tr w:rsidR="00E175F2" w:rsidRPr="00955E19" w14:paraId="5E4596BF" w14:textId="77777777" w:rsidTr="00F16244">
        <w:tc>
          <w:tcPr>
            <w:tcW w:w="9000" w:type="dxa"/>
          </w:tcPr>
          <w:p w14:paraId="02179897" w14:textId="77777777" w:rsidR="00E175F2" w:rsidRPr="00955E19" w:rsidRDefault="00E175F2" w:rsidP="00152D36">
            <w:pPr>
              <w:pStyle w:val="PlainText"/>
              <w:spacing w:after="200"/>
              <w:ind w:firstLine="360"/>
              <w:jc w:val="both"/>
              <w:rPr>
                <w:rFonts w:ascii="Times New Roman" w:hAnsi="Times New Roman"/>
                <w:sz w:val="22"/>
                <w:szCs w:val="22"/>
                <w:lang w:val="bg-BG"/>
              </w:rPr>
            </w:pPr>
            <w:r w:rsidRPr="00955E19">
              <w:rPr>
                <w:rFonts w:ascii="Times New Roman" w:hAnsi="Times New Roman"/>
                <w:b/>
                <w:sz w:val="22"/>
                <w:szCs w:val="22"/>
                <w:lang w:val="bg-BG"/>
              </w:rPr>
              <w:t>Адрес:</w:t>
            </w:r>
            <w:r w:rsidRPr="00955E19">
              <w:rPr>
                <w:rFonts w:ascii="Times New Roman" w:hAnsi="Times New Roman"/>
                <w:sz w:val="22"/>
                <w:szCs w:val="22"/>
                <w:lang w:val="bg-BG"/>
              </w:rPr>
              <w:t xml:space="preserve"> гр. Варна, р-н Одесос, пощенски код: 9000, ул. „Шипка” № 10, ет.5;</w:t>
            </w:r>
          </w:p>
        </w:tc>
      </w:tr>
      <w:tr w:rsidR="00E175F2" w:rsidRPr="00955E19" w14:paraId="6FB1126A" w14:textId="77777777" w:rsidTr="00F16244">
        <w:tc>
          <w:tcPr>
            <w:tcW w:w="9000" w:type="dxa"/>
          </w:tcPr>
          <w:p w14:paraId="2EB4F894" w14:textId="77777777" w:rsidR="00E175F2" w:rsidRPr="00955E19" w:rsidRDefault="00E175F2" w:rsidP="00152D36">
            <w:pPr>
              <w:pStyle w:val="PlainText"/>
              <w:spacing w:after="200"/>
              <w:ind w:firstLine="360"/>
              <w:jc w:val="both"/>
              <w:rPr>
                <w:rFonts w:ascii="Times New Roman" w:hAnsi="Times New Roman"/>
                <w:b/>
                <w:sz w:val="22"/>
                <w:szCs w:val="22"/>
                <w:lang w:val="bg-BG"/>
              </w:rPr>
            </w:pPr>
            <w:r w:rsidRPr="00955E19">
              <w:rPr>
                <w:rFonts w:ascii="Times New Roman" w:hAnsi="Times New Roman"/>
                <w:b/>
                <w:sz w:val="22"/>
                <w:szCs w:val="22"/>
                <w:lang w:val="bg-BG"/>
              </w:rPr>
              <w:t xml:space="preserve">Тел.: </w:t>
            </w:r>
            <w:r w:rsidRPr="00955E19">
              <w:rPr>
                <w:rFonts w:ascii="Times New Roman" w:hAnsi="Times New Roman"/>
                <w:sz w:val="22"/>
                <w:szCs w:val="22"/>
                <w:lang w:val="bg-BG"/>
              </w:rPr>
              <w:t>+ 359 882 533 006</w:t>
            </w:r>
          </w:p>
        </w:tc>
      </w:tr>
      <w:tr w:rsidR="00E175F2" w:rsidRPr="00955E19" w14:paraId="1777FFF8" w14:textId="77777777" w:rsidTr="00F16244">
        <w:tc>
          <w:tcPr>
            <w:tcW w:w="9000" w:type="dxa"/>
          </w:tcPr>
          <w:p w14:paraId="771C65BD" w14:textId="77777777" w:rsidR="00E175F2" w:rsidRPr="00955E19" w:rsidRDefault="00E175F2" w:rsidP="00152D36">
            <w:pPr>
              <w:pStyle w:val="PlainText"/>
              <w:spacing w:after="200"/>
              <w:ind w:firstLine="360"/>
              <w:jc w:val="both"/>
              <w:rPr>
                <w:rFonts w:ascii="Times New Roman" w:hAnsi="Times New Roman"/>
                <w:b/>
                <w:sz w:val="22"/>
                <w:szCs w:val="22"/>
                <w:lang w:val="ru-RU"/>
              </w:rPr>
            </w:pPr>
            <w:r w:rsidRPr="00955E19">
              <w:rPr>
                <w:rFonts w:ascii="Times New Roman" w:hAnsi="Times New Roman"/>
                <w:b/>
                <w:sz w:val="22"/>
                <w:szCs w:val="22"/>
                <w:lang w:val="bg-BG"/>
              </w:rPr>
              <w:t xml:space="preserve">Е-поща: </w:t>
            </w:r>
            <w:hyperlink r:id="rId8" w:history="1">
              <w:r w:rsidRPr="00955E19">
                <w:rPr>
                  <w:rStyle w:val="Hyperlink"/>
                  <w:rFonts w:ascii="Times New Roman" w:hAnsi="Times New Roman"/>
                  <w:sz w:val="22"/>
                  <w:szCs w:val="22"/>
                  <w:lang w:val="bg-BG"/>
                </w:rPr>
                <w:t>gmr.reit@gmr-reit.com</w:t>
              </w:r>
            </w:hyperlink>
            <w:r w:rsidRPr="00955E19">
              <w:rPr>
                <w:rFonts w:ascii="Times New Roman" w:hAnsi="Times New Roman"/>
                <w:b/>
                <w:sz w:val="22"/>
                <w:szCs w:val="22"/>
                <w:lang w:val="ru-RU"/>
              </w:rPr>
              <w:t xml:space="preserve"> </w:t>
            </w:r>
          </w:p>
        </w:tc>
      </w:tr>
      <w:tr w:rsidR="00E175F2" w:rsidRPr="00955E19" w14:paraId="2A821BF4" w14:textId="77777777" w:rsidTr="00F16244">
        <w:tc>
          <w:tcPr>
            <w:tcW w:w="9000" w:type="dxa"/>
          </w:tcPr>
          <w:p w14:paraId="71A38DC1" w14:textId="77777777" w:rsidR="00E175F2" w:rsidRPr="00955E19" w:rsidRDefault="00E175F2" w:rsidP="00152D36">
            <w:pPr>
              <w:pStyle w:val="PlainText"/>
              <w:spacing w:after="200"/>
              <w:ind w:firstLine="360"/>
              <w:jc w:val="both"/>
              <w:rPr>
                <w:rFonts w:ascii="Times New Roman" w:hAnsi="Times New Roman"/>
                <w:b/>
                <w:sz w:val="22"/>
                <w:szCs w:val="22"/>
                <w:lang w:val="bg-BG"/>
              </w:rPr>
            </w:pPr>
            <w:r w:rsidRPr="00955E19">
              <w:rPr>
                <w:rFonts w:ascii="Times New Roman" w:hAnsi="Times New Roman"/>
                <w:b/>
                <w:sz w:val="22"/>
                <w:szCs w:val="22"/>
                <w:lang w:val="bg-BG"/>
              </w:rPr>
              <w:t xml:space="preserve">Лице за контакт: </w:t>
            </w:r>
            <w:r w:rsidRPr="00955E19">
              <w:rPr>
                <w:rFonts w:ascii="Times New Roman" w:hAnsi="Times New Roman"/>
                <w:sz w:val="22"/>
                <w:szCs w:val="22"/>
                <w:lang w:val="bg-BG"/>
              </w:rPr>
              <w:t>Асен Величков</w:t>
            </w:r>
          </w:p>
        </w:tc>
      </w:tr>
      <w:tr w:rsidR="00E175F2" w:rsidRPr="00955E19" w14:paraId="5FA3B1E1" w14:textId="77777777" w:rsidTr="00F16244">
        <w:trPr>
          <w:trHeight w:val="351"/>
        </w:trPr>
        <w:tc>
          <w:tcPr>
            <w:tcW w:w="9000" w:type="dxa"/>
            <w:tcBorders>
              <w:bottom w:val="nil"/>
            </w:tcBorders>
          </w:tcPr>
          <w:p w14:paraId="5C771669" w14:textId="29CDB922" w:rsidR="00E175F2" w:rsidRPr="00955E19" w:rsidRDefault="00E175F2" w:rsidP="00152D36">
            <w:pPr>
              <w:pStyle w:val="PlainText"/>
              <w:spacing w:after="200"/>
              <w:ind w:firstLine="360"/>
              <w:jc w:val="both"/>
              <w:rPr>
                <w:rFonts w:ascii="Times New Roman" w:hAnsi="Times New Roman"/>
                <w:sz w:val="22"/>
                <w:szCs w:val="22"/>
                <w:lang w:val="bg-BG"/>
              </w:rPr>
            </w:pPr>
            <w:r w:rsidRPr="00955E19">
              <w:rPr>
                <w:rFonts w:ascii="Times New Roman" w:hAnsi="Times New Roman"/>
                <w:sz w:val="22"/>
                <w:szCs w:val="22"/>
                <w:lang w:val="bg-BG"/>
              </w:rPr>
              <w:t xml:space="preserve">Всеки работен ден от </w:t>
            </w:r>
            <w:r w:rsidRPr="00955E19">
              <w:rPr>
                <w:rFonts w:ascii="Times New Roman" w:hAnsi="Times New Roman"/>
                <w:sz w:val="22"/>
                <w:szCs w:val="22"/>
                <w:lang w:val="ru-RU"/>
              </w:rPr>
              <w:t>9</w:t>
            </w:r>
            <w:r w:rsidR="008605E6">
              <w:rPr>
                <w:rFonts w:ascii="Times New Roman" w:hAnsi="Times New Roman"/>
                <w:sz w:val="22"/>
                <w:szCs w:val="22"/>
                <w:lang w:val="ru-RU"/>
              </w:rPr>
              <w:t>:</w:t>
            </w:r>
            <w:r w:rsidRPr="00955E19">
              <w:rPr>
                <w:rFonts w:ascii="Times New Roman" w:hAnsi="Times New Roman"/>
                <w:sz w:val="22"/>
                <w:szCs w:val="22"/>
                <w:lang w:val="ru-RU"/>
              </w:rPr>
              <w:t>0</w:t>
            </w:r>
            <w:r w:rsidRPr="00955E19">
              <w:rPr>
                <w:rFonts w:ascii="Times New Roman" w:hAnsi="Times New Roman"/>
                <w:sz w:val="22"/>
                <w:szCs w:val="22"/>
                <w:lang w:val="bg-BG"/>
              </w:rPr>
              <w:t>0 до 17</w:t>
            </w:r>
            <w:r w:rsidR="008605E6">
              <w:rPr>
                <w:rFonts w:ascii="Times New Roman" w:hAnsi="Times New Roman"/>
                <w:sz w:val="22"/>
                <w:szCs w:val="22"/>
                <w:lang w:val="bg-BG"/>
              </w:rPr>
              <w:t>:</w:t>
            </w:r>
            <w:r w:rsidRPr="00955E19">
              <w:rPr>
                <w:rFonts w:ascii="Times New Roman" w:hAnsi="Times New Roman"/>
                <w:sz w:val="22"/>
                <w:szCs w:val="22"/>
                <w:lang w:val="bg-BG"/>
              </w:rPr>
              <w:t>00 часа</w:t>
            </w:r>
          </w:p>
        </w:tc>
      </w:tr>
      <w:tr w:rsidR="00E175F2" w:rsidRPr="00955E19" w14:paraId="6647D41B" w14:textId="77777777" w:rsidTr="00F16244">
        <w:trPr>
          <w:trHeight w:val="378"/>
        </w:trPr>
        <w:tc>
          <w:tcPr>
            <w:tcW w:w="9000" w:type="dxa"/>
            <w:tcBorders>
              <w:top w:val="nil"/>
              <w:bottom w:val="nil"/>
            </w:tcBorders>
            <w:vAlign w:val="center"/>
          </w:tcPr>
          <w:p w14:paraId="25EBE89F" w14:textId="77777777" w:rsidR="00E175F2" w:rsidRPr="00955E19" w:rsidRDefault="00E175F2" w:rsidP="00152D36">
            <w:pPr>
              <w:pStyle w:val="PlainText"/>
              <w:spacing w:after="200"/>
              <w:rPr>
                <w:rFonts w:ascii="Times New Roman" w:hAnsi="Times New Roman"/>
                <w:b/>
                <w:smallCaps/>
                <w:sz w:val="22"/>
                <w:szCs w:val="22"/>
                <w:u w:val="single"/>
                <w:lang w:val="bg-BG"/>
              </w:rPr>
            </w:pPr>
            <w:r w:rsidRPr="00955E19">
              <w:rPr>
                <w:rFonts w:ascii="Times New Roman" w:hAnsi="Times New Roman"/>
                <w:b/>
                <w:smallCaps/>
                <w:sz w:val="22"/>
                <w:szCs w:val="22"/>
                <w:u w:val="single"/>
                <w:lang w:val="bg-BG"/>
              </w:rPr>
              <w:t>Инвестиционен посредник</w:t>
            </w:r>
            <w:r w:rsidRPr="00955E19">
              <w:rPr>
                <w:rFonts w:ascii="Times New Roman" w:hAnsi="Times New Roman"/>
                <w:b/>
                <w:smallCaps/>
                <w:sz w:val="22"/>
                <w:szCs w:val="22"/>
                <w:lang w:val="bg-BG"/>
              </w:rPr>
              <w:t>:</w:t>
            </w:r>
            <w:r w:rsidRPr="00955E19">
              <w:rPr>
                <w:rFonts w:ascii="Times New Roman" w:hAnsi="Times New Roman"/>
                <w:b/>
                <w:smallCaps/>
                <w:sz w:val="22"/>
                <w:szCs w:val="22"/>
                <w:lang w:val="bg-BG"/>
              </w:rPr>
              <w:tab/>
            </w:r>
          </w:p>
        </w:tc>
      </w:tr>
      <w:tr w:rsidR="00E175F2" w:rsidRPr="00955E19" w14:paraId="779A2FA9" w14:textId="77777777" w:rsidTr="00955BCE">
        <w:trPr>
          <w:trHeight w:val="333"/>
        </w:trPr>
        <w:tc>
          <w:tcPr>
            <w:tcW w:w="9000" w:type="dxa"/>
            <w:tcBorders>
              <w:top w:val="nil"/>
            </w:tcBorders>
          </w:tcPr>
          <w:p w14:paraId="6CA1006C" w14:textId="77777777" w:rsidR="00E175F2" w:rsidRPr="00955E19" w:rsidRDefault="00E175F2" w:rsidP="00041E62">
            <w:pPr>
              <w:pStyle w:val="PlainText"/>
              <w:spacing w:after="200"/>
              <w:rPr>
                <w:rFonts w:ascii="Times New Roman" w:hAnsi="Times New Roman"/>
                <w:b/>
                <w:sz w:val="22"/>
                <w:szCs w:val="22"/>
                <w:lang w:val="bg-BG"/>
              </w:rPr>
            </w:pPr>
            <w:r w:rsidRPr="00955E19">
              <w:rPr>
                <w:rFonts w:ascii="Times New Roman" w:hAnsi="Times New Roman"/>
                <w:b/>
                <w:sz w:val="22"/>
                <w:szCs w:val="22"/>
                <w:lang w:val="ru-RU" w:eastAsia="en-US"/>
              </w:rPr>
              <w:t>ИП "ЪП ТРЕНД" ООД</w:t>
            </w:r>
            <w:r w:rsidRPr="00955E19">
              <w:rPr>
                <w:rFonts w:ascii="Times New Roman" w:hAnsi="Times New Roman"/>
                <w:b/>
                <w:sz w:val="22"/>
                <w:szCs w:val="22"/>
                <w:lang w:val="bg-BG" w:eastAsia="en-US"/>
              </w:rPr>
              <w:t xml:space="preserve"> </w:t>
            </w:r>
            <w:r w:rsidRPr="00955E19">
              <w:rPr>
                <w:rFonts w:ascii="Times New Roman" w:hAnsi="Times New Roman"/>
                <w:sz w:val="22"/>
                <w:szCs w:val="22"/>
                <w:lang w:val="bg-BG" w:eastAsia="en-US"/>
              </w:rPr>
              <w:t>(с предишно наименование „БУЛ ТРЕНД БРОКЕРИДЖ” ООД)</w:t>
            </w:r>
          </w:p>
        </w:tc>
      </w:tr>
      <w:tr w:rsidR="00E175F2" w:rsidRPr="00955E19" w14:paraId="7252794C" w14:textId="77777777" w:rsidTr="00F16244">
        <w:tc>
          <w:tcPr>
            <w:tcW w:w="9000" w:type="dxa"/>
          </w:tcPr>
          <w:p w14:paraId="71234D1E" w14:textId="54A91F98" w:rsidR="00E175F2" w:rsidRPr="00955E19" w:rsidRDefault="00E175F2" w:rsidP="00041E62">
            <w:pPr>
              <w:pStyle w:val="PlainText"/>
              <w:spacing w:after="200"/>
              <w:ind w:firstLine="360"/>
              <w:jc w:val="both"/>
              <w:rPr>
                <w:rFonts w:ascii="Times New Roman" w:hAnsi="Times New Roman"/>
                <w:sz w:val="22"/>
                <w:szCs w:val="22"/>
                <w:lang w:val="bg-BG"/>
              </w:rPr>
            </w:pPr>
            <w:r w:rsidRPr="00955E19">
              <w:rPr>
                <w:rFonts w:ascii="Times New Roman" w:hAnsi="Times New Roman"/>
                <w:sz w:val="22"/>
                <w:szCs w:val="22"/>
                <w:lang w:val="ru-RU" w:eastAsia="en-US"/>
              </w:rPr>
              <w:t xml:space="preserve">Адрес: </w:t>
            </w:r>
            <w:r w:rsidR="00CF0810" w:rsidRPr="00CF0810">
              <w:rPr>
                <w:rFonts w:ascii="Times New Roman" w:hAnsi="Times New Roman"/>
                <w:sz w:val="22"/>
                <w:szCs w:val="22"/>
                <w:lang w:val="ru-RU" w:eastAsia="en-US"/>
              </w:rPr>
              <w:t xml:space="preserve">гр. София, р-н </w:t>
            </w:r>
            <w:proofErr w:type="spellStart"/>
            <w:r w:rsidR="00CF0810" w:rsidRPr="00CF0810">
              <w:rPr>
                <w:rFonts w:ascii="Times New Roman" w:hAnsi="Times New Roman"/>
                <w:sz w:val="22"/>
                <w:szCs w:val="22"/>
                <w:lang w:val="ru-RU" w:eastAsia="en-US"/>
              </w:rPr>
              <w:t>Лозенец</w:t>
            </w:r>
            <w:proofErr w:type="spellEnd"/>
            <w:r w:rsidR="00CF0810" w:rsidRPr="00CF0810">
              <w:rPr>
                <w:rFonts w:ascii="Times New Roman" w:hAnsi="Times New Roman"/>
                <w:sz w:val="22"/>
                <w:szCs w:val="22"/>
                <w:lang w:val="ru-RU" w:eastAsia="en-US"/>
              </w:rPr>
              <w:t xml:space="preserve">, бул. Никола Й. </w:t>
            </w:r>
            <w:proofErr w:type="spellStart"/>
            <w:r w:rsidR="00CF0810" w:rsidRPr="00CF0810">
              <w:rPr>
                <w:rFonts w:ascii="Times New Roman" w:hAnsi="Times New Roman"/>
                <w:sz w:val="22"/>
                <w:szCs w:val="22"/>
                <w:lang w:val="ru-RU" w:eastAsia="en-US"/>
              </w:rPr>
              <w:t>Вапцаров</w:t>
            </w:r>
            <w:proofErr w:type="spellEnd"/>
            <w:r w:rsidR="00CF0810" w:rsidRPr="00CF0810">
              <w:rPr>
                <w:rFonts w:ascii="Times New Roman" w:hAnsi="Times New Roman"/>
                <w:sz w:val="22"/>
                <w:szCs w:val="22"/>
                <w:lang w:val="ru-RU" w:eastAsia="en-US"/>
              </w:rPr>
              <w:t xml:space="preserve"> № 6</w:t>
            </w:r>
          </w:p>
        </w:tc>
      </w:tr>
      <w:tr w:rsidR="00E175F2" w:rsidRPr="00955E19" w14:paraId="7D0F897B" w14:textId="77777777" w:rsidTr="00F16244">
        <w:tc>
          <w:tcPr>
            <w:tcW w:w="9000" w:type="dxa"/>
          </w:tcPr>
          <w:p w14:paraId="61044D1F" w14:textId="77777777" w:rsidR="00E175F2" w:rsidRPr="00955E19" w:rsidRDefault="00E175F2" w:rsidP="00041E62">
            <w:pPr>
              <w:pStyle w:val="PlainText"/>
              <w:spacing w:after="200"/>
              <w:ind w:firstLine="360"/>
              <w:jc w:val="both"/>
              <w:rPr>
                <w:rFonts w:ascii="Times New Roman" w:hAnsi="Times New Roman"/>
                <w:sz w:val="22"/>
                <w:szCs w:val="22"/>
                <w:lang w:val="bg-BG"/>
              </w:rPr>
            </w:pPr>
            <w:proofErr w:type="spellStart"/>
            <w:r w:rsidRPr="00955E19">
              <w:rPr>
                <w:rFonts w:ascii="Times New Roman" w:hAnsi="Times New Roman"/>
                <w:sz w:val="22"/>
                <w:szCs w:val="22"/>
                <w:lang w:eastAsia="en-US"/>
              </w:rPr>
              <w:t>Тел</w:t>
            </w:r>
            <w:proofErr w:type="spellEnd"/>
            <w:r w:rsidRPr="00955E19">
              <w:rPr>
                <w:rFonts w:ascii="Times New Roman" w:hAnsi="Times New Roman"/>
                <w:sz w:val="22"/>
                <w:szCs w:val="22"/>
                <w:lang w:eastAsia="en-US"/>
              </w:rPr>
              <w:t>.: +359 (02) 815 56 65</w:t>
            </w:r>
          </w:p>
        </w:tc>
      </w:tr>
      <w:tr w:rsidR="00E175F2" w:rsidRPr="00955E19" w14:paraId="7FDB0211" w14:textId="77777777" w:rsidTr="00F16244">
        <w:tc>
          <w:tcPr>
            <w:tcW w:w="9000" w:type="dxa"/>
          </w:tcPr>
          <w:p w14:paraId="581A311D" w14:textId="77777777" w:rsidR="00E175F2" w:rsidRPr="00955E19" w:rsidRDefault="00E175F2" w:rsidP="00041E62">
            <w:pPr>
              <w:pStyle w:val="PlainText"/>
              <w:spacing w:after="200"/>
              <w:ind w:firstLine="360"/>
              <w:jc w:val="both"/>
              <w:rPr>
                <w:rFonts w:ascii="Times New Roman" w:hAnsi="Times New Roman"/>
                <w:sz w:val="22"/>
                <w:szCs w:val="22"/>
                <w:lang w:val="bg-BG"/>
              </w:rPr>
            </w:pPr>
            <w:proofErr w:type="spellStart"/>
            <w:r w:rsidRPr="00955E19">
              <w:rPr>
                <w:rFonts w:ascii="Times New Roman" w:hAnsi="Times New Roman"/>
                <w:sz w:val="22"/>
                <w:szCs w:val="22"/>
                <w:lang w:eastAsia="en-US"/>
              </w:rPr>
              <w:t>Факс</w:t>
            </w:r>
            <w:proofErr w:type="spellEnd"/>
            <w:r w:rsidRPr="00955E19">
              <w:rPr>
                <w:rFonts w:ascii="Times New Roman" w:hAnsi="Times New Roman"/>
                <w:sz w:val="22"/>
                <w:szCs w:val="22"/>
                <w:lang w:eastAsia="en-US"/>
              </w:rPr>
              <w:t>: +359 (02) 815 56 66</w:t>
            </w:r>
          </w:p>
        </w:tc>
      </w:tr>
      <w:tr w:rsidR="00E175F2" w:rsidRPr="00955E19" w14:paraId="51D7D376" w14:textId="77777777" w:rsidTr="00F16244">
        <w:tc>
          <w:tcPr>
            <w:tcW w:w="9000" w:type="dxa"/>
          </w:tcPr>
          <w:p w14:paraId="0FEB52E5" w14:textId="772DECBF" w:rsidR="00E175F2" w:rsidRPr="00955E19" w:rsidRDefault="00E175F2" w:rsidP="00041E62">
            <w:pPr>
              <w:pStyle w:val="PlainText"/>
              <w:spacing w:after="200"/>
              <w:ind w:firstLine="360"/>
              <w:jc w:val="both"/>
              <w:rPr>
                <w:rFonts w:ascii="Times New Roman" w:hAnsi="Times New Roman"/>
                <w:sz w:val="22"/>
                <w:szCs w:val="22"/>
                <w:lang w:val="bg-BG"/>
              </w:rPr>
            </w:pPr>
            <w:r w:rsidRPr="00955E19">
              <w:rPr>
                <w:rFonts w:ascii="Times New Roman" w:hAnsi="Times New Roman"/>
                <w:sz w:val="22"/>
                <w:szCs w:val="22"/>
                <w:lang w:val="ru-RU" w:eastAsia="en-US"/>
              </w:rPr>
              <w:t>Е-</w:t>
            </w:r>
            <w:proofErr w:type="spellStart"/>
            <w:r w:rsidRPr="00955E19">
              <w:rPr>
                <w:rFonts w:ascii="Times New Roman" w:hAnsi="Times New Roman"/>
                <w:sz w:val="22"/>
                <w:szCs w:val="22"/>
                <w:lang w:val="ru-RU" w:eastAsia="en-US"/>
              </w:rPr>
              <w:t>поща</w:t>
            </w:r>
            <w:proofErr w:type="spellEnd"/>
            <w:r w:rsidRPr="00955E19">
              <w:rPr>
                <w:rFonts w:ascii="Times New Roman" w:hAnsi="Times New Roman"/>
                <w:sz w:val="22"/>
                <w:szCs w:val="22"/>
                <w:lang w:val="ru-RU" w:eastAsia="en-US"/>
              </w:rPr>
              <w:t xml:space="preserve">: </w:t>
            </w:r>
            <w:proofErr w:type="spellStart"/>
            <w:r w:rsidRPr="00955E19">
              <w:rPr>
                <w:rFonts w:ascii="Times New Roman" w:hAnsi="Times New Roman"/>
                <w:sz w:val="22"/>
                <w:szCs w:val="22"/>
                <w:lang w:eastAsia="en-US"/>
              </w:rPr>
              <w:t>peshev</w:t>
            </w:r>
            <w:proofErr w:type="spellEnd"/>
            <w:r w:rsidRPr="00955E19">
              <w:rPr>
                <w:rFonts w:ascii="Times New Roman" w:hAnsi="Times New Roman"/>
                <w:sz w:val="22"/>
                <w:szCs w:val="22"/>
                <w:lang w:val="ru-RU" w:eastAsia="en-US"/>
              </w:rPr>
              <w:t>@</w:t>
            </w:r>
            <w:r w:rsidR="00DB351A">
              <w:rPr>
                <w:rFonts w:ascii="Times New Roman" w:hAnsi="Times New Roman"/>
                <w:sz w:val="22"/>
                <w:szCs w:val="22"/>
                <w:lang w:val="en-US" w:eastAsia="en-US"/>
              </w:rPr>
              <w:t>up</w:t>
            </w:r>
            <w:r w:rsidRPr="00955E19">
              <w:rPr>
                <w:rFonts w:ascii="Times New Roman" w:hAnsi="Times New Roman"/>
                <w:sz w:val="22"/>
                <w:szCs w:val="22"/>
                <w:lang w:eastAsia="en-US"/>
              </w:rPr>
              <w:t>trend</w:t>
            </w:r>
            <w:r w:rsidRPr="00955E19">
              <w:rPr>
                <w:rFonts w:ascii="Times New Roman" w:hAnsi="Times New Roman"/>
                <w:sz w:val="22"/>
                <w:szCs w:val="22"/>
                <w:lang w:val="ru-RU" w:eastAsia="en-US"/>
              </w:rPr>
              <w:t>.</w:t>
            </w:r>
            <w:proofErr w:type="spellStart"/>
            <w:r w:rsidRPr="00955E19">
              <w:rPr>
                <w:rFonts w:ascii="Times New Roman" w:hAnsi="Times New Roman"/>
                <w:sz w:val="22"/>
                <w:szCs w:val="22"/>
                <w:lang w:eastAsia="en-US"/>
              </w:rPr>
              <w:t>bg</w:t>
            </w:r>
            <w:proofErr w:type="spellEnd"/>
          </w:p>
        </w:tc>
      </w:tr>
      <w:tr w:rsidR="00E175F2" w:rsidRPr="00955E19" w14:paraId="06098924" w14:textId="77777777" w:rsidTr="00F16244">
        <w:tc>
          <w:tcPr>
            <w:tcW w:w="9000" w:type="dxa"/>
          </w:tcPr>
          <w:p w14:paraId="5FD83F84" w14:textId="77777777" w:rsidR="00E175F2" w:rsidRPr="00955E19" w:rsidRDefault="00E175F2" w:rsidP="00041E62">
            <w:pPr>
              <w:pStyle w:val="PlainText"/>
              <w:spacing w:after="200"/>
              <w:ind w:firstLine="360"/>
              <w:jc w:val="both"/>
              <w:rPr>
                <w:rFonts w:ascii="Times New Roman" w:hAnsi="Times New Roman"/>
                <w:sz w:val="22"/>
                <w:szCs w:val="22"/>
                <w:lang w:val="bg-BG"/>
              </w:rPr>
            </w:pPr>
            <w:r w:rsidRPr="00955E19">
              <w:rPr>
                <w:rFonts w:ascii="Times New Roman" w:hAnsi="Times New Roman"/>
                <w:sz w:val="22"/>
                <w:szCs w:val="22"/>
                <w:lang w:val="ru-RU" w:eastAsia="en-US"/>
              </w:rPr>
              <w:t xml:space="preserve">Лице за контакт: </w:t>
            </w:r>
            <w:proofErr w:type="spellStart"/>
            <w:r w:rsidRPr="00955E19">
              <w:rPr>
                <w:rFonts w:ascii="Times New Roman" w:hAnsi="Times New Roman"/>
                <w:sz w:val="22"/>
                <w:szCs w:val="22"/>
                <w:lang w:val="ru-RU" w:eastAsia="en-US"/>
              </w:rPr>
              <w:t>Петър</w:t>
            </w:r>
            <w:proofErr w:type="spellEnd"/>
            <w:r w:rsidRPr="00955E19">
              <w:rPr>
                <w:rFonts w:ascii="Times New Roman" w:hAnsi="Times New Roman"/>
                <w:sz w:val="22"/>
                <w:szCs w:val="22"/>
                <w:lang w:val="ru-RU" w:eastAsia="en-US"/>
              </w:rPr>
              <w:t xml:space="preserve"> </w:t>
            </w:r>
            <w:proofErr w:type="spellStart"/>
            <w:r w:rsidRPr="00955E19">
              <w:rPr>
                <w:rFonts w:ascii="Times New Roman" w:hAnsi="Times New Roman"/>
                <w:sz w:val="22"/>
                <w:szCs w:val="22"/>
                <w:lang w:val="ru-RU" w:eastAsia="en-US"/>
              </w:rPr>
              <w:t>Пешев</w:t>
            </w:r>
            <w:proofErr w:type="spellEnd"/>
          </w:p>
        </w:tc>
      </w:tr>
      <w:tr w:rsidR="00E175F2" w:rsidRPr="00955E19" w14:paraId="20C0ACEC" w14:textId="77777777" w:rsidTr="00F16244">
        <w:tc>
          <w:tcPr>
            <w:tcW w:w="9000" w:type="dxa"/>
          </w:tcPr>
          <w:p w14:paraId="36DEE9EB" w14:textId="3454AB1E" w:rsidR="00E175F2" w:rsidRPr="00955E19" w:rsidRDefault="00E175F2" w:rsidP="00041E62">
            <w:pPr>
              <w:pStyle w:val="PlainText"/>
              <w:spacing w:after="200"/>
              <w:ind w:firstLine="360"/>
              <w:jc w:val="both"/>
              <w:rPr>
                <w:rFonts w:ascii="Times New Roman" w:hAnsi="Times New Roman"/>
                <w:sz w:val="22"/>
                <w:szCs w:val="22"/>
                <w:lang w:val="bg-BG"/>
              </w:rPr>
            </w:pPr>
            <w:proofErr w:type="spellStart"/>
            <w:r w:rsidRPr="00955E19">
              <w:rPr>
                <w:rFonts w:ascii="Times New Roman" w:hAnsi="Times New Roman"/>
                <w:sz w:val="22"/>
                <w:szCs w:val="22"/>
                <w:lang w:val="ru-RU" w:eastAsia="en-US"/>
              </w:rPr>
              <w:t>Всеки</w:t>
            </w:r>
            <w:proofErr w:type="spellEnd"/>
            <w:r w:rsidRPr="00955E19">
              <w:rPr>
                <w:rFonts w:ascii="Times New Roman" w:hAnsi="Times New Roman"/>
                <w:sz w:val="22"/>
                <w:szCs w:val="22"/>
                <w:lang w:val="ru-RU" w:eastAsia="en-US"/>
              </w:rPr>
              <w:t xml:space="preserve"> </w:t>
            </w:r>
            <w:proofErr w:type="spellStart"/>
            <w:r w:rsidRPr="00955E19">
              <w:rPr>
                <w:rFonts w:ascii="Times New Roman" w:hAnsi="Times New Roman"/>
                <w:sz w:val="22"/>
                <w:szCs w:val="22"/>
                <w:lang w:val="ru-RU" w:eastAsia="en-US"/>
              </w:rPr>
              <w:t>работен</w:t>
            </w:r>
            <w:proofErr w:type="spellEnd"/>
            <w:r w:rsidRPr="00955E19">
              <w:rPr>
                <w:rFonts w:ascii="Times New Roman" w:hAnsi="Times New Roman"/>
                <w:sz w:val="22"/>
                <w:szCs w:val="22"/>
                <w:lang w:val="ru-RU" w:eastAsia="en-US"/>
              </w:rPr>
              <w:t xml:space="preserve"> </w:t>
            </w:r>
            <w:proofErr w:type="spellStart"/>
            <w:r w:rsidRPr="00955E19">
              <w:rPr>
                <w:rFonts w:ascii="Times New Roman" w:hAnsi="Times New Roman"/>
                <w:sz w:val="22"/>
                <w:szCs w:val="22"/>
                <w:lang w:val="ru-RU" w:eastAsia="en-US"/>
              </w:rPr>
              <w:t>ден</w:t>
            </w:r>
            <w:proofErr w:type="spellEnd"/>
            <w:r w:rsidRPr="00955E19">
              <w:rPr>
                <w:rFonts w:ascii="Times New Roman" w:hAnsi="Times New Roman"/>
                <w:sz w:val="22"/>
                <w:szCs w:val="22"/>
                <w:lang w:val="ru-RU" w:eastAsia="en-US"/>
              </w:rPr>
              <w:t xml:space="preserve"> от 9</w:t>
            </w:r>
            <w:r w:rsidR="008605E6">
              <w:rPr>
                <w:rFonts w:ascii="Times New Roman" w:hAnsi="Times New Roman"/>
                <w:sz w:val="22"/>
                <w:szCs w:val="22"/>
                <w:lang w:val="ru-RU" w:eastAsia="en-US"/>
              </w:rPr>
              <w:t>:</w:t>
            </w:r>
            <w:r w:rsidRPr="00955E19">
              <w:rPr>
                <w:rFonts w:ascii="Times New Roman" w:hAnsi="Times New Roman"/>
                <w:sz w:val="22"/>
                <w:szCs w:val="22"/>
                <w:lang w:val="ru-RU" w:eastAsia="en-US"/>
              </w:rPr>
              <w:t>00 до 17</w:t>
            </w:r>
            <w:r w:rsidR="008605E6">
              <w:rPr>
                <w:rFonts w:ascii="Times New Roman" w:hAnsi="Times New Roman"/>
                <w:sz w:val="22"/>
                <w:szCs w:val="22"/>
                <w:lang w:val="ru-RU" w:eastAsia="en-US"/>
              </w:rPr>
              <w:t>:</w:t>
            </w:r>
            <w:r w:rsidRPr="00955E19">
              <w:rPr>
                <w:rFonts w:ascii="Times New Roman" w:hAnsi="Times New Roman"/>
                <w:sz w:val="22"/>
                <w:szCs w:val="22"/>
                <w:lang w:val="ru-RU" w:eastAsia="en-US"/>
              </w:rPr>
              <w:t>00 часа</w:t>
            </w:r>
          </w:p>
        </w:tc>
      </w:tr>
      <w:tr w:rsidR="00E175F2" w:rsidRPr="00955E19" w14:paraId="69D830D4" w14:textId="77777777" w:rsidTr="00F16244">
        <w:tc>
          <w:tcPr>
            <w:tcW w:w="9000" w:type="dxa"/>
            <w:tcBorders>
              <w:bottom w:val="double" w:sz="4" w:space="0" w:color="auto"/>
            </w:tcBorders>
          </w:tcPr>
          <w:p w14:paraId="1AB69754" w14:textId="77777777" w:rsidR="00E175F2" w:rsidRPr="00955E19" w:rsidRDefault="00E175F2" w:rsidP="00152D36">
            <w:pPr>
              <w:pStyle w:val="PlainText"/>
              <w:spacing w:after="200"/>
              <w:ind w:firstLine="360"/>
              <w:jc w:val="both"/>
              <w:rPr>
                <w:rFonts w:ascii="Times New Roman" w:hAnsi="Times New Roman"/>
                <w:sz w:val="22"/>
                <w:szCs w:val="22"/>
                <w:lang w:val="bg-BG"/>
              </w:rPr>
            </w:pPr>
          </w:p>
        </w:tc>
      </w:tr>
    </w:tbl>
    <w:p w14:paraId="25D62184" w14:textId="77777777" w:rsidR="00E175F2" w:rsidRPr="00955E19" w:rsidRDefault="00E175F2" w:rsidP="00152D36">
      <w:pPr>
        <w:rPr>
          <w:sz w:val="22"/>
          <w:szCs w:val="22"/>
          <w:lang w:eastAsia="bg-BG"/>
        </w:rPr>
      </w:pPr>
    </w:p>
    <w:p w14:paraId="22D07908" w14:textId="77777777" w:rsidR="00E175F2" w:rsidRPr="00955E19" w:rsidRDefault="00E175F2" w:rsidP="00152D36">
      <w:pPr>
        <w:jc w:val="both"/>
        <w:rPr>
          <w:sz w:val="20"/>
          <w:szCs w:val="22"/>
          <w:lang w:eastAsia="bg-BG"/>
        </w:rPr>
      </w:pPr>
      <w:r w:rsidRPr="00955E19">
        <w:rPr>
          <w:sz w:val="20"/>
          <w:szCs w:val="22"/>
          <w:lang w:eastAsia="bg-BG"/>
        </w:rPr>
        <w:t>Проспектът може да бъде получен и от „Българска Фондова Борса – София” АД</w:t>
      </w:r>
      <w:r w:rsidRPr="00955E19">
        <w:t xml:space="preserve"> </w:t>
      </w:r>
      <w:r w:rsidRPr="00955E19">
        <w:rPr>
          <w:sz w:val="20"/>
          <w:szCs w:val="22"/>
          <w:lang w:eastAsia="bg-BG"/>
        </w:rPr>
        <w:t xml:space="preserve">от датата на приемане на ценните книжа на Дружеството със специална инвестиционна цел за борсова търговия. </w:t>
      </w:r>
    </w:p>
    <w:p w14:paraId="32BFE499" w14:textId="77777777" w:rsidR="00E175F2" w:rsidRPr="00955E19" w:rsidRDefault="00E175F2" w:rsidP="00152D36">
      <w:pPr>
        <w:pStyle w:val="Normalen"/>
        <w:spacing w:after="200"/>
        <w:rPr>
          <w:b/>
          <w:bCs/>
          <w:sz w:val="22"/>
          <w:szCs w:val="22"/>
        </w:rPr>
      </w:pPr>
    </w:p>
    <w:p w14:paraId="06B1A05F" w14:textId="77777777" w:rsidR="00E175F2" w:rsidRPr="00955E19" w:rsidRDefault="00E175F2" w:rsidP="00152D36">
      <w:pPr>
        <w:jc w:val="center"/>
        <w:rPr>
          <w:b/>
          <w:bCs/>
          <w:sz w:val="22"/>
          <w:szCs w:val="22"/>
        </w:rPr>
      </w:pPr>
    </w:p>
    <w:p w14:paraId="6762075E" w14:textId="77777777" w:rsidR="00E175F2" w:rsidRPr="00955E19" w:rsidRDefault="00E175F2" w:rsidP="00152D36">
      <w:pPr>
        <w:jc w:val="center"/>
        <w:rPr>
          <w:b/>
          <w:bCs/>
          <w:sz w:val="22"/>
          <w:szCs w:val="22"/>
        </w:rPr>
      </w:pPr>
    </w:p>
    <w:p w14:paraId="36C19D75" w14:textId="77777777" w:rsidR="00E175F2" w:rsidRPr="00955E19" w:rsidRDefault="00E175F2" w:rsidP="00152D36">
      <w:pPr>
        <w:pStyle w:val="BodyText"/>
        <w:spacing w:after="120"/>
        <w:jc w:val="center"/>
        <w:rPr>
          <w:b/>
          <w:smallCaps/>
          <w:color w:val="auto"/>
          <w:sz w:val="22"/>
          <w:szCs w:val="22"/>
        </w:rPr>
      </w:pPr>
    </w:p>
    <w:p w14:paraId="3CC25218" w14:textId="77777777" w:rsidR="00E175F2" w:rsidRPr="00955E19" w:rsidRDefault="00E175F2" w:rsidP="00152D36">
      <w:pPr>
        <w:pStyle w:val="BodyText"/>
        <w:spacing w:after="120"/>
        <w:jc w:val="center"/>
        <w:rPr>
          <w:b/>
          <w:smallCaps/>
          <w:color w:val="auto"/>
          <w:spacing w:val="20"/>
          <w:szCs w:val="24"/>
        </w:rPr>
      </w:pPr>
      <w:r w:rsidRPr="00955E19">
        <w:rPr>
          <w:b/>
          <w:smallCaps/>
          <w:color w:val="auto"/>
          <w:sz w:val="22"/>
          <w:szCs w:val="22"/>
        </w:rPr>
        <w:br w:type="page"/>
      </w:r>
      <w:r w:rsidRPr="00955E19">
        <w:rPr>
          <w:b/>
          <w:smallCaps/>
          <w:color w:val="auto"/>
          <w:spacing w:val="20"/>
          <w:szCs w:val="24"/>
        </w:rPr>
        <w:lastRenderedPageBreak/>
        <w:t>Съдържание:</w:t>
      </w:r>
    </w:p>
    <w:p w14:paraId="05D42C3A" w14:textId="77777777" w:rsidR="00E175F2" w:rsidRPr="00955E19" w:rsidRDefault="00E175F2" w:rsidP="00152D36">
      <w:pPr>
        <w:pStyle w:val="BodyText"/>
        <w:spacing w:after="120"/>
        <w:rPr>
          <w:b/>
          <w:smallCaps/>
          <w:color w:val="auto"/>
          <w:sz w:val="20"/>
        </w:rPr>
      </w:pPr>
    </w:p>
    <w:p w14:paraId="298A2A36" w14:textId="2F357F28" w:rsidR="002E5567" w:rsidRDefault="00E175F2">
      <w:pPr>
        <w:pStyle w:val="TOC1"/>
        <w:tabs>
          <w:tab w:val="left" w:pos="480"/>
        </w:tabs>
        <w:rPr>
          <w:rFonts w:asciiTheme="minorHAnsi" w:eastAsiaTheme="minorEastAsia" w:hAnsiTheme="minorHAnsi" w:cstheme="minorBidi"/>
          <w:b w:val="0"/>
          <w:bCs w:val="0"/>
          <w:caps w:val="0"/>
          <w:sz w:val="22"/>
          <w:szCs w:val="22"/>
          <w:lang w:val="en-US"/>
        </w:rPr>
      </w:pPr>
      <w:r w:rsidRPr="00955E19">
        <w:rPr>
          <w:rFonts w:ascii="Times New Roman" w:hAnsi="Times New Roman" w:cs="Times New Roman"/>
          <w:smallCaps/>
        </w:rPr>
        <w:fldChar w:fldCharType="begin"/>
      </w:r>
      <w:r w:rsidRPr="00955E19">
        <w:rPr>
          <w:rFonts w:ascii="Times New Roman" w:hAnsi="Times New Roman" w:cs="Times New Roman"/>
          <w:smallCaps/>
        </w:rPr>
        <w:instrText xml:space="preserve"> TOC \o "1-2" \h \z \u </w:instrText>
      </w:r>
      <w:r w:rsidRPr="00955E19">
        <w:rPr>
          <w:rFonts w:ascii="Times New Roman" w:hAnsi="Times New Roman" w:cs="Times New Roman"/>
          <w:smallCaps/>
        </w:rPr>
        <w:fldChar w:fldCharType="separate"/>
      </w:r>
      <w:hyperlink w:anchor="_Toc492995905" w:history="1">
        <w:r w:rsidR="002E5567" w:rsidRPr="004622BD">
          <w:rPr>
            <w:rStyle w:val="Hyperlink"/>
          </w:rPr>
          <w:t>1.</w:t>
        </w:r>
        <w:r w:rsidR="002E5567">
          <w:rPr>
            <w:rFonts w:asciiTheme="minorHAnsi" w:eastAsiaTheme="minorEastAsia" w:hAnsiTheme="minorHAnsi" w:cstheme="minorBidi"/>
            <w:b w:val="0"/>
            <w:bCs w:val="0"/>
            <w:caps w:val="0"/>
            <w:sz w:val="22"/>
            <w:szCs w:val="22"/>
            <w:lang w:val="en-US"/>
          </w:rPr>
          <w:tab/>
        </w:r>
        <w:r w:rsidR="002E5567" w:rsidRPr="004622BD">
          <w:rPr>
            <w:rStyle w:val="Hyperlink"/>
          </w:rPr>
          <w:t>ОТГОВОРНИ ЛИЦА</w:t>
        </w:r>
        <w:r w:rsidR="002E5567">
          <w:rPr>
            <w:webHidden/>
          </w:rPr>
          <w:tab/>
        </w:r>
        <w:r w:rsidR="002E5567">
          <w:rPr>
            <w:webHidden/>
          </w:rPr>
          <w:fldChar w:fldCharType="begin"/>
        </w:r>
        <w:r w:rsidR="002E5567">
          <w:rPr>
            <w:webHidden/>
          </w:rPr>
          <w:instrText xml:space="preserve"> PAGEREF _Toc492995905 \h </w:instrText>
        </w:r>
        <w:r w:rsidR="002E5567">
          <w:rPr>
            <w:webHidden/>
          </w:rPr>
        </w:r>
        <w:r w:rsidR="002E5567">
          <w:rPr>
            <w:webHidden/>
          </w:rPr>
          <w:fldChar w:fldCharType="separate"/>
        </w:r>
        <w:r w:rsidR="008D71C2">
          <w:rPr>
            <w:webHidden/>
          </w:rPr>
          <w:t>5</w:t>
        </w:r>
        <w:r w:rsidR="002E5567">
          <w:rPr>
            <w:webHidden/>
          </w:rPr>
          <w:fldChar w:fldCharType="end"/>
        </w:r>
      </w:hyperlink>
    </w:p>
    <w:p w14:paraId="34822D03" w14:textId="325BF288"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06" w:history="1">
        <w:r w:rsidR="002E5567" w:rsidRPr="004622BD">
          <w:rPr>
            <w:rStyle w:val="Hyperlink"/>
            <w:spacing w:val="20"/>
          </w:rPr>
          <w:t>1.1. Лица, отговарящи за информацията, дадена в Документа за предлаганите ценни книжа</w:t>
        </w:r>
        <w:r w:rsidR="002E5567">
          <w:rPr>
            <w:webHidden/>
          </w:rPr>
          <w:tab/>
        </w:r>
        <w:r w:rsidR="002E5567">
          <w:rPr>
            <w:webHidden/>
          </w:rPr>
          <w:fldChar w:fldCharType="begin"/>
        </w:r>
        <w:r w:rsidR="002E5567">
          <w:rPr>
            <w:webHidden/>
          </w:rPr>
          <w:instrText xml:space="preserve"> PAGEREF _Toc492995906 \h </w:instrText>
        </w:r>
        <w:r w:rsidR="002E5567">
          <w:rPr>
            <w:webHidden/>
          </w:rPr>
        </w:r>
        <w:r w:rsidR="002E5567">
          <w:rPr>
            <w:webHidden/>
          </w:rPr>
          <w:fldChar w:fldCharType="separate"/>
        </w:r>
        <w:r w:rsidR="008D71C2">
          <w:rPr>
            <w:webHidden/>
          </w:rPr>
          <w:t>5</w:t>
        </w:r>
        <w:r w:rsidR="002E5567">
          <w:rPr>
            <w:webHidden/>
          </w:rPr>
          <w:fldChar w:fldCharType="end"/>
        </w:r>
      </w:hyperlink>
    </w:p>
    <w:p w14:paraId="0105AC4D" w14:textId="0C740C73"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07" w:history="1">
        <w:r w:rsidR="002E5567" w:rsidRPr="004622BD">
          <w:rPr>
            <w:rStyle w:val="Hyperlink"/>
            <w:spacing w:val="20"/>
          </w:rPr>
          <w:t>1.2. Декларация от лицата, които отговарят за Документа за предлаганите ценни книжа</w:t>
        </w:r>
        <w:r w:rsidR="002E5567">
          <w:rPr>
            <w:webHidden/>
          </w:rPr>
          <w:tab/>
        </w:r>
        <w:r w:rsidR="002E5567">
          <w:rPr>
            <w:webHidden/>
          </w:rPr>
          <w:fldChar w:fldCharType="begin"/>
        </w:r>
        <w:r w:rsidR="002E5567">
          <w:rPr>
            <w:webHidden/>
          </w:rPr>
          <w:instrText xml:space="preserve"> PAGEREF _Toc492995907 \h </w:instrText>
        </w:r>
        <w:r w:rsidR="002E5567">
          <w:rPr>
            <w:webHidden/>
          </w:rPr>
        </w:r>
        <w:r w:rsidR="002E5567">
          <w:rPr>
            <w:webHidden/>
          </w:rPr>
          <w:fldChar w:fldCharType="separate"/>
        </w:r>
        <w:r w:rsidR="008D71C2">
          <w:rPr>
            <w:webHidden/>
          </w:rPr>
          <w:t>5</w:t>
        </w:r>
        <w:r w:rsidR="002E5567">
          <w:rPr>
            <w:webHidden/>
          </w:rPr>
          <w:fldChar w:fldCharType="end"/>
        </w:r>
      </w:hyperlink>
    </w:p>
    <w:p w14:paraId="51AFC224" w14:textId="5B0E3E5D" w:rsidR="002E5567" w:rsidRDefault="00371C9F">
      <w:pPr>
        <w:pStyle w:val="TOC1"/>
        <w:tabs>
          <w:tab w:val="left" w:pos="480"/>
        </w:tabs>
        <w:rPr>
          <w:rFonts w:asciiTheme="minorHAnsi" w:eastAsiaTheme="minorEastAsia" w:hAnsiTheme="minorHAnsi" w:cstheme="minorBidi"/>
          <w:b w:val="0"/>
          <w:bCs w:val="0"/>
          <w:caps w:val="0"/>
          <w:sz w:val="22"/>
          <w:szCs w:val="22"/>
          <w:lang w:val="en-US"/>
        </w:rPr>
      </w:pPr>
      <w:hyperlink w:anchor="_Toc492995908" w:history="1">
        <w:r w:rsidR="002E5567" w:rsidRPr="004622BD">
          <w:rPr>
            <w:rStyle w:val="Hyperlink"/>
          </w:rPr>
          <w:t>2.</w:t>
        </w:r>
        <w:r w:rsidR="002E5567">
          <w:rPr>
            <w:rFonts w:asciiTheme="minorHAnsi" w:eastAsiaTheme="minorEastAsia" w:hAnsiTheme="minorHAnsi" w:cstheme="minorBidi"/>
            <w:b w:val="0"/>
            <w:bCs w:val="0"/>
            <w:caps w:val="0"/>
            <w:sz w:val="22"/>
            <w:szCs w:val="22"/>
            <w:lang w:val="en-US"/>
          </w:rPr>
          <w:tab/>
        </w:r>
        <w:r w:rsidR="002E5567" w:rsidRPr="004622BD">
          <w:rPr>
            <w:rStyle w:val="Hyperlink"/>
          </w:rPr>
          <w:t>РИСКОВИ ФАКТОРИ</w:t>
        </w:r>
        <w:r w:rsidR="002E5567">
          <w:rPr>
            <w:webHidden/>
          </w:rPr>
          <w:tab/>
        </w:r>
        <w:r w:rsidR="002E5567">
          <w:rPr>
            <w:webHidden/>
          </w:rPr>
          <w:fldChar w:fldCharType="begin"/>
        </w:r>
        <w:r w:rsidR="002E5567">
          <w:rPr>
            <w:webHidden/>
          </w:rPr>
          <w:instrText xml:space="preserve"> PAGEREF _Toc492995908 \h </w:instrText>
        </w:r>
        <w:r w:rsidR="002E5567">
          <w:rPr>
            <w:webHidden/>
          </w:rPr>
        </w:r>
        <w:r w:rsidR="002E5567">
          <w:rPr>
            <w:webHidden/>
          </w:rPr>
          <w:fldChar w:fldCharType="separate"/>
        </w:r>
        <w:r w:rsidR="008D71C2">
          <w:rPr>
            <w:webHidden/>
          </w:rPr>
          <w:t>5</w:t>
        </w:r>
        <w:r w:rsidR="002E5567">
          <w:rPr>
            <w:webHidden/>
          </w:rPr>
          <w:fldChar w:fldCharType="end"/>
        </w:r>
      </w:hyperlink>
    </w:p>
    <w:p w14:paraId="5EB7B372" w14:textId="4C7B6487" w:rsidR="002E5567" w:rsidRDefault="00371C9F">
      <w:pPr>
        <w:pStyle w:val="TOC1"/>
        <w:tabs>
          <w:tab w:val="left" w:pos="480"/>
        </w:tabs>
        <w:rPr>
          <w:rFonts w:asciiTheme="minorHAnsi" w:eastAsiaTheme="minorEastAsia" w:hAnsiTheme="minorHAnsi" w:cstheme="minorBidi"/>
          <w:b w:val="0"/>
          <w:bCs w:val="0"/>
          <w:caps w:val="0"/>
          <w:sz w:val="22"/>
          <w:szCs w:val="22"/>
          <w:lang w:val="en-US"/>
        </w:rPr>
      </w:pPr>
      <w:hyperlink w:anchor="_Toc492995909" w:history="1">
        <w:r w:rsidR="002E5567" w:rsidRPr="004622BD">
          <w:rPr>
            <w:rStyle w:val="Hyperlink"/>
          </w:rPr>
          <w:t>3.</w:t>
        </w:r>
        <w:r w:rsidR="002E5567">
          <w:rPr>
            <w:rFonts w:asciiTheme="minorHAnsi" w:eastAsiaTheme="minorEastAsia" w:hAnsiTheme="minorHAnsi" w:cstheme="minorBidi"/>
            <w:b w:val="0"/>
            <w:bCs w:val="0"/>
            <w:caps w:val="0"/>
            <w:sz w:val="22"/>
            <w:szCs w:val="22"/>
            <w:lang w:val="en-US"/>
          </w:rPr>
          <w:tab/>
        </w:r>
        <w:r w:rsidR="002E5567" w:rsidRPr="004622BD">
          <w:rPr>
            <w:rStyle w:val="Hyperlink"/>
          </w:rPr>
          <w:t>СЪЩЕСТВЕНА  ИНФОРМАЦИЯ</w:t>
        </w:r>
        <w:r w:rsidR="002E5567">
          <w:rPr>
            <w:webHidden/>
          </w:rPr>
          <w:tab/>
        </w:r>
        <w:r w:rsidR="002E5567">
          <w:rPr>
            <w:webHidden/>
          </w:rPr>
          <w:fldChar w:fldCharType="begin"/>
        </w:r>
        <w:r w:rsidR="002E5567">
          <w:rPr>
            <w:webHidden/>
          </w:rPr>
          <w:instrText xml:space="preserve"> PAGEREF _Toc492995909 \h </w:instrText>
        </w:r>
        <w:r w:rsidR="002E5567">
          <w:rPr>
            <w:webHidden/>
          </w:rPr>
        </w:r>
        <w:r w:rsidR="002E5567">
          <w:rPr>
            <w:webHidden/>
          </w:rPr>
          <w:fldChar w:fldCharType="separate"/>
        </w:r>
        <w:r w:rsidR="008D71C2">
          <w:rPr>
            <w:webHidden/>
          </w:rPr>
          <w:t>7</w:t>
        </w:r>
        <w:r w:rsidR="002E5567">
          <w:rPr>
            <w:webHidden/>
          </w:rPr>
          <w:fldChar w:fldCharType="end"/>
        </w:r>
      </w:hyperlink>
    </w:p>
    <w:p w14:paraId="486C15F3" w14:textId="34CC7AB7"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10" w:history="1">
        <w:r w:rsidR="002E5567" w:rsidRPr="004622BD">
          <w:rPr>
            <w:rStyle w:val="Hyperlink"/>
            <w:spacing w:val="20"/>
          </w:rPr>
          <w:t>3.1. Декларация за оборотния капитал</w:t>
        </w:r>
        <w:r w:rsidR="002E5567">
          <w:rPr>
            <w:webHidden/>
          </w:rPr>
          <w:tab/>
        </w:r>
        <w:r w:rsidR="002E5567">
          <w:rPr>
            <w:webHidden/>
          </w:rPr>
          <w:fldChar w:fldCharType="begin"/>
        </w:r>
        <w:r w:rsidR="002E5567">
          <w:rPr>
            <w:webHidden/>
          </w:rPr>
          <w:instrText xml:space="preserve"> PAGEREF _Toc492995910 \h </w:instrText>
        </w:r>
        <w:r w:rsidR="002E5567">
          <w:rPr>
            <w:webHidden/>
          </w:rPr>
        </w:r>
        <w:r w:rsidR="002E5567">
          <w:rPr>
            <w:webHidden/>
          </w:rPr>
          <w:fldChar w:fldCharType="separate"/>
        </w:r>
        <w:r w:rsidR="008D71C2">
          <w:rPr>
            <w:webHidden/>
          </w:rPr>
          <w:t>7</w:t>
        </w:r>
        <w:r w:rsidR="002E5567">
          <w:rPr>
            <w:webHidden/>
          </w:rPr>
          <w:fldChar w:fldCharType="end"/>
        </w:r>
      </w:hyperlink>
    </w:p>
    <w:p w14:paraId="7592D694" w14:textId="238C98FF"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11" w:history="1">
        <w:r w:rsidR="002E5567" w:rsidRPr="004622BD">
          <w:rPr>
            <w:rStyle w:val="Hyperlink"/>
            <w:spacing w:val="20"/>
          </w:rPr>
          <w:t>3.2. Капитализация и задлъжнялост</w:t>
        </w:r>
        <w:r w:rsidR="002E5567">
          <w:rPr>
            <w:webHidden/>
          </w:rPr>
          <w:tab/>
        </w:r>
        <w:r w:rsidR="002E5567">
          <w:rPr>
            <w:webHidden/>
          </w:rPr>
          <w:fldChar w:fldCharType="begin"/>
        </w:r>
        <w:r w:rsidR="002E5567">
          <w:rPr>
            <w:webHidden/>
          </w:rPr>
          <w:instrText xml:space="preserve"> PAGEREF _Toc492995911 \h </w:instrText>
        </w:r>
        <w:r w:rsidR="002E5567">
          <w:rPr>
            <w:webHidden/>
          </w:rPr>
        </w:r>
        <w:r w:rsidR="002E5567">
          <w:rPr>
            <w:webHidden/>
          </w:rPr>
          <w:fldChar w:fldCharType="separate"/>
        </w:r>
        <w:r w:rsidR="008D71C2">
          <w:rPr>
            <w:webHidden/>
          </w:rPr>
          <w:t>7</w:t>
        </w:r>
        <w:r w:rsidR="002E5567">
          <w:rPr>
            <w:webHidden/>
          </w:rPr>
          <w:fldChar w:fldCharType="end"/>
        </w:r>
      </w:hyperlink>
    </w:p>
    <w:p w14:paraId="1D3EDAA9" w14:textId="63D6324C"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12" w:history="1">
        <w:r w:rsidR="002E5567" w:rsidRPr="004622BD">
          <w:rPr>
            <w:rStyle w:val="Hyperlink"/>
            <w:spacing w:val="20"/>
          </w:rPr>
          <w:t>3.3. Участия, които са съществени за емисията/предлагането, даващо данни за участващите лица и естеството на участието.</w:t>
        </w:r>
        <w:r w:rsidR="002E5567">
          <w:rPr>
            <w:webHidden/>
          </w:rPr>
          <w:tab/>
        </w:r>
        <w:r w:rsidR="002E5567">
          <w:rPr>
            <w:webHidden/>
          </w:rPr>
          <w:fldChar w:fldCharType="begin"/>
        </w:r>
        <w:r w:rsidR="002E5567">
          <w:rPr>
            <w:webHidden/>
          </w:rPr>
          <w:instrText xml:space="preserve"> PAGEREF _Toc492995912 \h </w:instrText>
        </w:r>
        <w:r w:rsidR="002E5567">
          <w:rPr>
            <w:webHidden/>
          </w:rPr>
        </w:r>
        <w:r w:rsidR="002E5567">
          <w:rPr>
            <w:webHidden/>
          </w:rPr>
          <w:fldChar w:fldCharType="separate"/>
        </w:r>
        <w:r w:rsidR="008D71C2">
          <w:rPr>
            <w:webHidden/>
          </w:rPr>
          <w:t>8</w:t>
        </w:r>
        <w:r w:rsidR="002E5567">
          <w:rPr>
            <w:webHidden/>
          </w:rPr>
          <w:fldChar w:fldCharType="end"/>
        </w:r>
      </w:hyperlink>
    </w:p>
    <w:p w14:paraId="0F5758A5" w14:textId="2B546846"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13" w:history="1">
        <w:r w:rsidR="002E5567" w:rsidRPr="004622BD">
          <w:rPr>
            <w:rStyle w:val="Hyperlink"/>
            <w:spacing w:val="20"/>
          </w:rPr>
          <w:t>3.4. Обосновка на предлагането и използване на постъпленията</w:t>
        </w:r>
        <w:r w:rsidR="002E5567">
          <w:rPr>
            <w:webHidden/>
          </w:rPr>
          <w:tab/>
        </w:r>
        <w:r w:rsidR="002E5567">
          <w:rPr>
            <w:webHidden/>
          </w:rPr>
          <w:fldChar w:fldCharType="begin"/>
        </w:r>
        <w:r w:rsidR="002E5567">
          <w:rPr>
            <w:webHidden/>
          </w:rPr>
          <w:instrText xml:space="preserve"> PAGEREF _Toc492995913 \h </w:instrText>
        </w:r>
        <w:r w:rsidR="002E5567">
          <w:rPr>
            <w:webHidden/>
          </w:rPr>
        </w:r>
        <w:r w:rsidR="002E5567">
          <w:rPr>
            <w:webHidden/>
          </w:rPr>
          <w:fldChar w:fldCharType="separate"/>
        </w:r>
        <w:r w:rsidR="008D71C2">
          <w:rPr>
            <w:webHidden/>
          </w:rPr>
          <w:t>8</w:t>
        </w:r>
        <w:r w:rsidR="002E5567">
          <w:rPr>
            <w:webHidden/>
          </w:rPr>
          <w:fldChar w:fldCharType="end"/>
        </w:r>
      </w:hyperlink>
    </w:p>
    <w:p w14:paraId="24F05DDA" w14:textId="60311706" w:rsidR="002E5567" w:rsidRDefault="00371C9F">
      <w:pPr>
        <w:pStyle w:val="TOC1"/>
        <w:tabs>
          <w:tab w:val="left" w:pos="480"/>
        </w:tabs>
        <w:rPr>
          <w:rFonts w:asciiTheme="minorHAnsi" w:eastAsiaTheme="minorEastAsia" w:hAnsiTheme="minorHAnsi" w:cstheme="minorBidi"/>
          <w:b w:val="0"/>
          <w:bCs w:val="0"/>
          <w:caps w:val="0"/>
          <w:sz w:val="22"/>
          <w:szCs w:val="22"/>
          <w:lang w:val="en-US"/>
        </w:rPr>
      </w:pPr>
      <w:hyperlink w:anchor="_Toc492995914" w:history="1">
        <w:r w:rsidR="002E5567" w:rsidRPr="004622BD">
          <w:rPr>
            <w:rStyle w:val="Hyperlink"/>
          </w:rPr>
          <w:t>4.</w:t>
        </w:r>
        <w:r w:rsidR="002E5567">
          <w:rPr>
            <w:rFonts w:asciiTheme="minorHAnsi" w:eastAsiaTheme="minorEastAsia" w:hAnsiTheme="minorHAnsi" w:cstheme="minorBidi"/>
            <w:b w:val="0"/>
            <w:bCs w:val="0"/>
            <w:caps w:val="0"/>
            <w:sz w:val="22"/>
            <w:szCs w:val="22"/>
            <w:lang w:val="en-US"/>
          </w:rPr>
          <w:tab/>
        </w:r>
        <w:r w:rsidR="002E5567" w:rsidRPr="004622BD">
          <w:rPr>
            <w:rStyle w:val="Hyperlink"/>
          </w:rPr>
          <w:t>ИНФОРМАЦИЯ ОТНОСНО ЦЕННИТЕ КНИЖА, КОИТО ЩЕ БЪДАТ ПРЕДЛАГАНИ/ДОПУСКАНИ ДО ТЪРГОВИЯ</w:t>
        </w:r>
        <w:r w:rsidR="002E5567">
          <w:rPr>
            <w:webHidden/>
          </w:rPr>
          <w:tab/>
        </w:r>
        <w:r w:rsidR="002E5567">
          <w:rPr>
            <w:webHidden/>
          </w:rPr>
          <w:fldChar w:fldCharType="begin"/>
        </w:r>
        <w:r w:rsidR="002E5567">
          <w:rPr>
            <w:webHidden/>
          </w:rPr>
          <w:instrText xml:space="preserve"> PAGEREF _Toc492995914 \h </w:instrText>
        </w:r>
        <w:r w:rsidR="002E5567">
          <w:rPr>
            <w:webHidden/>
          </w:rPr>
        </w:r>
        <w:r w:rsidR="002E5567">
          <w:rPr>
            <w:webHidden/>
          </w:rPr>
          <w:fldChar w:fldCharType="separate"/>
        </w:r>
        <w:r w:rsidR="008D71C2">
          <w:rPr>
            <w:webHidden/>
          </w:rPr>
          <w:t>9</w:t>
        </w:r>
        <w:r w:rsidR="002E5567">
          <w:rPr>
            <w:webHidden/>
          </w:rPr>
          <w:fldChar w:fldCharType="end"/>
        </w:r>
      </w:hyperlink>
    </w:p>
    <w:p w14:paraId="344D389B" w14:textId="564D39F7"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15" w:history="1">
        <w:r w:rsidR="002E5567" w:rsidRPr="004622BD">
          <w:rPr>
            <w:rStyle w:val="Hyperlink"/>
            <w:spacing w:val="20"/>
          </w:rPr>
          <w:t>4.1. Вид и клас на ценните книжа</w:t>
        </w:r>
        <w:r w:rsidR="002E5567">
          <w:rPr>
            <w:webHidden/>
          </w:rPr>
          <w:tab/>
        </w:r>
        <w:r w:rsidR="002E5567">
          <w:rPr>
            <w:webHidden/>
          </w:rPr>
          <w:fldChar w:fldCharType="begin"/>
        </w:r>
        <w:r w:rsidR="002E5567">
          <w:rPr>
            <w:webHidden/>
          </w:rPr>
          <w:instrText xml:space="preserve"> PAGEREF _Toc492995915 \h </w:instrText>
        </w:r>
        <w:r w:rsidR="002E5567">
          <w:rPr>
            <w:webHidden/>
          </w:rPr>
        </w:r>
        <w:r w:rsidR="002E5567">
          <w:rPr>
            <w:webHidden/>
          </w:rPr>
          <w:fldChar w:fldCharType="separate"/>
        </w:r>
        <w:r w:rsidR="008D71C2">
          <w:rPr>
            <w:webHidden/>
          </w:rPr>
          <w:t>9</w:t>
        </w:r>
        <w:r w:rsidR="002E5567">
          <w:rPr>
            <w:webHidden/>
          </w:rPr>
          <w:fldChar w:fldCharType="end"/>
        </w:r>
      </w:hyperlink>
    </w:p>
    <w:p w14:paraId="118165EF" w14:textId="6BB58B13"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16" w:history="1">
        <w:r w:rsidR="002E5567" w:rsidRPr="004622BD">
          <w:rPr>
            <w:rStyle w:val="Hyperlink"/>
            <w:spacing w:val="20"/>
          </w:rPr>
          <w:t>4.2. Законодателство, по което са издадени ценните книжа. Регистър за ценните книжа</w:t>
        </w:r>
        <w:r w:rsidR="002E5567">
          <w:rPr>
            <w:webHidden/>
          </w:rPr>
          <w:tab/>
        </w:r>
        <w:r w:rsidR="002E5567">
          <w:rPr>
            <w:webHidden/>
          </w:rPr>
          <w:fldChar w:fldCharType="begin"/>
        </w:r>
        <w:r w:rsidR="002E5567">
          <w:rPr>
            <w:webHidden/>
          </w:rPr>
          <w:instrText xml:space="preserve"> PAGEREF _Toc492995916 \h </w:instrText>
        </w:r>
        <w:r w:rsidR="002E5567">
          <w:rPr>
            <w:webHidden/>
          </w:rPr>
        </w:r>
        <w:r w:rsidR="002E5567">
          <w:rPr>
            <w:webHidden/>
          </w:rPr>
          <w:fldChar w:fldCharType="separate"/>
        </w:r>
        <w:r w:rsidR="008D71C2">
          <w:rPr>
            <w:webHidden/>
          </w:rPr>
          <w:t>9</w:t>
        </w:r>
        <w:r w:rsidR="002E5567">
          <w:rPr>
            <w:webHidden/>
          </w:rPr>
          <w:fldChar w:fldCharType="end"/>
        </w:r>
      </w:hyperlink>
    </w:p>
    <w:p w14:paraId="2C302A36" w14:textId="2EA549A5"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17" w:history="1">
        <w:r w:rsidR="002E5567" w:rsidRPr="004622BD">
          <w:rPr>
            <w:rStyle w:val="Hyperlink"/>
            <w:spacing w:val="20"/>
          </w:rPr>
          <w:t>4.3. Индикация за Формата на ценните книжа</w:t>
        </w:r>
        <w:r w:rsidR="002E5567">
          <w:rPr>
            <w:webHidden/>
          </w:rPr>
          <w:tab/>
        </w:r>
        <w:r w:rsidR="002E5567">
          <w:rPr>
            <w:webHidden/>
          </w:rPr>
          <w:fldChar w:fldCharType="begin"/>
        </w:r>
        <w:r w:rsidR="002E5567">
          <w:rPr>
            <w:webHidden/>
          </w:rPr>
          <w:instrText xml:space="preserve"> PAGEREF _Toc492995917 \h </w:instrText>
        </w:r>
        <w:r w:rsidR="002E5567">
          <w:rPr>
            <w:webHidden/>
          </w:rPr>
        </w:r>
        <w:r w:rsidR="002E5567">
          <w:rPr>
            <w:webHidden/>
          </w:rPr>
          <w:fldChar w:fldCharType="separate"/>
        </w:r>
        <w:r w:rsidR="008D71C2">
          <w:rPr>
            <w:webHidden/>
          </w:rPr>
          <w:t>10</w:t>
        </w:r>
        <w:r w:rsidR="002E5567">
          <w:rPr>
            <w:webHidden/>
          </w:rPr>
          <w:fldChar w:fldCharType="end"/>
        </w:r>
      </w:hyperlink>
    </w:p>
    <w:p w14:paraId="4ED02FC9" w14:textId="16070E98"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18" w:history="1">
        <w:r w:rsidR="002E5567" w:rsidRPr="004622BD">
          <w:rPr>
            <w:rStyle w:val="Hyperlink"/>
            <w:spacing w:val="20"/>
          </w:rPr>
          <w:t>4.4. Валута на емисията ценни книжа</w:t>
        </w:r>
        <w:r w:rsidR="002E5567">
          <w:rPr>
            <w:webHidden/>
          </w:rPr>
          <w:tab/>
        </w:r>
        <w:r w:rsidR="002E5567">
          <w:rPr>
            <w:webHidden/>
          </w:rPr>
          <w:fldChar w:fldCharType="begin"/>
        </w:r>
        <w:r w:rsidR="002E5567">
          <w:rPr>
            <w:webHidden/>
          </w:rPr>
          <w:instrText xml:space="preserve"> PAGEREF _Toc492995918 \h </w:instrText>
        </w:r>
        <w:r w:rsidR="002E5567">
          <w:rPr>
            <w:webHidden/>
          </w:rPr>
        </w:r>
        <w:r w:rsidR="002E5567">
          <w:rPr>
            <w:webHidden/>
          </w:rPr>
          <w:fldChar w:fldCharType="separate"/>
        </w:r>
        <w:r w:rsidR="008D71C2">
          <w:rPr>
            <w:webHidden/>
          </w:rPr>
          <w:t>10</w:t>
        </w:r>
        <w:r w:rsidR="002E5567">
          <w:rPr>
            <w:webHidden/>
          </w:rPr>
          <w:fldChar w:fldCharType="end"/>
        </w:r>
      </w:hyperlink>
    </w:p>
    <w:p w14:paraId="23C60784" w14:textId="27C793EB"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19" w:history="1">
        <w:r w:rsidR="002E5567" w:rsidRPr="004622BD">
          <w:rPr>
            <w:rStyle w:val="Hyperlink"/>
            <w:spacing w:val="20"/>
          </w:rPr>
          <w:t>4.5. Права по ценните книжа и ред за упражняването им</w:t>
        </w:r>
        <w:r w:rsidR="002E5567">
          <w:rPr>
            <w:webHidden/>
          </w:rPr>
          <w:tab/>
        </w:r>
        <w:r w:rsidR="002E5567">
          <w:rPr>
            <w:webHidden/>
          </w:rPr>
          <w:fldChar w:fldCharType="begin"/>
        </w:r>
        <w:r w:rsidR="002E5567">
          <w:rPr>
            <w:webHidden/>
          </w:rPr>
          <w:instrText xml:space="preserve"> PAGEREF _Toc492995919 \h </w:instrText>
        </w:r>
        <w:r w:rsidR="002E5567">
          <w:rPr>
            <w:webHidden/>
          </w:rPr>
        </w:r>
        <w:r w:rsidR="002E5567">
          <w:rPr>
            <w:webHidden/>
          </w:rPr>
          <w:fldChar w:fldCharType="separate"/>
        </w:r>
        <w:r w:rsidR="008D71C2">
          <w:rPr>
            <w:webHidden/>
          </w:rPr>
          <w:t>10</w:t>
        </w:r>
        <w:r w:rsidR="002E5567">
          <w:rPr>
            <w:webHidden/>
          </w:rPr>
          <w:fldChar w:fldCharType="end"/>
        </w:r>
      </w:hyperlink>
    </w:p>
    <w:p w14:paraId="7F1B1017" w14:textId="2E8268C7"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20" w:history="1">
        <w:r w:rsidR="002E5567" w:rsidRPr="004622BD">
          <w:rPr>
            <w:rStyle w:val="Hyperlink"/>
            <w:spacing w:val="20"/>
          </w:rPr>
          <w:t>4.6. Решения, разрешения и одобрения, въз основа на които ценните книжа ще бъдат издадени</w:t>
        </w:r>
        <w:r w:rsidR="002E5567">
          <w:rPr>
            <w:webHidden/>
          </w:rPr>
          <w:tab/>
        </w:r>
        <w:r w:rsidR="002E5567">
          <w:rPr>
            <w:webHidden/>
          </w:rPr>
          <w:fldChar w:fldCharType="begin"/>
        </w:r>
        <w:r w:rsidR="002E5567">
          <w:rPr>
            <w:webHidden/>
          </w:rPr>
          <w:instrText xml:space="preserve"> PAGEREF _Toc492995920 \h </w:instrText>
        </w:r>
        <w:r w:rsidR="002E5567">
          <w:rPr>
            <w:webHidden/>
          </w:rPr>
        </w:r>
        <w:r w:rsidR="002E5567">
          <w:rPr>
            <w:webHidden/>
          </w:rPr>
          <w:fldChar w:fldCharType="separate"/>
        </w:r>
        <w:r w:rsidR="008D71C2">
          <w:rPr>
            <w:webHidden/>
          </w:rPr>
          <w:t>12</w:t>
        </w:r>
        <w:r w:rsidR="002E5567">
          <w:rPr>
            <w:webHidden/>
          </w:rPr>
          <w:fldChar w:fldCharType="end"/>
        </w:r>
      </w:hyperlink>
    </w:p>
    <w:p w14:paraId="4C454AF3" w14:textId="5BFA5BEE"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21" w:history="1">
        <w:r w:rsidR="002E5567" w:rsidRPr="004622BD">
          <w:rPr>
            <w:rStyle w:val="Hyperlink"/>
            <w:spacing w:val="20"/>
          </w:rPr>
          <w:t>4.7. Очаквана дата на издаване на емисията акции от увеличението на капитала</w:t>
        </w:r>
        <w:r w:rsidR="002E5567">
          <w:rPr>
            <w:webHidden/>
          </w:rPr>
          <w:tab/>
        </w:r>
        <w:r w:rsidR="002E5567">
          <w:rPr>
            <w:webHidden/>
          </w:rPr>
          <w:fldChar w:fldCharType="begin"/>
        </w:r>
        <w:r w:rsidR="002E5567">
          <w:rPr>
            <w:webHidden/>
          </w:rPr>
          <w:instrText xml:space="preserve"> PAGEREF _Toc492995921 \h </w:instrText>
        </w:r>
        <w:r w:rsidR="002E5567">
          <w:rPr>
            <w:webHidden/>
          </w:rPr>
        </w:r>
        <w:r w:rsidR="002E5567">
          <w:rPr>
            <w:webHidden/>
          </w:rPr>
          <w:fldChar w:fldCharType="separate"/>
        </w:r>
        <w:r w:rsidR="008D71C2">
          <w:rPr>
            <w:webHidden/>
          </w:rPr>
          <w:t>12</w:t>
        </w:r>
        <w:r w:rsidR="002E5567">
          <w:rPr>
            <w:webHidden/>
          </w:rPr>
          <w:fldChar w:fldCharType="end"/>
        </w:r>
      </w:hyperlink>
    </w:p>
    <w:p w14:paraId="19592B37" w14:textId="2EA597CC"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22" w:history="1">
        <w:r w:rsidR="002E5567" w:rsidRPr="004622BD">
          <w:rPr>
            <w:rStyle w:val="Hyperlink"/>
            <w:spacing w:val="20"/>
          </w:rPr>
          <w:t>4.8. Ред за прехвърляне и ограничения върху свободната прехвърляемост на ценните книжа</w:t>
        </w:r>
        <w:r w:rsidR="002E5567">
          <w:rPr>
            <w:webHidden/>
          </w:rPr>
          <w:tab/>
        </w:r>
        <w:r w:rsidR="002E5567">
          <w:rPr>
            <w:webHidden/>
          </w:rPr>
          <w:fldChar w:fldCharType="begin"/>
        </w:r>
        <w:r w:rsidR="002E5567">
          <w:rPr>
            <w:webHidden/>
          </w:rPr>
          <w:instrText xml:space="preserve"> PAGEREF _Toc492995922 \h </w:instrText>
        </w:r>
        <w:r w:rsidR="002E5567">
          <w:rPr>
            <w:webHidden/>
          </w:rPr>
        </w:r>
        <w:r w:rsidR="002E5567">
          <w:rPr>
            <w:webHidden/>
          </w:rPr>
          <w:fldChar w:fldCharType="separate"/>
        </w:r>
        <w:r w:rsidR="008D71C2">
          <w:rPr>
            <w:webHidden/>
          </w:rPr>
          <w:t>12</w:t>
        </w:r>
        <w:r w:rsidR="002E5567">
          <w:rPr>
            <w:webHidden/>
          </w:rPr>
          <w:fldChar w:fldCharType="end"/>
        </w:r>
      </w:hyperlink>
    </w:p>
    <w:p w14:paraId="0CDB95C8" w14:textId="21BD3AE3"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23" w:history="1">
        <w:r w:rsidR="002E5567" w:rsidRPr="004622BD">
          <w:rPr>
            <w:rStyle w:val="Hyperlink"/>
            <w:spacing w:val="20"/>
          </w:rPr>
          <w:t>4.9. Информация за наличие на предложения за задължително поглъщане/вливане и/или правила за принудително изкупуване или продажба на ценните книжа</w:t>
        </w:r>
        <w:r w:rsidR="002E5567">
          <w:rPr>
            <w:webHidden/>
          </w:rPr>
          <w:tab/>
        </w:r>
        <w:r w:rsidR="002E5567">
          <w:rPr>
            <w:webHidden/>
          </w:rPr>
          <w:fldChar w:fldCharType="begin"/>
        </w:r>
        <w:r w:rsidR="002E5567">
          <w:rPr>
            <w:webHidden/>
          </w:rPr>
          <w:instrText xml:space="preserve"> PAGEREF _Toc492995923 \h </w:instrText>
        </w:r>
        <w:r w:rsidR="002E5567">
          <w:rPr>
            <w:webHidden/>
          </w:rPr>
        </w:r>
        <w:r w:rsidR="002E5567">
          <w:rPr>
            <w:webHidden/>
          </w:rPr>
          <w:fldChar w:fldCharType="separate"/>
        </w:r>
        <w:r w:rsidR="008D71C2">
          <w:rPr>
            <w:webHidden/>
          </w:rPr>
          <w:t>14</w:t>
        </w:r>
        <w:r w:rsidR="002E5567">
          <w:rPr>
            <w:webHidden/>
          </w:rPr>
          <w:fldChar w:fldCharType="end"/>
        </w:r>
      </w:hyperlink>
    </w:p>
    <w:p w14:paraId="5F0DC0FE" w14:textId="7388DEC5"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24" w:history="1">
        <w:r w:rsidR="002E5567" w:rsidRPr="004622BD">
          <w:rPr>
            <w:rStyle w:val="Hyperlink"/>
            <w:spacing w:val="20"/>
          </w:rPr>
          <w:t>4.10. Информация относно отправени предложения от трети лица за публично изкупуване на контролен пакет от акциите на Емитента  през предходната и текущата финансова година</w:t>
        </w:r>
        <w:r w:rsidR="002E5567">
          <w:rPr>
            <w:webHidden/>
          </w:rPr>
          <w:tab/>
        </w:r>
        <w:r w:rsidR="002E5567">
          <w:rPr>
            <w:webHidden/>
          </w:rPr>
          <w:fldChar w:fldCharType="begin"/>
        </w:r>
        <w:r w:rsidR="002E5567">
          <w:rPr>
            <w:webHidden/>
          </w:rPr>
          <w:instrText xml:space="preserve"> PAGEREF _Toc492995924 \h </w:instrText>
        </w:r>
        <w:r w:rsidR="002E5567">
          <w:rPr>
            <w:webHidden/>
          </w:rPr>
        </w:r>
        <w:r w:rsidR="002E5567">
          <w:rPr>
            <w:webHidden/>
          </w:rPr>
          <w:fldChar w:fldCharType="separate"/>
        </w:r>
        <w:r w:rsidR="008D71C2">
          <w:rPr>
            <w:webHidden/>
          </w:rPr>
          <w:t>14</w:t>
        </w:r>
        <w:r w:rsidR="002E5567">
          <w:rPr>
            <w:webHidden/>
          </w:rPr>
          <w:fldChar w:fldCharType="end"/>
        </w:r>
      </w:hyperlink>
    </w:p>
    <w:p w14:paraId="2DB1B7FA" w14:textId="64D71045"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25" w:history="1">
        <w:r w:rsidR="002E5567" w:rsidRPr="004622BD">
          <w:rPr>
            <w:rStyle w:val="Hyperlink"/>
            <w:spacing w:val="20"/>
          </w:rPr>
          <w:t>4.11. Данъчно облагане</w:t>
        </w:r>
        <w:r w:rsidR="002E5567">
          <w:rPr>
            <w:webHidden/>
          </w:rPr>
          <w:tab/>
        </w:r>
        <w:r w:rsidR="002E5567">
          <w:rPr>
            <w:webHidden/>
          </w:rPr>
          <w:fldChar w:fldCharType="begin"/>
        </w:r>
        <w:r w:rsidR="002E5567">
          <w:rPr>
            <w:webHidden/>
          </w:rPr>
          <w:instrText xml:space="preserve"> PAGEREF _Toc492995925 \h </w:instrText>
        </w:r>
        <w:r w:rsidR="002E5567">
          <w:rPr>
            <w:webHidden/>
          </w:rPr>
        </w:r>
        <w:r w:rsidR="002E5567">
          <w:rPr>
            <w:webHidden/>
          </w:rPr>
          <w:fldChar w:fldCharType="separate"/>
        </w:r>
        <w:r w:rsidR="008D71C2">
          <w:rPr>
            <w:webHidden/>
          </w:rPr>
          <w:t>14</w:t>
        </w:r>
        <w:r w:rsidR="002E5567">
          <w:rPr>
            <w:webHidden/>
          </w:rPr>
          <w:fldChar w:fldCharType="end"/>
        </w:r>
      </w:hyperlink>
    </w:p>
    <w:p w14:paraId="15EBB449" w14:textId="299805B4" w:rsidR="002E5567" w:rsidRDefault="00371C9F">
      <w:pPr>
        <w:pStyle w:val="TOC1"/>
        <w:tabs>
          <w:tab w:val="left" w:pos="480"/>
        </w:tabs>
        <w:rPr>
          <w:rFonts w:asciiTheme="minorHAnsi" w:eastAsiaTheme="minorEastAsia" w:hAnsiTheme="minorHAnsi" w:cstheme="minorBidi"/>
          <w:b w:val="0"/>
          <w:bCs w:val="0"/>
          <w:caps w:val="0"/>
          <w:sz w:val="22"/>
          <w:szCs w:val="22"/>
          <w:lang w:val="en-US"/>
        </w:rPr>
      </w:pPr>
      <w:hyperlink w:anchor="_Toc492995926" w:history="1">
        <w:r w:rsidR="002E5567" w:rsidRPr="004622BD">
          <w:rPr>
            <w:rStyle w:val="Hyperlink"/>
          </w:rPr>
          <w:t>5.</w:t>
        </w:r>
        <w:r w:rsidR="002E5567">
          <w:rPr>
            <w:rFonts w:asciiTheme="minorHAnsi" w:eastAsiaTheme="minorEastAsia" w:hAnsiTheme="minorHAnsi" w:cstheme="minorBidi"/>
            <w:b w:val="0"/>
            <w:bCs w:val="0"/>
            <w:caps w:val="0"/>
            <w:sz w:val="22"/>
            <w:szCs w:val="22"/>
            <w:lang w:val="en-US"/>
          </w:rPr>
          <w:tab/>
        </w:r>
        <w:r w:rsidR="002E5567" w:rsidRPr="004622BD">
          <w:rPr>
            <w:rStyle w:val="Hyperlink"/>
          </w:rPr>
          <w:t>УСЛОВИЯ НА ПРЕДЛАГАНЕТО</w:t>
        </w:r>
        <w:r w:rsidR="002E5567">
          <w:rPr>
            <w:webHidden/>
          </w:rPr>
          <w:tab/>
        </w:r>
        <w:r w:rsidR="002E5567">
          <w:rPr>
            <w:webHidden/>
          </w:rPr>
          <w:fldChar w:fldCharType="begin"/>
        </w:r>
        <w:r w:rsidR="002E5567">
          <w:rPr>
            <w:webHidden/>
          </w:rPr>
          <w:instrText xml:space="preserve"> PAGEREF _Toc492995926 \h </w:instrText>
        </w:r>
        <w:r w:rsidR="002E5567">
          <w:rPr>
            <w:webHidden/>
          </w:rPr>
        </w:r>
        <w:r w:rsidR="002E5567">
          <w:rPr>
            <w:webHidden/>
          </w:rPr>
          <w:fldChar w:fldCharType="separate"/>
        </w:r>
        <w:r w:rsidR="008D71C2">
          <w:rPr>
            <w:webHidden/>
          </w:rPr>
          <w:t>16</w:t>
        </w:r>
        <w:r w:rsidR="002E5567">
          <w:rPr>
            <w:webHidden/>
          </w:rPr>
          <w:fldChar w:fldCharType="end"/>
        </w:r>
      </w:hyperlink>
    </w:p>
    <w:p w14:paraId="0E700C6B" w14:textId="481F8DAD"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27" w:history="1">
        <w:r w:rsidR="002E5567" w:rsidRPr="004622BD">
          <w:rPr>
            <w:rStyle w:val="Hyperlink"/>
            <w:spacing w:val="20"/>
          </w:rPr>
          <w:t>5.1. Условия, статистически данни за предлагането, очакван график и действия, изисквани</w:t>
        </w:r>
        <w:r w:rsidR="002E5567" w:rsidRPr="004622BD">
          <w:rPr>
            <w:rStyle w:val="Hyperlink"/>
          </w:rPr>
          <w:t xml:space="preserve"> </w:t>
        </w:r>
        <w:r w:rsidR="002E5567" w:rsidRPr="004622BD">
          <w:rPr>
            <w:rStyle w:val="Hyperlink"/>
            <w:spacing w:val="20"/>
          </w:rPr>
          <w:t>за кандидатстване за предлагането</w:t>
        </w:r>
        <w:r w:rsidR="002E5567">
          <w:rPr>
            <w:webHidden/>
          </w:rPr>
          <w:tab/>
        </w:r>
        <w:r w:rsidR="002E5567">
          <w:rPr>
            <w:webHidden/>
          </w:rPr>
          <w:fldChar w:fldCharType="begin"/>
        </w:r>
        <w:r w:rsidR="002E5567">
          <w:rPr>
            <w:webHidden/>
          </w:rPr>
          <w:instrText xml:space="preserve"> PAGEREF _Toc492995927 \h </w:instrText>
        </w:r>
        <w:r w:rsidR="002E5567">
          <w:rPr>
            <w:webHidden/>
          </w:rPr>
        </w:r>
        <w:r w:rsidR="002E5567">
          <w:rPr>
            <w:webHidden/>
          </w:rPr>
          <w:fldChar w:fldCharType="separate"/>
        </w:r>
        <w:r w:rsidR="008D71C2">
          <w:rPr>
            <w:webHidden/>
          </w:rPr>
          <w:t>16</w:t>
        </w:r>
        <w:r w:rsidR="002E5567">
          <w:rPr>
            <w:webHidden/>
          </w:rPr>
          <w:fldChar w:fldCharType="end"/>
        </w:r>
      </w:hyperlink>
    </w:p>
    <w:p w14:paraId="7B992BAD" w14:textId="7D8B0407"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28" w:history="1">
        <w:r w:rsidR="002E5567" w:rsidRPr="004622BD">
          <w:rPr>
            <w:rStyle w:val="Hyperlink"/>
            <w:spacing w:val="20"/>
          </w:rPr>
          <w:t>5.1.1. Нормативни условия, на които се подчинява предлагането</w:t>
        </w:r>
        <w:r w:rsidR="002E5567">
          <w:rPr>
            <w:webHidden/>
          </w:rPr>
          <w:tab/>
        </w:r>
        <w:r w:rsidR="002E5567">
          <w:rPr>
            <w:webHidden/>
          </w:rPr>
          <w:fldChar w:fldCharType="begin"/>
        </w:r>
        <w:r w:rsidR="002E5567">
          <w:rPr>
            <w:webHidden/>
          </w:rPr>
          <w:instrText xml:space="preserve"> PAGEREF _Toc492995928 \h </w:instrText>
        </w:r>
        <w:r w:rsidR="002E5567">
          <w:rPr>
            <w:webHidden/>
          </w:rPr>
        </w:r>
        <w:r w:rsidR="002E5567">
          <w:rPr>
            <w:webHidden/>
          </w:rPr>
          <w:fldChar w:fldCharType="separate"/>
        </w:r>
        <w:r w:rsidR="008D71C2">
          <w:rPr>
            <w:webHidden/>
          </w:rPr>
          <w:t>16</w:t>
        </w:r>
        <w:r w:rsidR="002E5567">
          <w:rPr>
            <w:webHidden/>
          </w:rPr>
          <w:fldChar w:fldCharType="end"/>
        </w:r>
      </w:hyperlink>
    </w:p>
    <w:p w14:paraId="3E2D7EA3" w14:textId="59268D1B"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29" w:history="1">
        <w:r w:rsidR="002E5567" w:rsidRPr="004622BD">
          <w:rPr>
            <w:rStyle w:val="Hyperlink"/>
            <w:spacing w:val="20"/>
          </w:rPr>
          <w:t>5.1.2. Обща сума на емисията и Издаване на права по смисъла на § 1, т. 3 от ЗППЦК</w:t>
        </w:r>
        <w:r w:rsidR="002E5567">
          <w:rPr>
            <w:webHidden/>
          </w:rPr>
          <w:tab/>
        </w:r>
        <w:r w:rsidR="002E5567">
          <w:rPr>
            <w:webHidden/>
          </w:rPr>
          <w:fldChar w:fldCharType="begin"/>
        </w:r>
        <w:r w:rsidR="002E5567">
          <w:rPr>
            <w:webHidden/>
          </w:rPr>
          <w:instrText xml:space="preserve"> PAGEREF _Toc492995929 \h </w:instrText>
        </w:r>
        <w:r w:rsidR="002E5567">
          <w:rPr>
            <w:webHidden/>
          </w:rPr>
        </w:r>
        <w:r w:rsidR="002E5567">
          <w:rPr>
            <w:webHidden/>
          </w:rPr>
          <w:fldChar w:fldCharType="separate"/>
        </w:r>
        <w:r w:rsidR="008D71C2">
          <w:rPr>
            <w:webHidden/>
          </w:rPr>
          <w:t>16</w:t>
        </w:r>
        <w:r w:rsidR="002E5567">
          <w:rPr>
            <w:webHidden/>
          </w:rPr>
          <w:fldChar w:fldCharType="end"/>
        </w:r>
      </w:hyperlink>
    </w:p>
    <w:p w14:paraId="7260178B" w14:textId="37003BB8"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0" w:history="1">
        <w:r w:rsidR="002E5567" w:rsidRPr="004622BD">
          <w:rPr>
            <w:rStyle w:val="Hyperlink"/>
            <w:spacing w:val="20"/>
          </w:rPr>
          <w:t>5.1.3. Условия и срок на първичното публично предлагане на акциите.</w:t>
        </w:r>
        <w:r w:rsidR="002E5567">
          <w:rPr>
            <w:webHidden/>
          </w:rPr>
          <w:tab/>
        </w:r>
        <w:r w:rsidR="002E5567">
          <w:rPr>
            <w:webHidden/>
          </w:rPr>
          <w:fldChar w:fldCharType="begin"/>
        </w:r>
        <w:r w:rsidR="002E5567">
          <w:rPr>
            <w:webHidden/>
          </w:rPr>
          <w:instrText xml:space="preserve"> PAGEREF _Toc492995930 \h </w:instrText>
        </w:r>
        <w:r w:rsidR="002E5567">
          <w:rPr>
            <w:webHidden/>
          </w:rPr>
        </w:r>
        <w:r w:rsidR="002E5567">
          <w:rPr>
            <w:webHidden/>
          </w:rPr>
          <w:fldChar w:fldCharType="separate"/>
        </w:r>
        <w:r w:rsidR="008D71C2">
          <w:rPr>
            <w:webHidden/>
          </w:rPr>
          <w:t>16</w:t>
        </w:r>
        <w:r w:rsidR="002E5567">
          <w:rPr>
            <w:webHidden/>
          </w:rPr>
          <w:fldChar w:fldCharType="end"/>
        </w:r>
      </w:hyperlink>
    </w:p>
    <w:p w14:paraId="6B7411A6" w14:textId="1EFFE5CD"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1" w:history="1">
        <w:r w:rsidR="002E5567" w:rsidRPr="004622BD">
          <w:rPr>
            <w:rStyle w:val="Hyperlink"/>
            <w:spacing w:val="20"/>
          </w:rPr>
          <w:t>5.1.4. Индикация за това, кога и при какви обстоятелства, предлагането може да бъде отменено или временно преустановено и дали отмяната може да бъде направена след като са започнали сделките.</w:t>
        </w:r>
        <w:r w:rsidR="002E5567">
          <w:rPr>
            <w:webHidden/>
          </w:rPr>
          <w:tab/>
        </w:r>
        <w:r w:rsidR="002E5567">
          <w:rPr>
            <w:webHidden/>
          </w:rPr>
          <w:fldChar w:fldCharType="begin"/>
        </w:r>
        <w:r w:rsidR="002E5567">
          <w:rPr>
            <w:webHidden/>
          </w:rPr>
          <w:instrText xml:space="preserve"> PAGEREF _Toc492995931 \h </w:instrText>
        </w:r>
        <w:r w:rsidR="002E5567">
          <w:rPr>
            <w:webHidden/>
          </w:rPr>
        </w:r>
        <w:r w:rsidR="002E5567">
          <w:rPr>
            <w:webHidden/>
          </w:rPr>
          <w:fldChar w:fldCharType="separate"/>
        </w:r>
        <w:r w:rsidR="008D71C2">
          <w:rPr>
            <w:webHidden/>
          </w:rPr>
          <w:t>20</w:t>
        </w:r>
        <w:r w:rsidR="002E5567">
          <w:rPr>
            <w:webHidden/>
          </w:rPr>
          <w:fldChar w:fldCharType="end"/>
        </w:r>
      </w:hyperlink>
    </w:p>
    <w:p w14:paraId="5ED60BB5" w14:textId="5A1FA8C9"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2" w:history="1">
        <w:r w:rsidR="002E5567" w:rsidRPr="004622BD">
          <w:rPr>
            <w:rStyle w:val="Hyperlink"/>
            <w:spacing w:val="20"/>
          </w:rPr>
          <w:t>5.1.5. Възможност за намаляване/увеличаване на подписката и начин за възстановяване на надплатените от кандидатите суми</w:t>
        </w:r>
        <w:r w:rsidR="002E5567">
          <w:rPr>
            <w:webHidden/>
          </w:rPr>
          <w:tab/>
        </w:r>
        <w:r w:rsidR="002E5567">
          <w:rPr>
            <w:webHidden/>
          </w:rPr>
          <w:fldChar w:fldCharType="begin"/>
        </w:r>
        <w:r w:rsidR="002E5567">
          <w:rPr>
            <w:webHidden/>
          </w:rPr>
          <w:instrText xml:space="preserve"> PAGEREF _Toc492995932 \h </w:instrText>
        </w:r>
        <w:r w:rsidR="002E5567">
          <w:rPr>
            <w:webHidden/>
          </w:rPr>
        </w:r>
        <w:r w:rsidR="002E5567">
          <w:rPr>
            <w:webHidden/>
          </w:rPr>
          <w:fldChar w:fldCharType="separate"/>
        </w:r>
        <w:r w:rsidR="008D71C2">
          <w:rPr>
            <w:webHidden/>
          </w:rPr>
          <w:t>20</w:t>
        </w:r>
        <w:r w:rsidR="002E5567">
          <w:rPr>
            <w:webHidden/>
          </w:rPr>
          <w:fldChar w:fldCharType="end"/>
        </w:r>
      </w:hyperlink>
    </w:p>
    <w:p w14:paraId="548C0914" w14:textId="0B9B1385"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3" w:history="1">
        <w:r w:rsidR="002E5567" w:rsidRPr="004622BD">
          <w:rPr>
            <w:rStyle w:val="Hyperlink"/>
            <w:spacing w:val="20"/>
          </w:rPr>
          <w:t>5.1.6. Минимален и максимален брой акции, които могат да бъдат записани от едно лице</w:t>
        </w:r>
        <w:r w:rsidR="002E5567">
          <w:rPr>
            <w:webHidden/>
          </w:rPr>
          <w:tab/>
        </w:r>
        <w:r w:rsidR="002E5567">
          <w:rPr>
            <w:webHidden/>
          </w:rPr>
          <w:fldChar w:fldCharType="begin"/>
        </w:r>
        <w:r w:rsidR="002E5567">
          <w:rPr>
            <w:webHidden/>
          </w:rPr>
          <w:instrText xml:space="preserve"> PAGEREF _Toc492995933 \h </w:instrText>
        </w:r>
        <w:r w:rsidR="002E5567">
          <w:rPr>
            <w:webHidden/>
          </w:rPr>
        </w:r>
        <w:r w:rsidR="002E5567">
          <w:rPr>
            <w:webHidden/>
          </w:rPr>
          <w:fldChar w:fldCharType="separate"/>
        </w:r>
        <w:r w:rsidR="008D71C2">
          <w:rPr>
            <w:webHidden/>
          </w:rPr>
          <w:t>21</w:t>
        </w:r>
        <w:r w:rsidR="002E5567">
          <w:rPr>
            <w:webHidden/>
          </w:rPr>
          <w:fldChar w:fldCharType="end"/>
        </w:r>
      </w:hyperlink>
    </w:p>
    <w:p w14:paraId="1B451471" w14:textId="57488964"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4" w:history="1">
        <w:r w:rsidR="002E5567" w:rsidRPr="004622BD">
          <w:rPr>
            <w:rStyle w:val="Hyperlink"/>
            <w:spacing w:val="20"/>
          </w:rPr>
          <w:t>5.1.7 условия, ред и срок за оттегляне на заявлението (поръчката) за записване на акциите</w:t>
        </w:r>
        <w:r w:rsidR="002E5567">
          <w:rPr>
            <w:webHidden/>
          </w:rPr>
          <w:tab/>
        </w:r>
        <w:r w:rsidR="002E5567">
          <w:rPr>
            <w:webHidden/>
          </w:rPr>
          <w:fldChar w:fldCharType="begin"/>
        </w:r>
        <w:r w:rsidR="002E5567">
          <w:rPr>
            <w:webHidden/>
          </w:rPr>
          <w:instrText xml:space="preserve"> PAGEREF _Toc492995934 \h </w:instrText>
        </w:r>
        <w:r w:rsidR="002E5567">
          <w:rPr>
            <w:webHidden/>
          </w:rPr>
        </w:r>
        <w:r w:rsidR="002E5567">
          <w:rPr>
            <w:webHidden/>
          </w:rPr>
          <w:fldChar w:fldCharType="separate"/>
        </w:r>
        <w:r w:rsidR="008D71C2">
          <w:rPr>
            <w:webHidden/>
          </w:rPr>
          <w:t>21</w:t>
        </w:r>
        <w:r w:rsidR="002E5567">
          <w:rPr>
            <w:webHidden/>
          </w:rPr>
          <w:fldChar w:fldCharType="end"/>
        </w:r>
      </w:hyperlink>
    </w:p>
    <w:p w14:paraId="442DF42A" w14:textId="14CBA463"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5" w:history="1">
        <w:r w:rsidR="002E5567" w:rsidRPr="004622BD">
          <w:rPr>
            <w:rStyle w:val="Hyperlink"/>
            <w:spacing w:val="20"/>
          </w:rPr>
          <w:t>5.1.8.  Начин и срок за плащане на ценните книжа и доставка на ценните книжа</w:t>
        </w:r>
        <w:r w:rsidR="002E5567">
          <w:rPr>
            <w:webHidden/>
          </w:rPr>
          <w:tab/>
        </w:r>
        <w:r w:rsidR="002E5567">
          <w:rPr>
            <w:webHidden/>
          </w:rPr>
          <w:fldChar w:fldCharType="begin"/>
        </w:r>
        <w:r w:rsidR="002E5567">
          <w:rPr>
            <w:webHidden/>
          </w:rPr>
          <w:instrText xml:space="preserve"> PAGEREF _Toc492995935 \h </w:instrText>
        </w:r>
        <w:r w:rsidR="002E5567">
          <w:rPr>
            <w:webHidden/>
          </w:rPr>
        </w:r>
        <w:r w:rsidR="002E5567">
          <w:rPr>
            <w:webHidden/>
          </w:rPr>
          <w:fldChar w:fldCharType="separate"/>
        </w:r>
        <w:r w:rsidR="008D71C2">
          <w:rPr>
            <w:webHidden/>
          </w:rPr>
          <w:t>21</w:t>
        </w:r>
        <w:r w:rsidR="002E5567">
          <w:rPr>
            <w:webHidden/>
          </w:rPr>
          <w:fldChar w:fldCharType="end"/>
        </w:r>
      </w:hyperlink>
    </w:p>
    <w:p w14:paraId="31FCC32E" w14:textId="636E2262"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6" w:history="1">
        <w:r w:rsidR="002E5567" w:rsidRPr="004622BD">
          <w:rPr>
            <w:rStyle w:val="Hyperlink"/>
            <w:spacing w:val="20"/>
          </w:rPr>
          <w:t>5.1.9. Условия, ред и дата за публично обявяване на резултатите от подписката, съответно от продажбата на акциите</w:t>
        </w:r>
        <w:r w:rsidR="002E5567">
          <w:rPr>
            <w:webHidden/>
          </w:rPr>
          <w:tab/>
        </w:r>
        <w:r w:rsidR="002E5567">
          <w:rPr>
            <w:webHidden/>
          </w:rPr>
          <w:fldChar w:fldCharType="begin"/>
        </w:r>
        <w:r w:rsidR="002E5567">
          <w:rPr>
            <w:webHidden/>
          </w:rPr>
          <w:instrText xml:space="preserve"> PAGEREF _Toc492995936 \h </w:instrText>
        </w:r>
        <w:r w:rsidR="002E5567">
          <w:rPr>
            <w:webHidden/>
          </w:rPr>
        </w:r>
        <w:r w:rsidR="002E5567">
          <w:rPr>
            <w:webHidden/>
          </w:rPr>
          <w:fldChar w:fldCharType="separate"/>
        </w:r>
        <w:r w:rsidR="008D71C2">
          <w:rPr>
            <w:webHidden/>
          </w:rPr>
          <w:t>22</w:t>
        </w:r>
        <w:r w:rsidR="002E5567">
          <w:rPr>
            <w:webHidden/>
          </w:rPr>
          <w:fldChar w:fldCharType="end"/>
        </w:r>
      </w:hyperlink>
    </w:p>
    <w:p w14:paraId="48D87FF8" w14:textId="132A0131"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7" w:history="1">
        <w:r w:rsidR="002E5567" w:rsidRPr="004622BD">
          <w:rPr>
            <w:rStyle w:val="Hyperlink"/>
            <w:spacing w:val="20"/>
          </w:rPr>
          <w:t>5.1.10. Ред за упражняване на правото на предпочитателно закупуване на предлаганите ценни книжа (ред за упражняване на правата за записване на ценните книжа по смисъла на § 1, т. 3 ЗППЦК); ред, който се прилага при неупражняване на това право.</w:t>
        </w:r>
        <w:r w:rsidR="002E5567">
          <w:rPr>
            <w:webHidden/>
          </w:rPr>
          <w:tab/>
        </w:r>
        <w:r w:rsidR="002E5567">
          <w:rPr>
            <w:webHidden/>
          </w:rPr>
          <w:fldChar w:fldCharType="begin"/>
        </w:r>
        <w:r w:rsidR="002E5567">
          <w:rPr>
            <w:webHidden/>
          </w:rPr>
          <w:instrText xml:space="preserve"> PAGEREF _Toc492995937 \h </w:instrText>
        </w:r>
        <w:r w:rsidR="002E5567">
          <w:rPr>
            <w:webHidden/>
          </w:rPr>
        </w:r>
        <w:r w:rsidR="002E5567">
          <w:rPr>
            <w:webHidden/>
          </w:rPr>
          <w:fldChar w:fldCharType="separate"/>
        </w:r>
        <w:r w:rsidR="008D71C2">
          <w:rPr>
            <w:webHidden/>
          </w:rPr>
          <w:t>22</w:t>
        </w:r>
        <w:r w:rsidR="002E5567">
          <w:rPr>
            <w:webHidden/>
          </w:rPr>
          <w:fldChar w:fldCharType="end"/>
        </w:r>
      </w:hyperlink>
    </w:p>
    <w:p w14:paraId="34B23924" w14:textId="4D7C6461"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8" w:history="1">
        <w:r w:rsidR="002E5567" w:rsidRPr="004622BD">
          <w:rPr>
            <w:rStyle w:val="Hyperlink"/>
          </w:rPr>
          <w:t>5.2. План за пласиране разпределение на ценните книжа</w:t>
        </w:r>
        <w:r w:rsidR="002E5567">
          <w:rPr>
            <w:webHidden/>
          </w:rPr>
          <w:tab/>
        </w:r>
        <w:r w:rsidR="002E5567">
          <w:rPr>
            <w:webHidden/>
          </w:rPr>
          <w:fldChar w:fldCharType="begin"/>
        </w:r>
        <w:r w:rsidR="002E5567">
          <w:rPr>
            <w:webHidden/>
          </w:rPr>
          <w:instrText xml:space="preserve"> PAGEREF _Toc492995938 \h </w:instrText>
        </w:r>
        <w:r w:rsidR="002E5567">
          <w:rPr>
            <w:webHidden/>
          </w:rPr>
        </w:r>
        <w:r w:rsidR="002E5567">
          <w:rPr>
            <w:webHidden/>
          </w:rPr>
          <w:fldChar w:fldCharType="separate"/>
        </w:r>
        <w:r w:rsidR="008D71C2">
          <w:rPr>
            <w:webHidden/>
          </w:rPr>
          <w:t>22</w:t>
        </w:r>
        <w:r w:rsidR="002E5567">
          <w:rPr>
            <w:webHidden/>
          </w:rPr>
          <w:fldChar w:fldCharType="end"/>
        </w:r>
      </w:hyperlink>
    </w:p>
    <w:p w14:paraId="3446F112" w14:textId="3823C431"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39" w:history="1">
        <w:r w:rsidR="002E5567" w:rsidRPr="004622BD">
          <w:rPr>
            <w:rStyle w:val="Hyperlink"/>
            <w:spacing w:val="20"/>
          </w:rPr>
          <w:t>5.2.1. Категории потенциални инвеститори, на които се предлагат ценните книжа</w:t>
        </w:r>
        <w:r w:rsidR="002E5567">
          <w:rPr>
            <w:webHidden/>
          </w:rPr>
          <w:tab/>
        </w:r>
        <w:r w:rsidR="002E5567">
          <w:rPr>
            <w:webHidden/>
          </w:rPr>
          <w:fldChar w:fldCharType="begin"/>
        </w:r>
        <w:r w:rsidR="002E5567">
          <w:rPr>
            <w:webHidden/>
          </w:rPr>
          <w:instrText xml:space="preserve"> PAGEREF _Toc492995939 \h </w:instrText>
        </w:r>
        <w:r w:rsidR="002E5567">
          <w:rPr>
            <w:webHidden/>
          </w:rPr>
        </w:r>
        <w:r w:rsidR="002E5567">
          <w:rPr>
            <w:webHidden/>
          </w:rPr>
          <w:fldChar w:fldCharType="separate"/>
        </w:r>
        <w:r w:rsidR="008D71C2">
          <w:rPr>
            <w:webHidden/>
          </w:rPr>
          <w:t>22</w:t>
        </w:r>
        <w:r w:rsidR="002E5567">
          <w:rPr>
            <w:webHidden/>
          </w:rPr>
          <w:fldChar w:fldCharType="end"/>
        </w:r>
      </w:hyperlink>
    </w:p>
    <w:p w14:paraId="209B14F6" w14:textId="4F2A554E"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0" w:history="1">
        <w:r w:rsidR="002E5567" w:rsidRPr="004622BD">
          <w:rPr>
            <w:rStyle w:val="Hyperlink"/>
            <w:spacing w:val="20"/>
          </w:rPr>
          <w:t>5.2.2. Посочване, дали основните акционерите или членовете на Съвета на директорите на Емитента възнамеряват да придобият от предлаганите акции или дали някое лице възнамерява да придобие повече от 5 на сто от предлаганите акции, доколкото такава информация е известна на Емитента</w:t>
        </w:r>
        <w:r w:rsidR="002E5567">
          <w:rPr>
            <w:webHidden/>
          </w:rPr>
          <w:tab/>
        </w:r>
        <w:r w:rsidR="002E5567">
          <w:rPr>
            <w:webHidden/>
          </w:rPr>
          <w:fldChar w:fldCharType="begin"/>
        </w:r>
        <w:r w:rsidR="002E5567">
          <w:rPr>
            <w:webHidden/>
          </w:rPr>
          <w:instrText xml:space="preserve"> PAGEREF _Toc492995940 \h </w:instrText>
        </w:r>
        <w:r w:rsidR="002E5567">
          <w:rPr>
            <w:webHidden/>
          </w:rPr>
        </w:r>
        <w:r w:rsidR="002E5567">
          <w:rPr>
            <w:webHidden/>
          </w:rPr>
          <w:fldChar w:fldCharType="separate"/>
        </w:r>
        <w:r w:rsidR="008D71C2">
          <w:rPr>
            <w:webHidden/>
          </w:rPr>
          <w:t>22</w:t>
        </w:r>
        <w:r w:rsidR="002E5567">
          <w:rPr>
            <w:webHidden/>
          </w:rPr>
          <w:fldChar w:fldCharType="end"/>
        </w:r>
      </w:hyperlink>
    </w:p>
    <w:p w14:paraId="787FD78A" w14:textId="26177272"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1" w:history="1">
        <w:r w:rsidR="002E5567" w:rsidRPr="004622BD">
          <w:rPr>
            <w:rStyle w:val="Hyperlink"/>
            <w:spacing w:val="20"/>
          </w:rPr>
          <w:t>5.2.3. Оповестяване на предварително разпределение и основания за привилегировано предлагане на акции на определена група инвеститори</w:t>
        </w:r>
        <w:r w:rsidR="002E5567">
          <w:rPr>
            <w:webHidden/>
          </w:rPr>
          <w:tab/>
        </w:r>
        <w:r w:rsidR="002E5567">
          <w:rPr>
            <w:webHidden/>
          </w:rPr>
          <w:fldChar w:fldCharType="begin"/>
        </w:r>
        <w:r w:rsidR="002E5567">
          <w:rPr>
            <w:webHidden/>
          </w:rPr>
          <w:instrText xml:space="preserve"> PAGEREF _Toc492995941 \h </w:instrText>
        </w:r>
        <w:r w:rsidR="002E5567">
          <w:rPr>
            <w:webHidden/>
          </w:rPr>
        </w:r>
        <w:r w:rsidR="002E5567">
          <w:rPr>
            <w:webHidden/>
          </w:rPr>
          <w:fldChar w:fldCharType="separate"/>
        </w:r>
        <w:r w:rsidR="008D71C2">
          <w:rPr>
            <w:webHidden/>
          </w:rPr>
          <w:t>23</w:t>
        </w:r>
        <w:r w:rsidR="002E5567">
          <w:rPr>
            <w:webHidden/>
          </w:rPr>
          <w:fldChar w:fldCharType="end"/>
        </w:r>
      </w:hyperlink>
    </w:p>
    <w:p w14:paraId="5B7CAF7C" w14:textId="6C8E4279"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2" w:history="1">
        <w:r w:rsidR="002E5567" w:rsidRPr="004622BD">
          <w:rPr>
            <w:rStyle w:val="Hyperlink"/>
            <w:spacing w:val="20"/>
          </w:rPr>
          <w:t>5.2.4. Процес за уведомяване на кандидатите за разпределяната сума и индикация дали търговията може да започне преди да бъде направено уведомлението.</w:t>
        </w:r>
        <w:r w:rsidR="002E5567">
          <w:rPr>
            <w:webHidden/>
          </w:rPr>
          <w:tab/>
        </w:r>
        <w:r w:rsidR="002E5567">
          <w:rPr>
            <w:webHidden/>
          </w:rPr>
          <w:fldChar w:fldCharType="begin"/>
        </w:r>
        <w:r w:rsidR="002E5567">
          <w:rPr>
            <w:webHidden/>
          </w:rPr>
          <w:instrText xml:space="preserve"> PAGEREF _Toc492995942 \h </w:instrText>
        </w:r>
        <w:r w:rsidR="002E5567">
          <w:rPr>
            <w:webHidden/>
          </w:rPr>
        </w:r>
        <w:r w:rsidR="002E5567">
          <w:rPr>
            <w:webHidden/>
          </w:rPr>
          <w:fldChar w:fldCharType="separate"/>
        </w:r>
        <w:r w:rsidR="008D71C2">
          <w:rPr>
            <w:webHidden/>
          </w:rPr>
          <w:t>23</w:t>
        </w:r>
        <w:r w:rsidR="002E5567">
          <w:rPr>
            <w:webHidden/>
          </w:rPr>
          <w:fldChar w:fldCharType="end"/>
        </w:r>
      </w:hyperlink>
    </w:p>
    <w:p w14:paraId="596506AE" w14:textId="28990B9A"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3" w:history="1">
        <w:r w:rsidR="002E5567" w:rsidRPr="004622BD">
          <w:rPr>
            <w:rStyle w:val="Hyperlink"/>
            <w:spacing w:val="20"/>
          </w:rPr>
          <w:t>5.2.5. Записване, превишаващо размера на подписката и опция “green shoe” за превишаване на подписката</w:t>
        </w:r>
        <w:r w:rsidR="002E5567">
          <w:rPr>
            <w:webHidden/>
          </w:rPr>
          <w:tab/>
        </w:r>
        <w:r w:rsidR="002E5567">
          <w:rPr>
            <w:webHidden/>
          </w:rPr>
          <w:fldChar w:fldCharType="begin"/>
        </w:r>
        <w:r w:rsidR="002E5567">
          <w:rPr>
            <w:webHidden/>
          </w:rPr>
          <w:instrText xml:space="preserve"> PAGEREF _Toc492995943 \h </w:instrText>
        </w:r>
        <w:r w:rsidR="002E5567">
          <w:rPr>
            <w:webHidden/>
          </w:rPr>
        </w:r>
        <w:r w:rsidR="002E5567">
          <w:rPr>
            <w:webHidden/>
          </w:rPr>
          <w:fldChar w:fldCharType="separate"/>
        </w:r>
        <w:r w:rsidR="008D71C2">
          <w:rPr>
            <w:webHidden/>
          </w:rPr>
          <w:t>23</w:t>
        </w:r>
        <w:r w:rsidR="002E5567">
          <w:rPr>
            <w:webHidden/>
          </w:rPr>
          <w:fldChar w:fldCharType="end"/>
        </w:r>
      </w:hyperlink>
    </w:p>
    <w:p w14:paraId="13BE2ADD" w14:textId="125EDF4D"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4" w:history="1">
        <w:r w:rsidR="002E5567" w:rsidRPr="004622BD">
          <w:rPr>
            <w:rStyle w:val="Hyperlink"/>
          </w:rPr>
          <w:t>5.3. Ценообразуване</w:t>
        </w:r>
        <w:r w:rsidR="002E5567">
          <w:rPr>
            <w:webHidden/>
          </w:rPr>
          <w:tab/>
        </w:r>
        <w:r w:rsidR="002E5567">
          <w:rPr>
            <w:webHidden/>
          </w:rPr>
          <w:fldChar w:fldCharType="begin"/>
        </w:r>
        <w:r w:rsidR="002E5567">
          <w:rPr>
            <w:webHidden/>
          </w:rPr>
          <w:instrText xml:space="preserve"> PAGEREF _Toc492995944 \h </w:instrText>
        </w:r>
        <w:r w:rsidR="002E5567">
          <w:rPr>
            <w:webHidden/>
          </w:rPr>
        </w:r>
        <w:r w:rsidR="002E5567">
          <w:rPr>
            <w:webHidden/>
          </w:rPr>
          <w:fldChar w:fldCharType="separate"/>
        </w:r>
        <w:r w:rsidR="008D71C2">
          <w:rPr>
            <w:webHidden/>
          </w:rPr>
          <w:t>23</w:t>
        </w:r>
        <w:r w:rsidR="002E5567">
          <w:rPr>
            <w:webHidden/>
          </w:rPr>
          <w:fldChar w:fldCharType="end"/>
        </w:r>
      </w:hyperlink>
    </w:p>
    <w:p w14:paraId="017F181C" w14:textId="5CA943F8"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5" w:history="1">
        <w:r w:rsidR="002E5567" w:rsidRPr="004622BD">
          <w:rPr>
            <w:rStyle w:val="Hyperlink"/>
            <w:spacing w:val="20"/>
          </w:rPr>
          <w:t>5.3.1. Цена, на която ще се предлагат акциите</w:t>
        </w:r>
        <w:r w:rsidR="002E5567">
          <w:rPr>
            <w:webHidden/>
          </w:rPr>
          <w:tab/>
        </w:r>
        <w:r w:rsidR="002E5567">
          <w:rPr>
            <w:webHidden/>
          </w:rPr>
          <w:fldChar w:fldCharType="begin"/>
        </w:r>
        <w:r w:rsidR="002E5567">
          <w:rPr>
            <w:webHidden/>
          </w:rPr>
          <w:instrText xml:space="preserve"> PAGEREF _Toc492995945 \h </w:instrText>
        </w:r>
        <w:r w:rsidR="002E5567">
          <w:rPr>
            <w:webHidden/>
          </w:rPr>
        </w:r>
        <w:r w:rsidR="002E5567">
          <w:rPr>
            <w:webHidden/>
          </w:rPr>
          <w:fldChar w:fldCharType="separate"/>
        </w:r>
        <w:r w:rsidR="008D71C2">
          <w:rPr>
            <w:webHidden/>
          </w:rPr>
          <w:t>23</w:t>
        </w:r>
        <w:r w:rsidR="002E5567">
          <w:rPr>
            <w:webHidden/>
          </w:rPr>
          <w:fldChar w:fldCharType="end"/>
        </w:r>
      </w:hyperlink>
    </w:p>
    <w:p w14:paraId="03CCAA04" w14:textId="64A1675E"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6" w:history="1">
        <w:r w:rsidR="002E5567" w:rsidRPr="004622BD">
          <w:rPr>
            <w:rStyle w:val="Hyperlink"/>
            <w:spacing w:val="20"/>
          </w:rPr>
          <w:t>5.3.2. Процедура по оповестяване на цената на предлагане</w:t>
        </w:r>
        <w:r w:rsidR="002E5567">
          <w:rPr>
            <w:webHidden/>
          </w:rPr>
          <w:tab/>
        </w:r>
        <w:r w:rsidR="002E5567">
          <w:rPr>
            <w:webHidden/>
          </w:rPr>
          <w:fldChar w:fldCharType="begin"/>
        </w:r>
        <w:r w:rsidR="002E5567">
          <w:rPr>
            <w:webHidden/>
          </w:rPr>
          <w:instrText xml:space="preserve"> PAGEREF _Toc492995946 \h </w:instrText>
        </w:r>
        <w:r w:rsidR="002E5567">
          <w:rPr>
            <w:webHidden/>
          </w:rPr>
        </w:r>
        <w:r w:rsidR="002E5567">
          <w:rPr>
            <w:webHidden/>
          </w:rPr>
          <w:fldChar w:fldCharType="separate"/>
        </w:r>
        <w:r w:rsidR="008D71C2">
          <w:rPr>
            <w:webHidden/>
          </w:rPr>
          <w:t>23</w:t>
        </w:r>
        <w:r w:rsidR="002E5567">
          <w:rPr>
            <w:webHidden/>
          </w:rPr>
          <w:fldChar w:fldCharType="end"/>
        </w:r>
      </w:hyperlink>
    </w:p>
    <w:p w14:paraId="5DA305A3" w14:textId="1F077F08"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7" w:history="1">
        <w:r w:rsidR="002E5567" w:rsidRPr="004622BD">
          <w:rPr>
            <w:rStyle w:val="Hyperlink"/>
            <w:spacing w:val="20"/>
          </w:rPr>
          <w:t>5.3.3. Права на държателите на акциите за закупуване на ценните книжа</w:t>
        </w:r>
        <w:r w:rsidR="002E5567">
          <w:rPr>
            <w:webHidden/>
          </w:rPr>
          <w:tab/>
        </w:r>
        <w:r w:rsidR="002E5567">
          <w:rPr>
            <w:webHidden/>
          </w:rPr>
          <w:fldChar w:fldCharType="begin"/>
        </w:r>
        <w:r w:rsidR="002E5567">
          <w:rPr>
            <w:webHidden/>
          </w:rPr>
          <w:instrText xml:space="preserve"> PAGEREF _Toc492995947 \h </w:instrText>
        </w:r>
        <w:r w:rsidR="002E5567">
          <w:rPr>
            <w:webHidden/>
          </w:rPr>
        </w:r>
        <w:r w:rsidR="002E5567">
          <w:rPr>
            <w:webHidden/>
          </w:rPr>
          <w:fldChar w:fldCharType="separate"/>
        </w:r>
        <w:r w:rsidR="008D71C2">
          <w:rPr>
            <w:webHidden/>
          </w:rPr>
          <w:t>23</w:t>
        </w:r>
        <w:r w:rsidR="002E5567">
          <w:rPr>
            <w:webHidden/>
          </w:rPr>
          <w:fldChar w:fldCharType="end"/>
        </w:r>
      </w:hyperlink>
    </w:p>
    <w:p w14:paraId="521C2DAA" w14:textId="7DA10F5F"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8" w:history="1">
        <w:r w:rsidR="002E5567" w:rsidRPr="004622BD">
          <w:rPr>
            <w:rStyle w:val="Hyperlink"/>
            <w:spacing w:val="20"/>
          </w:rPr>
          <w:t>5.3.4. Несъответствие между цената на публичното предлагане и ефективните касови разходи за членовете на административните, управителните или надзорни органи или висшето ръководство или свързани лица, за ценните книжа, придобити от тях в сделки през последната година, или които те имат право да придобият</w:t>
        </w:r>
        <w:r w:rsidR="002E5567">
          <w:rPr>
            <w:webHidden/>
          </w:rPr>
          <w:tab/>
        </w:r>
        <w:r w:rsidR="002E5567">
          <w:rPr>
            <w:webHidden/>
          </w:rPr>
          <w:fldChar w:fldCharType="begin"/>
        </w:r>
        <w:r w:rsidR="002E5567">
          <w:rPr>
            <w:webHidden/>
          </w:rPr>
          <w:instrText xml:space="preserve"> PAGEREF _Toc492995948 \h </w:instrText>
        </w:r>
        <w:r w:rsidR="002E5567">
          <w:rPr>
            <w:webHidden/>
          </w:rPr>
        </w:r>
        <w:r w:rsidR="002E5567">
          <w:rPr>
            <w:webHidden/>
          </w:rPr>
          <w:fldChar w:fldCharType="separate"/>
        </w:r>
        <w:r w:rsidR="008D71C2">
          <w:rPr>
            <w:webHidden/>
          </w:rPr>
          <w:t>23</w:t>
        </w:r>
        <w:r w:rsidR="002E5567">
          <w:rPr>
            <w:webHidden/>
          </w:rPr>
          <w:fldChar w:fldCharType="end"/>
        </w:r>
      </w:hyperlink>
    </w:p>
    <w:p w14:paraId="1E10BF7B" w14:textId="26D7BBEE"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49" w:history="1">
        <w:r w:rsidR="002E5567" w:rsidRPr="004622BD">
          <w:rPr>
            <w:rStyle w:val="Hyperlink"/>
          </w:rPr>
          <w:t>5.4. ПЛАСИРАНЕ И ПОЕМАНЕ</w:t>
        </w:r>
        <w:r w:rsidR="002E5567">
          <w:rPr>
            <w:webHidden/>
          </w:rPr>
          <w:tab/>
        </w:r>
        <w:r w:rsidR="002E5567">
          <w:rPr>
            <w:webHidden/>
          </w:rPr>
          <w:fldChar w:fldCharType="begin"/>
        </w:r>
        <w:r w:rsidR="002E5567">
          <w:rPr>
            <w:webHidden/>
          </w:rPr>
          <w:instrText xml:space="preserve"> PAGEREF _Toc492995949 \h </w:instrText>
        </w:r>
        <w:r w:rsidR="002E5567">
          <w:rPr>
            <w:webHidden/>
          </w:rPr>
        </w:r>
        <w:r w:rsidR="002E5567">
          <w:rPr>
            <w:webHidden/>
          </w:rPr>
          <w:fldChar w:fldCharType="separate"/>
        </w:r>
        <w:r w:rsidR="008D71C2">
          <w:rPr>
            <w:webHidden/>
          </w:rPr>
          <w:t>24</w:t>
        </w:r>
        <w:r w:rsidR="002E5567">
          <w:rPr>
            <w:webHidden/>
          </w:rPr>
          <w:fldChar w:fldCharType="end"/>
        </w:r>
      </w:hyperlink>
    </w:p>
    <w:p w14:paraId="038E9AAB" w14:textId="3D515C39"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50" w:history="1">
        <w:r w:rsidR="002E5567" w:rsidRPr="004622BD">
          <w:rPr>
            <w:rStyle w:val="Hyperlink"/>
            <w:spacing w:val="20"/>
          </w:rPr>
          <w:t>5.4.1. Име и адрес на инвестиционния посредник, избран да обслужва увеличаването на капитала</w:t>
        </w:r>
        <w:r w:rsidR="002E5567">
          <w:rPr>
            <w:webHidden/>
          </w:rPr>
          <w:tab/>
        </w:r>
        <w:r w:rsidR="002E5567">
          <w:rPr>
            <w:webHidden/>
          </w:rPr>
          <w:fldChar w:fldCharType="begin"/>
        </w:r>
        <w:r w:rsidR="002E5567">
          <w:rPr>
            <w:webHidden/>
          </w:rPr>
          <w:instrText xml:space="preserve"> PAGEREF _Toc492995950 \h </w:instrText>
        </w:r>
        <w:r w:rsidR="002E5567">
          <w:rPr>
            <w:webHidden/>
          </w:rPr>
        </w:r>
        <w:r w:rsidR="002E5567">
          <w:rPr>
            <w:webHidden/>
          </w:rPr>
          <w:fldChar w:fldCharType="separate"/>
        </w:r>
        <w:r w:rsidR="008D71C2">
          <w:rPr>
            <w:webHidden/>
          </w:rPr>
          <w:t>24</w:t>
        </w:r>
        <w:r w:rsidR="002E5567">
          <w:rPr>
            <w:webHidden/>
          </w:rPr>
          <w:fldChar w:fldCharType="end"/>
        </w:r>
      </w:hyperlink>
    </w:p>
    <w:p w14:paraId="10D04274" w14:textId="754BCA79"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51" w:history="1">
        <w:r w:rsidR="002E5567" w:rsidRPr="004622BD">
          <w:rPr>
            <w:rStyle w:val="Hyperlink"/>
            <w:spacing w:val="20"/>
          </w:rPr>
          <w:t>5.4.2. Име и адрес на агенти по плащанията и депозитарни агенти.</w:t>
        </w:r>
        <w:r w:rsidR="002E5567">
          <w:rPr>
            <w:webHidden/>
          </w:rPr>
          <w:tab/>
        </w:r>
        <w:r w:rsidR="002E5567">
          <w:rPr>
            <w:webHidden/>
          </w:rPr>
          <w:fldChar w:fldCharType="begin"/>
        </w:r>
        <w:r w:rsidR="002E5567">
          <w:rPr>
            <w:webHidden/>
          </w:rPr>
          <w:instrText xml:space="preserve"> PAGEREF _Toc492995951 \h </w:instrText>
        </w:r>
        <w:r w:rsidR="002E5567">
          <w:rPr>
            <w:webHidden/>
          </w:rPr>
        </w:r>
        <w:r w:rsidR="002E5567">
          <w:rPr>
            <w:webHidden/>
          </w:rPr>
          <w:fldChar w:fldCharType="separate"/>
        </w:r>
        <w:r w:rsidR="008D71C2">
          <w:rPr>
            <w:webHidden/>
          </w:rPr>
          <w:t>24</w:t>
        </w:r>
        <w:r w:rsidR="002E5567">
          <w:rPr>
            <w:webHidden/>
          </w:rPr>
          <w:fldChar w:fldCharType="end"/>
        </w:r>
      </w:hyperlink>
    </w:p>
    <w:p w14:paraId="209215B0" w14:textId="77A38701"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52" w:history="1">
        <w:r w:rsidR="002E5567" w:rsidRPr="004622BD">
          <w:rPr>
            <w:rStyle w:val="Hyperlink"/>
            <w:spacing w:val="20"/>
          </w:rPr>
          <w:t>5.4.3. Име и адрес на субектите, съгласяващи се да поемат емисията</w:t>
        </w:r>
        <w:r w:rsidR="002E5567">
          <w:rPr>
            <w:webHidden/>
          </w:rPr>
          <w:tab/>
        </w:r>
        <w:r w:rsidR="002E5567">
          <w:rPr>
            <w:webHidden/>
          </w:rPr>
          <w:fldChar w:fldCharType="begin"/>
        </w:r>
        <w:r w:rsidR="002E5567">
          <w:rPr>
            <w:webHidden/>
          </w:rPr>
          <w:instrText xml:space="preserve"> PAGEREF _Toc492995952 \h </w:instrText>
        </w:r>
        <w:r w:rsidR="002E5567">
          <w:rPr>
            <w:webHidden/>
          </w:rPr>
        </w:r>
        <w:r w:rsidR="002E5567">
          <w:rPr>
            <w:webHidden/>
          </w:rPr>
          <w:fldChar w:fldCharType="separate"/>
        </w:r>
        <w:r w:rsidR="008D71C2">
          <w:rPr>
            <w:webHidden/>
          </w:rPr>
          <w:t>25</w:t>
        </w:r>
        <w:r w:rsidR="002E5567">
          <w:rPr>
            <w:webHidden/>
          </w:rPr>
          <w:fldChar w:fldCharType="end"/>
        </w:r>
      </w:hyperlink>
    </w:p>
    <w:p w14:paraId="1F56C799" w14:textId="577F25BA" w:rsidR="002E5567" w:rsidRDefault="00371C9F">
      <w:pPr>
        <w:pStyle w:val="TOC1"/>
        <w:tabs>
          <w:tab w:val="left" w:pos="480"/>
        </w:tabs>
        <w:rPr>
          <w:rFonts w:asciiTheme="minorHAnsi" w:eastAsiaTheme="minorEastAsia" w:hAnsiTheme="minorHAnsi" w:cstheme="minorBidi"/>
          <w:b w:val="0"/>
          <w:bCs w:val="0"/>
          <w:caps w:val="0"/>
          <w:sz w:val="22"/>
          <w:szCs w:val="22"/>
          <w:lang w:val="en-US"/>
        </w:rPr>
      </w:pPr>
      <w:hyperlink w:anchor="_Toc492995953" w:history="1">
        <w:r w:rsidR="002E5567" w:rsidRPr="004622BD">
          <w:rPr>
            <w:rStyle w:val="Hyperlink"/>
          </w:rPr>
          <w:t>6.</w:t>
        </w:r>
        <w:r w:rsidR="002E5567">
          <w:rPr>
            <w:rFonts w:asciiTheme="minorHAnsi" w:eastAsiaTheme="minorEastAsia" w:hAnsiTheme="minorHAnsi" w:cstheme="minorBidi"/>
            <w:b w:val="0"/>
            <w:bCs w:val="0"/>
            <w:caps w:val="0"/>
            <w:sz w:val="22"/>
            <w:szCs w:val="22"/>
            <w:lang w:val="en-US"/>
          </w:rPr>
          <w:tab/>
        </w:r>
        <w:r w:rsidR="002E5567" w:rsidRPr="004622BD">
          <w:rPr>
            <w:rStyle w:val="Hyperlink"/>
          </w:rPr>
          <w:t>ДОПУСКАНЕ ЗА ТЪРГОВИЯ НА РЕГУЛИРАН ПАЗАР</w:t>
        </w:r>
        <w:r w:rsidR="002E5567">
          <w:rPr>
            <w:webHidden/>
          </w:rPr>
          <w:tab/>
        </w:r>
        <w:r w:rsidR="002E5567">
          <w:rPr>
            <w:webHidden/>
          </w:rPr>
          <w:fldChar w:fldCharType="begin"/>
        </w:r>
        <w:r w:rsidR="002E5567">
          <w:rPr>
            <w:webHidden/>
          </w:rPr>
          <w:instrText xml:space="preserve"> PAGEREF _Toc492995953 \h </w:instrText>
        </w:r>
        <w:r w:rsidR="002E5567">
          <w:rPr>
            <w:webHidden/>
          </w:rPr>
        </w:r>
        <w:r w:rsidR="002E5567">
          <w:rPr>
            <w:webHidden/>
          </w:rPr>
          <w:fldChar w:fldCharType="separate"/>
        </w:r>
        <w:r w:rsidR="008D71C2">
          <w:rPr>
            <w:webHidden/>
          </w:rPr>
          <w:t>25</w:t>
        </w:r>
        <w:r w:rsidR="002E5567">
          <w:rPr>
            <w:webHidden/>
          </w:rPr>
          <w:fldChar w:fldCharType="end"/>
        </w:r>
      </w:hyperlink>
    </w:p>
    <w:p w14:paraId="5F33F712" w14:textId="43D72DDB"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54" w:history="1">
        <w:r w:rsidR="002E5567" w:rsidRPr="004622BD">
          <w:rPr>
            <w:rStyle w:val="Hyperlink"/>
            <w:spacing w:val="20"/>
          </w:rPr>
          <w:t>6.1. Регулиран пазар, на който Емитентът възнамерява да подаде заявление за приемане на емисията за търговия</w:t>
        </w:r>
        <w:r w:rsidR="002E5567">
          <w:rPr>
            <w:webHidden/>
          </w:rPr>
          <w:tab/>
        </w:r>
        <w:r w:rsidR="002E5567">
          <w:rPr>
            <w:webHidden/>
          </w:rPr>
          <w:fldChar w:fldCharType="begin"/>
        </w:r>
        <w:r w:rsidR="002E5567">
          <w:rPr>
            <w:webHidden/>
          </w:rPr>
          <w:instrText xml:space="preserve"> PAGEREF _Toc492995954 \h </w:instrText>
        </w:r>
        <w:r w:rsidR="002E5567">
          <w:rPr>
            <w:webHidden/>
          </w:rPr>
        </w:r>
        <w:r w:rsidR="002E5567">
          <w:rPr>
            <w:webHidden/>
          </w:rPr>
          <w:fldChar w:fldCharType="separate"/>
        </w:r>
        <w:r w:rsidR="008D71C2">
          <w:rPr>
            <w:webHidden/>
          </w:rPr>
          <w:t>25</w:t>
        </w:r>
        <w:r w:rsidR="002E5567">
          <w:rPr>
            <w:webHidden/>
          </w:rPr>
          <w:fldChar w:fldCharType="end"/>
        </w:r>
      </w:hyperlink>
    </w:p>
    <w:p w14:paraId="679A5A1C" w14:textId="310709DE"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55" w:history="1">
        <w:r w:rsidR="002E5567" w:rsidRPr="004622BD">
          <w:rPr>
            <w:rStyle w:val="Hyperlink"/>
            <w:spacing w:val="20"/>
          </w:rPr>
          <w:t>6.2. Регулирани пазари или равностойни пазари, на които ценни книжа от същия клас на ценните книжа, които ще бъдат предлагани, вече са допуснати до търговия.</w:t>
        </w:r>
        <w:r w:rsidR="002E5567">
          <w:rPr>
            <w:webHidden/>
          </w:rPr>
          <w:tab/>
        </w:r>
        <w:r w:rsidR="002E5567">
          <w:rPr>
            <w:webHidden/>
          </w:rPr>
          <w:fldChar w:fldCharType="begin"/>
        </w:r>
        <w:r w:rsidR="002E5567">
          <w:rPr>
            <w:webHidden/>
          </w:rPr>
          <w:instrText xml:space="preserve"> PAGEREF _Toc492995955 \h </w:instrText>
        </w:r>
        <w:r w:rsidR="002E5567">
          <w:rPr>
            <w:webHidden/>
          </w:rPr>
        </w:r>
        <w:r w:rsidR="002E5567">
          <w:rPr>
            <w:webHidden/>
          </w:rPr>
          <w:fldChar w:fldCharType="separate"/>
        </w:r>
        <w:r w:rsidR="008D71C2">
          <w:rPr>
            <w:webHidden/>
          </w:rPr>
          <w:t>25</w:t>
        </w:r>
        <w:r w:rsidR="002E5567">
          <w:rPr>
            <w:webHidden/>
          </w:rPr>
          <w:fldChar w:fldCharType="end"/>
        </w:r>
      </w:hyperlink>
    </w:p>
    <w:p w14:paraId="277FC595" w14:textId="76126548"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56" w:history="1">
        <w:r w:rsidR="002E5567" w:rsidRPr="004622BD">
          <w:rPr>
            <w:rStyle w:val="Hyperlink"/>
            <w:spacing w:val="20"/>
          </w:rPr>
          <w:t>6.3. Информация за друга публична или частна подписка за ценни книжа от същия или от друг клас, която се организира едновременно с издаването на акциите, за които ще се иска приемане на регулиран пазар</w:t>
        </w:r>
        <w:r w:rsidR="002E5567">
          <w:rPr>
            <w:webHidden/>
          </w:rPr>
          <w:tab/>
        </w:r>
        <w:r w:rsidR="002E5567">
          <w:rPr>
            <w:webHidden/>
          </w:rPr>
          <w:fldChar w:fldCharType="begin"/>
        </w:r>
        <w:r w:rsidR="002E5567">
          <w:rPr>
            <w:webHidden/>
          </w:rPr>
          <w:instrText xml:space="preserve"> PAGEREF _Toc492995956 \h </w:instrText>
        </w:r>
        <w:r w:rsidR="002E5567">
          <w:rPr>
            <w:webHidden/>
          </w:rPr>
        </w:r>
        <w:r w:rsidR="002E5567">
          <w:rPr>
            <w:webHidden/>
          </w:rPr>
          <w:fldChar w:fldCharType="separate"/>
        </w:r>
        <w:r w:rsidR="008D71C2">
          <w:rPr>
            <w:webHidden/>
          </w:rPr>
          <w:t>25</w:t>
        </w:r>
        <w:r w:rsidR="002E5567">
          <w:rPr>
            <w:webHidden/>
          </w:rPr>
          <w:fldChar w:fldCharType="end"/>
        </w:r>
      </w:hyperlink>
    </w:p>
    <w:p w14:paraId="6BCB9DB3" w14:textId="3AC480FB"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57" w:history="1">
        <w:r w:rsidR="002E5567" w:rsidRPr="004622BD">
          <w:rPr>
            <w:rStyle w:val="Hyperlink"/>
            <w:spacing w:val="20"/>
          </w:rPr>
          <w:t>6.4. субектите, които имат твърд ангажимент да действат като посредници на вторичния пазар, предоставяйки ликвидност чрез цените на търсенето и предлагането</w:t>
        </w:r>
        <w:r w:rsidR="002E5567">
          <w:rPr>
            <w:webHidden/>
          </w:rPr>
          <w:tab/>
        </w:r>
        <w:r w:rsidR="002E5567">
          <w:rPr>
            <w:webHidden/>
          </w:rPr>
          <w:fldChar w:fldCharType="begin"/>
        </w:r>
        <w:r w:rsidR="002E5567">
          <w:rPr>
            <w:webHidden/>
          </w:rPr>
          <w:instrText xml:space="preserve"> PAGEREF _Toc492995957 \h </w:instrText>
        </w:r>
        <w:r w:rsidR="002E5567">
          <w:rPr>
            <w:webHidden/>
          </w:rPr>
        </w:r>
        <w:r w:rsidR="002E5567">
          <w:rPr>
            <w:webHidden/>
          </w:rPr>
          <w:fldChar w:fldCharType="separate"/>
        </w:r>
        <w:r w:rsidR="008D71C2">
          <w:rPr>
            <w:webHidden/>
          </w:rPr>
          <w:t>25</w:t>
        </w:r>
        <w:r w:rsidR="002E5567">
          <w:rPr>
            <w:webHidden/>
          </w:rPr>
          <w:fldChar w:fldCharType="end"/>
        </w:r>
      </w:hyperlink>
    </w:p>
    <w:p w14:paraId="7D6DBB2F" w14:textId="1F94E08C"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58" w:history="1">
        <w:r w:rsidR="002E5567" w:rsidRPr="004622BD">
          <w:rPr>
            <w:rStyle w:val="Hyperlink"/>
            <w:spacing w:val="20"/>
          </w:rPr>
          <w:t>6.5. Стабилизация</w:t>
        </w:r>
        <w:r w:rsidR="002E5567">
          <w:rPr>
            <w:webHidden/>
          </w:rPr>
          <w:tab/>
        </w:r>
        <w:r w:rsidR="002E5567">
          <w:rPr>
            <w:webHidden/>
          </w:rPr>
          <w:fldChar w:fldCharType="begin"/>
        </w:r>
        <w:r w:rsidR="002E5567">
          <w:rPr>
            <w:webHidden/>
          </w:rPr>
          <w:instrText xml:space="preserve"> PAGEREF _Toc492995958 \h </w:instrText>
        </w:r>
        <w:r w:rsidR="002E5567">
          <w:rPr>
            <w:webHidden/>
          </w:rPr>
        </w:r>
        <w:r w:rsidR="002E5567">
          <w:rPr>
            <w:webHidden/>
          </w:rPr>
          <w:fldChar w:fldCharType="separate"/>
        </w:r>
        <w:r w:rsidR="008D71C2">
          <w:rPr>
            <w:webHidden/>
          </w:rPr>
          <w:t>25</w:t>
        </w:r>
        <w:r w:rsidR="002E5567">
          <w:rPr>
            <w:webHidden/>
          </w:rPr>
          <w:fldChar w:fldCharType="end"/>
        </w:r>
      </w:hyperlink>
    </w:p>
    <w:p w14:paraId="75B2EE49" w14:textId="2D7719A7" w:rsidR="002E5567" w:rsidRDefault="00371C9F">
      <w:pPr>
        <w:pStyle w:val="TOC1"/>
        <w:tabs>
          <w:tab w:val="left" w:pos="480"/>
        </w:tabs>
        <w:rPr>
          <w:rFonts w:asciiTheme="minorHAnsi" w:eastAsiaTheme="minorEastAsia" w:hAnsiTheme="minorHAnsi" w:cstheme="minorBidi"/>
          <w:b w:val="0"/>
          <w:bCs w:val="0"/>
          <w:caps w:val="0"/>
          <w:sz w:val="22"/>
          <w:szCs w:val="22"/>
          <w:lang w:val="en-US"/>
        </w:rPr>
      </w:pPr>
      <w:hyperlink w:anchor="_Toc492995959" w:history="1">
        <w:r w:rsidR="002E5567" w:rsidRPr="004622BD">
          <w:rPr>
            <w:rStyle w:val="Hyperlink"/>
          </w:rPr>
          <w:t>7.</w:t>
        </w:r>
        <w:r w:rsidR="002E5567">
          <w:rPr>
            <w:rFonts w:asciiTheme="minorHAnsi" w:eastAsiaTheme="minorEastAsia" w:hAnsiTheme="minorHAnsi" w:cstheme="minorBidi"/>
            <w:b w:val="0"/>
            <w:bCs w:val="0"/>
            <w:caps w:val="0"/>
            <w:sz w:val="22"/>
            <w:szCs w:val="22"/>
            <w:lang w:val="en-US"/>
          </w:rPr>
          <w:tab/>
        </w:r>
        <w:r w:rsidR="002E5567" w:rsidRPr="004622BD">
          <w:rPr>
            <w:rStyle w:val="Hyperlink"/>
          </w:rPr>
          <w:t>ПРИТЕЖАТЕЛИ НА ЦЕННИ КНИЖА – ПРОДАВАЧИ ПРИ ПУБЛИЧНОТО ПРЕДЛАГАНЕ</w:t>
        </w:r>
        <w:r w:rsidR="002E5567">
          <w:rPr>
            <w:webHidden/>
          </w:rPr>
          <w:tab/>
        </w:r>
        <w:r w:rsidR="002E5567">
          <w:rPr>
            <w:webHidden/>
          </w:rPr>
          <w:fldChar w:fldCharType="begin"/>
        </w:r>
        <w:r w:rsidR="002E5567">
          <w:rPr>
            <w:webHidden/>
          </w:rPr>
          <w:instrText xml:space="preserve"> PAGEREF _Toc492995959 \h </w:instrText>
        </w:r>
        <w:r w:rsidR="002E5567">
          <w:rPr>
            <w:webHidden/>
          </w:rPr>
        </w:r>
        <w:r w:rsidR="002E5567">
          <w:rPr>
            <w:webHidden/>
          </w:rPr>
          <w:fldChar w:fldCharType="separate"/>
        </w:r>
        <w:r w:rsidR="008D71C2">
          <w:rPr>
            <w:webHidden/>
          </w:rPr>
          <w:t>25</w:t>
        </w:r>
        <w:r w:rsidR="002E5567">
          <w:rPr>
            <w:webHidden/>
          </w:rPr>
          <w:fldChar w:fldCharType="end"/>
        </w:r>
      </w:hyperlink>
    </w:p>
    <w:p w14:paraId="6C6C5C3B" w14:textId="4D1FD763"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60" w:history="1">
        <w:r w:rsidR="002E5567" w:rsidRPr="004622BD">
          <w:rPr>
            <w:rStyle w:val="Hyperlink"/>
            <w:spacing w:val="20"/>
          </w:rPr>
          <w:t>7.1. субект, предлагащ за продажба ценните книжа</w:t>
        </w:r>
        <w:r w:rsidR="002E5567">
          <w:rPr>
            <w:webHidden/>
          </w:rPr>
          <w:tab/>
        </w:r>
        <w:r w:rsidR="002E5567">
          <w:rPr>
            <w:webHidden/>
          </w:rPr>
          <w:fldChar w:fldCharType="begin"/>
        </w:r>
        <w:r w:rsidR="002E5567">
          <w:rPr>
            <w:webHidden/>
          </w:rPr>
          <w:instrText xml:space="preserve"> PAGEREF _Toc492995960 \h </w:instrText>
        </w:r>
        <w:r w:rsidR="002E5567">
          <w:rPr>
            <w:webHidden/>
          </w:rPr>
        </w:r>
        <w:r w:rsidR="002E5567">
          <w:rPr>
            <w:webHidden/>
          </w:rPr>
          <w:fldChar w:fldCharType="separate"/>
        </w:r>
        <w:r w:rsidR="008D71C2">
          <w:rPr>
            <w:webHidden/>
          </w:rPr>
          <w:t>25</w:t>
        </w:r>
        <w:r w:rsidR="002E5567">
          <w:rPr>
            <w:webHidden/>
          </w:rPr>
          <w:fldChar w:fldCharType="end"/>
        </w:r>
      </w:hyperlink>
    </w:p>
    <w:p w14:paraId="141B2B10" w14:textId="5996C1E3"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61" w:history="1">
        <w:r w:rsidR="002E5567" w:rsidRPr="004622BD">
          <w:rPr>
            <w:rStyle w:val="Hyperlink"/>
            <w:spacing w:val="20"/>
          </w:rPr>
          <w:t>7.2. Брой и клас на ценните книжа, които се предлагат от държателите</w:t>
        </w:r>
        <w:r w:rsidR="002E5567">
          <w:rPr>
            <w:webHidden/>
          </w:rPr>
          <w:tab/>
        </w:r>
        <w:r w:rsidR="002E5567">
          <w:rPr>
            <w:webHidden/>
          </w:rPr>
          <w:fldChar w:fldCharType="begin"/>
        </w:r>
        <w:r w:rsidR="002E5567">
          <w:rPr>
            <w:webHidden/>
          </w:rPr>
          <w:instrText xml:space="preserve"> PAGEREF _Toc492995961 \h </w:instrText>
        </w:r>
        <w:r w:rsidR="002E5567">
          <w:rPr>
            <w:webHidden/>
          </w:rPr>
        </w:r>
        <w:r w:rsidR="002E5567">
          <w:rPr>
            <w:webHidden/>
          </w:rPr>
          <w:fldChar w:fldCharType="separate"/>
        </w:r>
        <w:r w:rsidR="008D71C2">
          <w:rPr>
            <w:webHidden/>
          </w:rPr>
          <w:t>26</w:t>
        </w:r>
        <w:r w:rsidR="002E5567">
          <w:rPr>
            <w:webHidden/>
          </w:rPr>
          <w:fldChar w:fldCharType="end"/>
        </w:r>
      </w:hyperlink>
    </w:p>
    <w:p w14:paraId="714FC061" w14:textId="079901E7"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62" w:history="1">
        <w:r w:rsidR="002E5567" w:rsidRPr="004622BD">
          <w:rPr>
            <w:rStyle w:val="Hyperlink"/>
            <w:spacing w:val="20"/>
          </w:rPr>
          <w:t>7.3. Споразумения за замразяване на капитала</w:t>
        </w:r>
        <w:r w:rsidR="002E5567">
          <w:rPr>
            <w:webHidden/>
          </w:rPr>
          <w:tab/>
        </w:r>
        <w:r w:rsidR="002E5567">
          <w:rPr>
            <w:webHidden/>
          </w:rPr>
          <w:fldChar w:fldCharType="begin"/>
        </w:r>
        <w:r w:rsidR="002E5567">
          <w:rPr>
            <w:webHidden/>
          </w:rPr>
          <w:instrText xml:space="preserve"> PAGEREF _Toc492995962 \h </w:instrText>
        </w:r>
        <w:r w:rsidR="002E5567">
          <w:rPr>
            <w:webHidden/>
          </w:rPr>
        </w:r>
        <w:r w:rsidR="002E5567">
          <w:rPr>
            <w:webHidden/>
          </w:rPr>
          <w:fldChar w:fldCharType="separate"/>
        </w:r>
        <w:r w:rsidR="008D71C2">
          <w:rPr>
            <w:webHidden/>
          </w:rPr>
          <w:t>26</w:t>
        </w:r>
        <w:r w:rsidR="002E5567">
          <w:rPr>
            <w:webHidden/>
          </w:rPr>
          <w:fldChar w:fldCharType="end"/>
        </w:r>
      </w:hyperlink>
    </w:p>
    <w:p w14:paraId="1B943297" w14:textId="13EAA5A1" w:rsidR="002E5567" w:rsidRDefault="00371C9F">
      <w:pPr>
        <w:pStyle w:val="TOC1"/>
        <w:tabs>
          <w:tab w:val="left" w:pos="480"/>
        </w:tabs>
        <w:rPr>
          <w:rFonts w:asciiTheme="minorHAnsi" w:eastAsiaTheme="minorEastAsia" w:hAnsiTheme="minorHAnsi" w:cstheme="minorBidi"/>
          <w:b w:val="0"/>
          <w:bCs w:val="0"/>
          <w:caps w:val="0"/>
          <w:sz w:val="22"/>
          <w:szCs w:val="22"/>
          <w:lang w:val="en-US"/>
        </w:rPr>
      </w:pPr>
      <w:hyperlink w:anchor="_Toc492995963" w:history="1">
        <w:r w:rsidR="002E5567" w:rsidRPr="004622BD">
          <w:rPr>
            <w:rStyle w:val="Hyperlink"/>
          </w:rPr>
          <w:t>8.</w:t>
        </w:r>
        <w:r w:rsidR="002E5567">
          <w:rPr>
            <w:rFonts w:asciiTheme="minorHAnsi" w:eastAsiaTheme="minorEastAsia" w:hAnsiTheme="minorHAnsi" w:cstheme="minorBidi"/>
            <w:b w:val="0"/>
            <w:bCs w:val="0"/>
            <w:caps w:val="0"/>
            <w:sz w:val="22"/>
            <w:szCs w:val="22"/>
            <w:lang w:val="en-US"/>
          </w:rPr>
          <w:tab/>
        </w:r>
        <w:r w:rsidR="002E5567" w:rsidRPr="004622BD">
          <w:rPr>
            <w:rStyle w:val="Hyperlink"/>
          </w:rPr>
          <w:t>РАЗХОДИ НА ЕМИТЕНТА ПО ПУБЛИЧНОТО ПРЕДЛАГАНЕ</w:t>
        </w:r>
        <w:r w:rsidR="002E5567">
          <w:rPr>
            <w:webHidden/>
          </w:rPr>
          <w:tab/>
        </w:r>
        <w:r w:rsidR="002E5567">
          <w:rPr>
            <w:webHidden/>
          </w:rPr>
          <w:fldChar w:fldCharType="begin"/>
        </w:r>
        <w:r w:rsidR="002E5567">
          <w:rPr>
            <w:webHidden/>
          </w:rPr>
          <w:instrText xml:space="preserve"> PAGEREF _Toc492995963 \h </w:instrText>
        </w:r>
        <w:r w:rsidR="002E5567">
          <w:rPr>
            <w:webHidden/>
          </w:rPr>
        </w:r>
        <w:r w:rsidR="002E5567">
          <w:rPr>
            <w:webHidden/>
          </w:rPr>
          <w:fldChar w:fldCharType="separate"/>
        </w:r>
        <w:r w:rsidR="008D71C2">
          <w:rPr>
            <w:webHidden/>
          </w:rPr>
          <w:t>26</w:t>
        </w:r>
        <w:r w:rsidR="002E5567">
          <w:rPr>
            <w:webHidden/>
          </w:rPr>
          <w:fldChar w:fldCharType="end"/>
        </w:r>
      </w:hyperlink>
    </w:p>
    <w:p w14:paraId="1F658D52" w14:textId="2BE0D97F"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64" w:history="1">
        <w:r w:rsidR="002E5567" w:rsidRPr="004622BD">
          <w:rPr>
            <w:rStyle w:val="Hyperlink"/>
            <w:spacing w:val="20"/>
          </w:rPr>
          <w:t>8.1. Общи нетни постъпления и приблизителна стойност на общите разходи на емитента</w:t>
        </w:r>
        <w:r w:rsidR="002E5567">
          <w:rPr>
            <w:webHidden/>
          </w:rPr>
          <w:tab/>
        </w:r>
        <w:r w:rsidR="002E5567">
          <w:rPr>
            <w:webHidden/>
          </w:rPr>
          <w:fldChar w:fldCharType="begin"/>
        </w:r>
        <w:r w:rsidR="002E5567">
          <w:rPr>
            <w:webHidden/>
          </w:rPr>
          <w:instrText xml:space="preserve"> PAGEREF _Toc492995964 \h </w:instrText>
        </w:r>
        <w:r w:rsidR="002E5567">
          <w:rPr>
            <w:webHidden/>
          </w:rPr>
        </w:r>
        <w:r w:rsidR="002E5567">
          <w:rPr>
            <w:webHidden/>
          </w:rPr>
          <w:fldChar w:fldCharType="separate"/>
        </w:r>
        <w:r w:rsidR="008D71C2">
          <w:rPr>
            <w:webHidden/>
          </w:rPr>
          <w:t>26</w:t>
        </w:r>
        <w:r w:rsidR="002E5567">
          <w:rPr>
            <w:webHidden/>
          </w:rPr>
          <w:fldChar w:fldCharType="end"/>
        </w:r>
      </w:hyperlink>
    </w:p>
    <w:p w14:paraId="15EB3AB0" w14:textId="6C04A5F7" w:rsidR="002E5567" w:rsidRDefault="00371C9F">
      <w:pPr>
        <w:pStyle w:val="TOC1"/>
        <w:rPr>
          <w:rFonts w:asciiTheme="minorHAnsi" w:eastAsiaTheme="minorEastAsia" w:hAnsiTheme="minorHAnsi" w:cstheme="minorBidi"/>
          <w:b w:val="0"/>
          <w:bCs w:val="0"/>
          <w:caps w:val="0"/>
          <w:sz w:val="22"/>
          <w:szCs w:val="22"/>
          <w:lang w:val="en-US"/>
        </w:rPr>
      </w:pPr>
      <w:hyperlink w:anchor="_Toc492995965" w:history="1">
        <w:r w:rsidR="002E5567" w:rsidRPr="004622BD">
          <w:rPr>
            <w:rStyle w:val="Hyperlink"/>
          </w:rPr>
          <w:t>9. РАЗВОДНЯВАНЕ НА СТОЙНОСТТА НА АКЦИИТЕ</w:t>
        </w:r>
        <w:r w:rsidR="002E5567">
          <w:rPr>
            <w:webHidden/>
          </w:rPr>
          <w:tab/>
        </w:r>
        <w:r w:rsidR="002E5567">
          <w:rPr>
            <w:webHidden/>
          </w:rPr>
          <w:fldChar w:fldCharType="begin"/>
        </w:r>
        <w:r w:rsidR="002E5567">
          <w:rPr>
            <w:webHidden/>
          </w:rPr>
          <w:instrText xml:space="preserve"> PAGEREF _Toc492995965 \h </w:instrText>
        </w:r>
        <w:r w:rsidR="002E5567">
          <w:rPr>
            <w:webHidden/>
          </w:rPr>
        </w:r>
        <w:r w:rsidR="002E5567">
          <w:rPr>
            <w:webHidden/>
          </w:rPr>
          <w:fldChar w:fldCharType="separate"/>
        </w:r>
        <w:r w:rsidR="008D71C2">
          <w:rPr>
            <w:webHidden/>
          </w:rPr>
          <w:t>27</w:t>
        </w:r>
        <w:r w:rsidR="002E5567">
          <w:rPr>
            <w:webHidden/>
          </w:rPr>
          <w:fldChar w:fldCharType="end"/>
        </w:r>
      </w:hyperlink>
    </w:p>
    <w:p w14:paraId="7C3738BE" w14:textId="095FE3DA"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66" w:history="1">
        <w:r w:rsidR="002E5567" w:rsidRPr="004622BD">
          <w:rPr>
            <w:rStyle w:val="Hyperlink"/>
            <w:spacing w:val="20"/>
          </w:rPr>
          <w:t>9.1. Размер и процент на непосредствено разводняване, получено в резултат на предлагането</w:t>
        </w:r>
        <w:r w:rsidR="002E5567">
          <w:rPr>
            <w:webHidden/>
          </w:rPr>
          <w:tab/>
        </w:r>
        <w:r w:rsidR="002E5567">
          <w:rPr>
            <w:webHidden/>
          </w:rPr>
          <w:fldChar w:fldCharType="begin"/>
        </w:r>
        <w:r w:rsidR="002E5567">
          <w:rPr>
            <w:webHidden/>
          </w:rPr>
          <w:instrText xml:space="preserve"> PAGEREF _Toc492995966 \h </w:instrText>
        </w:r>
        <w:r w:rsidR="002E5567">
          <w:rPr>
            <w:webHidden/>
          </w:rPr>
        </w:r>
        <w:r w:rsidR="002E5567">
          <w:rPr>
            <w:webHidden/>
          </w:rPr>
          <w:fldChar w:fldCharType="separate"/>
        </w:r>
        <w:r w:rsidR="008D71C2">
          <w:rPr>
            <w:webHidden/>
          </w:rPr>
          <w:t>27</w:t>
        </w:r>
        <w:r w:rsidR="002E5567">
          <w:rPr>
            <w:webHidden/>
          </w:rPr>
          <w:fldChar w:fldCharType="end"/>
        </w:r>
      </w:hyperlink>
    </w:p>
    <w:p w14:paraId="6D88C3D0" w14:textId="3EB4E40F" w:rsidR="002E5567" w:rsidRDefault="00371C9F">
      <w:pPr>
        <w:pStyle w:val="TOC1"/>
        <w:tabs>
          <w:tab w:val="left" w:pos="480"/>
        </w:tabs>
        <w:rPr>
          <w:rFonts w:asciiTheme="minorHAnsi" w:eastAsiaTheme="minorEastAsia" w:hAnsiTheme="minorHAnsi" w:cstheme="minorBidi"/>
          <w:b w:val="0"/>
          <w:bCs w:val="0"/>
          <w:caps w:val="0"/>
          <w:sz w:val="22"/>
          <w:szCs w:val="22"/>
          <w:lang w:val="en-US"/>
        </w:rPr>
      </w:pPr>
      <w:hyperlink w:anchor="_Toc492995967" w:history="1">
        <w:r w:rsidR="002E5567" w:rsidRPr="004622BD">
          <w:rPr>
            <w:rStyle w:val="Hyperlink"/>
          </w:rPr>
          <w:t>10.</w:t>
        </w:r>
        <w:r w:rsidR="002E5567">
          <w:rPr>
            <w:rFonts w:asciiTheme="minorHAnsi" w:eastAsiaTheme="minorEastAsia" w:hAnsiTheme="minorHAnsi" w:cstheme="minorBidi"/>
            <w:b w:val="0"/>
            <w:bCs w:val="0"/>
            <w:caps w:val="0"/>
            <w:sz w:val="22"/>
            <w:szCs w:val="22"/>
            <w:lang w:val="en-US"/>
          </w:rPr>
          <w:tab/>
        </w:r>
        <w:r w:rsidR="002E5567" w:rsidRPr="004622BD">
          <w:rPr>
            <w:rStyle w:val="Hyperlink"/>
          </w:rPr>
          <w:t>ДОПЪЛНИТЕЛНА ИНФОРМАЦИЯ</w:t>
        </w:r>
        <w:r w:rsidR="002E5567">
          <w:rPr>
            <w:webHidden/>
          </w:rPr>
          <w:tab/>
        </w:r>
        <w:r w:rsidR="002E5567">
          <w:rPr>
            <w:webHidden/>
          </w:rPr>
          <w:fldChar w:fldCharType="begin"/>
        </w:r>
        <w:r w:rsidR="002E5567">
          <w:rPr>
            <w:webHidden/>
          </w:rPr>
          <w:instrText xml:space="preserve"> PAGEREF _Toc492995967 \h </w:instrText>
        </w:r>
        <w:r w:rsidR="002E5567">
          <w:rPr>
            <w:webHidden/>
          </w:rPr>
        </w:r>
        <w:r w:rsidR="002E5567">
          <w:rPr>
            <w:webHidden/>
          </w:rPr>
          <w:fldChar w:fldCharType="separate"/>
        </w:r>
        <w:r w:rsidR="008D71C2">
          <w:rPr>
            <w:webHidden/>
          </w:rPr>
          <w:t>28</w:t>
        </w:r>
        <w:r w:rsidR="002E5567">
          <w:rPr>
            <w:webHidden/>
          </w:rPr>
          <w:fldChar w:fldCharType="end"/>
        </w:r>
      </w:hyperlink>
    </w:p>
    <w:p w14:paraId="32CCE6E5" w14:textId="3C9DE054"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68" w:history="1">
        <w:r w:rsidR="002E5567" w:rsidRPr="004622BD">
          <w:rPr>
            <w:rStyle w:val="Hyperlink"/>
            <w:spacing w:val="20"/>
          </w:rPr>
          <w:t>10.1.Консултанти</w:t>
        </w:r>
        <w:r w:rsidR="002E5567">
          <w:rPr>
            <w:webHidden/>
          </w:rPr>
          <w:tab/>
        </w:r>
        <w:r w:rsidR="002E5567">
          <w:rPr>
            <w:webHidden/>
          </w:rPr>
          <w:fldChar w:fldCharType="begin"/>
        </w:r>
        <w:r w:rsidR="002E5567">
          <w:rPr>
            <w:webHidden/>
          </w:rPr>
          <w:instrText xml:space="preserve"> PAGEREF _Toc492995968 \h </w:instrText>
        </w:r>
        <w:r w:rsidR="002E5567">
          <w:rPr>
            <w:webHidden/>
          </w:rPr>
        </w:r>
        <w:r w:rsidR="002E5567">
          <w:rPr>
            <w:webHidden/>
          </w:rPr>
          <w:fldChar w:fldCharType="separate"/>
        </w:r>
        <w:r w:rsidR="008D71C2">
          <w:rPr>
            <w:webHidden/>
          </w:rPr>
          <w:t>28</w:t>
        </w:r>
        <w:r w:rsidR="002E5567">
          <w:rPr>
            <w:webHidden/>
          </w:rPr>
          <w:fldChar w:fldCharType="end"/>
        </w:r>
      </w:hyperlink>
    </w:p>
    <w:p w14:paraId="79C29B0E" w14:textId="0FB3B7EE"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69" w:history="1">
        <w:r w:rsidR="002E5567" w:rsidRPr="004622BD">
          <w:rPr>
            <w:rStyle w:val="Hyperlink"/>
            <w:spacing w:val="20"/>
          </w:rPr>
          <w:t>10.2. Индикация за информация, която е одитирана</w:t>
        </w:r>
        <w:r w:rsidR="002E5567">
          <w:rPr>
            <w:webHidden/>
          </w:rPr>
          <w:tab/>
        </w:r>
        <w:r w:rsidR="002E5567">
          <w:rPr>
            <w:webHidden/>
          </w:rPr>
          <w:fldChar w:fldCharType="begin"/>
        </w:r>
        <w:r w:rsidR="002E5567">
          <w:rPr>
            <w:webHidden/>
          </w:rPr>
          <w:instrText xml:space="preserve"> PAGEREF _Toc492995969 \h </w:instrText>
        </w:r>
        <w:r w:rsidR="002E5567">
          <w:rPr>
            <w:webHidden/>
          </w:rPr>
        </w:r>
        <w:r w:rsidR="002E5567">
          <w:rPr>
            <w:webHidden/>
          </w:rPr>
          <w:fldChar w:fldCharType="separate"/>
        </w:r>
        <w:r w:rsidR="008D71C2">
          <w:rPr>
            <w:webHidden/>
          </w:rPr>
          <w:t>28</w:t>
        </w:r>
        <w:r w:rsidR="002E5567">
          <w:rPr>
            <w:webHidden/>
          </w:rPr>
          <w:fldChar w:fldCharType="end"/>
        </w:r>
      </w:hyperlink>
    </w:p>
    <w:p w14:paraId="39C36D4F" w14:textId="7CA3EEE3"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70" w:history="1">
        <w:r w:rsidR="002E5567" w:rsidRPr="004622BD">
          <w:rPr>
            <w:rStyle w:val="Hyperlink"/>
            <w:spacing w:val="20"/>
          </w:rPr>
          <w:t>10.3. Изявление или доклад на експерт</w:t>
        </w:r>
        <w:r w:rsidR="002E5567">
          <w:rPr>
            <w:webHidden/>
          </w:rPr>
          <w:tab/>
        </w:r>
        <w:r w:rsidR="002E5567">
          <w:rPr>
            <w:webHidden/>
          </w:rPr>
          <w:fldChar w:fldCharType="begin"/>
        </w:r>
        <w:r w:rsidR="002E5567">
          <w:rPr>
            <w:webHidden/>
          </w:rPr>
          <w:instrText xml:space="preserve"> PAGEREF _Toc492995970 \h </w:instrText>
        </w:r>
        <w:r w:rsidR="002E5567">
          <w:rPr>
            <w:webHidden/>
          </w:rPr>
        </w:r>
        <w:r w:rsidR="002E5567">
          <w:rPr>
            <w:webHidden/>
          </w:rPr>
          <w:fldChar w:fldCharType="separate"/>
        </w:r>
        <w:r w:rsidR="008D71C2">
          <w:rPr>
            <w:webHidden/>
          </w:rPr>
          <w:t>28</w:t>
        </w:r>
        <w:r w:rsidR="002E5567">
          <w:rPr>
            <w:webHidden/>
          </w:rPr>
          <w:fldChar w:fldCharType="end"/>
        </w:r>
      </w:hyperlink>
    </w:p>
    <w:p w14:paraId="1945480B" w14:textId="38107AF8" w:rsidR="002E5567" w:rsidRDefault="00371C9F">
      <w:pPr>
        <w:pStyle w:val="TOC2"/>
        <w:rPr>
          <w:rFonts w:asciiTheme="minorHAnsi" w:eastAsiaTheme="minorEastAsia" w:hAnsiTheme="minorHAnsi" w:cstheme="minorBidi"/>
          <w:iCs w:val="0"/>
          <w:smallCaps w:val="0"/>
          <w:spacing w:val="0"/>
          <w:sz w:val="22"/>
          <w:szCs w:val="22"/>
          <w:lang w:val="en-US"/>
        </w:rPr>
      </w:pPr>
      <w:hyperlink w:anchor="_Toc492995971" w:history="1">
        <w:r w:rsidR="002E5567" w:rsidRPr="004622BD">
          <w:rPr>
            <w:rStyle w:val="Hyperlink"/>
            <w:spacing w:val="20"/>
          </w:rPr>
          <w:t>10.4. Информация от трети лица</w:t>
        </w:r>
        <w:r w:rsidR="002E5567">
          <w:rPr>
            <w:webHidden/>
          </w:rPr>
          <w:tab/>
        </w:r>
        <w:r w:rsidR="002E5567">
          <w:rPr>
            <w:webHidden/>
          </w:rPr>
          <w:fldChar w:fldCharType="begin"/>
        </w:r>
        <w:r w:rsidR="002E5567">
          <w:rPr>
            <w:webHidden/>
          </w:rPr>
          <w:instrText xml:space="preserve"> PAGEREF _Toc492995971 \h </w:instrText>
        </w:r>
        <w:r w:rsidR="002E5567">
          <w:rPr>
            <w:webHidden/>
          </w:rPr>
        </w:r>
        <w:r w:rsidR="002E5567">
          <w:rPr>
            <w:webHidden/>
          </w:rPr>
          <w:fldChar w:fldCharType="separate"/>
        </w:r>
        <w:r w:rsidR="008D71C2">
          <w:rPr>
            <w:webHidden/>
          </w:rPr>
          <w:t>28</w:t>
        </w:r>
        <w:r w:rsidR="002E5567">
          <w:rPr>
            <w:webHidden/>
          </w:rPr>
          <w:fldChar w:fldCharType="end"/>
        </w:r>
      </w:hyperlink>
    </w:p>
    <w:p w14:paraId="11E98765" w14:textId="6B4A4359" w:rsidR="002E5567" w:rsidRDefault="00371C9F">
      <w:pPr>
        <w:pStyle w:val="TOC1"/>
        <w:rPr>
          <w:rFonts w:asciiTheme="minorHAnsi" w:eastAsiaTheme="minorEastAsia" w:hAnsiTheme="minorHAnsi" w:cstheme="minorBidi"/>
          <w:b w:val="0"/>
          <w:bCs w:val="0"/>
          <w:caps w:val="0"/>
          <w:sz w:val="22"/>
          <w:szCs w:val="22"/>
          <w:lang w:val="en-US"/>
        </w:rPr>
      </w:pPr>
      <w:hyperlink w:anchor="_Toc492995972" w:history="1">
        <w:r w:rsidR="002E5567" w:rsidRPr="004622BD">
          <w:rPr>
            <w:rStyle w:val="Hyperlink"/>
          </w:rPr>
          <w:t>ПРИЛОЖЕНИЕ № 1</w:t>
        </w:r>
        <w:r w:rsidR="002E5567">
          <w:rPr>
            <w:webHidden/>
          </w:rPr>
          <w:tab/>
        </w:r>
        <w:r w:rsidR="002E5567">
          <w:rPr>
            <w:webHidden/>
          </w:rPr>
          <w:fldChar w:fldCharType="begin"/>
        </w:r>
        <w:r w:rsidR="002E5567">
          <w:rPr>
            <w:webHidden/>
          </w:rPr>
          <w:instrText xml:space="preserve"> PAGEREF _Toc492995972 \h </w:instrText>
        </w:r>
        <w:r w:rsidR="002E5567">
          <w:rPr>
            <w:webHidden/>
          </w:rPr>
        </w:r>
        <w:r w:rsidR="002E5567">
          <w:rPr>
            <w:webHidden/>
          </w:rPr>
          <w:fldChar w:fldCharType="separate"/>
        </w:r>
        <w:r w:rsidR="008D71C2">
          <w:rPr>
            <w:webHidden/>
          </w:rPr>
          <w:t>30</w:t>
        </w:r>
        <w:r w:rsidR="002E5567">
          <w:rPr>
            <w:webHidden/>
          </w:rPr>
          <w:fldChar w:fldCharType="end"/>
        </w:r>
      </w:hyperlink>
    </w:p>
    <w:p w14:paraId="46FBE669" w14:textId="1B06A392" w:rsidR="002E5567" w:rsidRDefault="00371C9F">
      <w:pPr>
        <w:pStyle w:val="TOC1"/>
        <w:rPr>
          <w:rFonts w:asciiTheme="minorHAnsi" w:eastAsiaTheme="minorEastAsia" w:hAnsiTheme="minorHAnsi" w:cstheme="minorBidi"/>
          <w:b w:val="0"/>
          <w:bCs w:val="0"/>
          <w:caps w:val="0"/>
          <w:sz w:val="22"/>
          <w:szCs w:val="22"/>
          <w:lang w:val="en-US"/>
        </w:rPr>
      </w:pPr>
      <w:hyperlink w:anchor="_Toc492995973" w:history="1">
        <w:r w:rsidR="002E5567" w:rsidRPr="004622BD">
          <w:rPr>
            <w:rStyle w:val="Hyperlink"/>
          </w:rPr>
          <w:t>ПРИЛОЖЕНИЕ № 2</w:t>
        </w:r>
        <w:r w:rsidR="002E5567">
          <w:rPr>
            <w:webHidden/>
          </w:rPr>
          <w:tab/>
        </w:r>
        <w:r w:rsidR="002E5567">
          <w:rPr>
            <w:webHidden/>
          </w:rPr>
          <w:fldChar w:fldCharType="begin"/>
        </w:r>
        <w:r w:rsidR="002E5567">
          <w:rPr>
            <w:webHidden/>
          </w:rPr>
          <w:instrText xml:space="preserve"> PAGEREF _Toc492995973 \h </w:instrText>
        </w:r>
        <w:r w:rsidR="002E5567">
          <w:rPr>
            <w:webHidden/>
          </w:rPr>
        </w:r>
        <w:r w:rsidR="002E5567">
          <w:rPr>
            <w:webHidden/>
          </w:rPr>
          <w:fldChar w:fldCharType="separate"/>
        </w:r>
        <w:r w:rsidR="008D71C2">
          <w:rPr>
            <w:webHidden/>
          </w:rPr>
          <w:t>31</w:t>
        </w:r>
        <w:r w:rsidR="002E5567">
          <w:rPr>
            <w:webHidden/>
          </w:rPr>
          <w:fldChar w:fldCharType="end"/>
        </w:r>
      </w:hyperlink>
    </w:p>
    <w:p w14:paraId="0AE83E88" w14:textId="25939364" w:rsidR="00E175F2" w:rsidRPr="00955E19" w:rsidRDefault="00E175F2" w:rsidP="00152D36">
      <w:pPr>
        <w:pStyle w:val="BodyText"/>
        <w:spacing w:after="120"/>
        <w:rPr>
          <w:b/>
          <w:smallCaps/>
          <w:color w:val="auto"/>
          <w:sz w:val="20"/>
        </w:rPr>
      </w:pPr>
      <w:r w:rsidRPr="00955E19">
        <w:rPr>
          <w:smallCaps/>
        </w:rPr>
        <w:fldChar w:fldCharType="end"/>
      </w:r>
    </w:p>
    <w:p w14:paraId="0AB3B02A" w14:textId="77777777" w:rsidR="00E175F2" w:rsidRPr="00955E19" w:rsidRDefault="00E175F2" w:rsidP="00152D36">
      <w:pPr>
        <w:pStyle w:val="BodyText"/>
        <w:spacing w:after="120"/>
        <w:rPr>
          <w:b/>
          <w:smallCaps/>
          <w:color w:val="auto"/>
          <w:sz w:val="20"/>
        </w:rPr>
      </w:pPr>
      <w:r w:rsidRPr="00955E19">
        <w:rPr>
          <w:b/>
          <w:smallCaps/>
          <w:color w:val="auto"/>
          <w:sz w:val="20"/>
        </w:rPr>
        <w:br w:type="page"/>
      </w:r>
    </w:p>
    <w:p w14:paraId="2A79FD0C" w14:textId="77777777" w:rsidR="00E175F2" w:rsidRPr="00955E19" w:rsidRDefault="00E175F2" w:rsidP="00152D36">
      <w:bookmarkStart w:id="2" w:name="_Toc177450748"/>
      <w:bookmarkStart w:id="3" w:name="_Toc177450816"/>
      <w:bookmarkStart w:id="4" w:name="_Toc177451016"/>
      <w:bookmarkStart w:id="5" w:name="_Toc212621633"/>
      <w:bookmarkStart w:id="6" w:name="_Toc212867571"/>
      <w:bookmarkEnd w:id="2"/>
      <w:bookmarkEnd w:id="3"/>
      <w:bookmarkEnd w:id="4"/>
    </w:p>
    <w:p w14:paraId="24ED7B45" w14:textId="77777777" w:rsidR="00E175F2" w:rsidRPr="00955E19" w:rsidRDefault="00E175F2" w:rsidP="00251571">
      <w:pPr>
        <w:pStyle w:val="Heading1"/>
      </w:pPr>
      <w:bookmarkStart w:id="7" w:name="_Toc492995905"/>
      <w:r w:rsidRPr="00955E19">
        <w:t>1.</w:t>
      </w:r>
      <w:r w:rsidRPr="00955E19">
        <w:tab/>
        <w:t>ОТГОВОРНИ ЛИЦА</w:t>
      </w:r>
      <w:bookmarkEnd w:id="5"/>
      <w:bookmarkEnd w:id="6"/>
      <w:bookmarkEnd w:id="7"/>
    </w:p>
    <w:p w14:paraId="459ECB9A" w14:textId="77777777" w:rsidR="00E175F2" w:rsidRPr="00955E19" w:rsidRDefault="00E175F2" w:rsidP="00152D36">
      <w:pPr>
        <w:pStyle w:val="Heading2"/>
        <w:spacing w:line="240" w:lineRule="auto"/>
        <w:rPr>
          <w:spacing w:val="20"/>
        </w:rPr>
      </w:pPr>
      <w:bookmarkStart w:id="8" w:name="_Toc212867572"/>
      <w:bookmarkStart w:id="9" w:name="_Toc492995906"/>
      <w:r w:rsidRPr="00955E19">
        <w:rPr>
          <w:spacing w:val="20"/>
        </w:rPr>
        <w:t>1.1. Лица, отговарящи за информацията, дадена в Документа за предлаганите ценни книжа</w:t>
      </w:r>
      <w:bookmarkEnd w:id="8"/>
      <w:bookmarkEnd w:id="9"/>
    </w:p>
    <w:p w14:paraId="77F59BFF" w14:textId="77777777" w:rsidR="00E175F2" w:rsidRPr="00955E19" w:rsidRDefault="00E175F2" w:rsidP="00152D36">
      <w:pPr>
        <w:spacing w:before="100" w:after="200"/>
        <w:jc w:val="both"/>
        <w:rPr>
          <w:sz w:val="20"/>
        </w:rPr>
      </w:pPr>
      <w:r w:rsidRPr="00955E19">
        <w:rPr>
          <w:sz w:val="20"/>
        </w:rPr>
        <w:t>Членовете на Съвета на директорите на “ГЛЕНМООР КЕПИТАЛ” АДСИЦ – Гергана Атанасова Маринова, Асен Александров Величков и Валентина Николаева Димитрова, отговарят солидарно за вредите, причинени от неверни, заблуждаващи или непълни данни в целия Документ за предлаганите ценни книжа, съответно за цялата информация в него. Съставителят на финансовите отчети на Емитента – Валентина Николаева Димитрова, отговаря солидарно с лицата по предходното изречение за вреди, причинени от неверни, заблуждаващи или непълни данни във финансовите отчети, а регистрираният одитор на Дружеството – "ПРИМОРСКА ОДИТОРСКА КОМПАНИЯ" ООД, регистрирано специализирано одиторско предприятие, ЕИК 103599983, със седалище и адрес на управление: гр. Варна, район Одесос, ул. Струга № 23, ет. 7, ап. 226, представлявано от управителя Илия Неделчев Илиев – за вредите, причинени от одитираните от него финансови отчети</w:t>
      </w:r>
    </w:p>
    <w:p w14:paraId="246E89AA" w14:textId="77777777" w:rsidR="00E175F2" w:rsidRPr="00955E19" w:rsidRDefault="00E175F2" w:rsidP="00152D36">
      <w:pPr>
        <w:spacing w:before="100" w:after="200"/>
        <w:jc w:val="both"/>
        <w:rPr>
          <w:sz w:val="20"/>
        </w:rPr>
      </w:pPr>
      <w:r w:rsidRPr="00955E19">
        <w:rPr>
          <w:sz w:val="20"/>
        </w:rPr>
        <w:t>Отговорни за изготвянето и информацията в Документа за предлаганите ценни книжа са:</w:t>
      </w:r>
    </w:p>
    <w:p w14:paraId="3FA3F455" w14:textId="4A3A04F5" w:rsidR="00E175F2" w:rsidRPr="00955E19" w:rsidRDefault="00E175F2" w:rsidP="002C55EA">
      <w:pPr>
        <w:spacing w:after="200"/>
        <w:jc w:val="both"/>
        <w:rPr>
          <w:sz w:val="20"/>
        </w:rPr>
      </w:pPr>
      <w:bookmarkStart w:id="10" w:name="_Toc212867573"/>
      <w:r w:rsidRPr="00955E19">
        <w:rPr>
          <w:sz w:val="20"/>
        </w:rPr>
        <w:t xml:space="preserve">- </w:t>
      </w:r>
      <w:r w:rsidR="002E5567" w:rsidRPr="002E5567">
        <w:rPr>
          <w:sz w:val="20"/>
        </w:rPr>
        <w:t xml:space="preserve">Владимир Малчев </w:t>
      </w:r>
      <w:proofErr w:type="spellStart"/>
      <w:r w:rsidR="002E5567" w:rsidRPr="002E5567">
        <w:rPr>
          <w:sz w:val="20"/>
        </w:rPr>
        <w:t>Малчев</w:t>
      </w:r>
      <w:proofErr w:type="spellEnd"/>
      <w:r w:rsidR="002E5567" w:rsidRPr="002E5567">
        <w:rPr>
          <w:sz w:val="20"/>
        </w:rPr>
        <w:t xml:space="preserve"> </w:t>
      </w:r>
      <w:r w:rsidRPr="00955E19">
        <w:rPr>
          <w:sz w:val="20"/>
        </w:rPr>
        <w:t>– управител на ИП „ЪП ТРЕНД” ООД (с предишно наименование „БУЛ ТРЕНД БРОКЕРИДЖ” ООД);</w:t>
      </w:r>
    </w:p>
    <w:p w14:paraId="0FE135DA" w14:textId="77777777" w:rsidR="00E175F2" w:rsidRPr="00955E19" w:rsidRDefault="00E175F2" w:rsidP="002C55EA">
      <w:pPr>
        <w:spacing w:after="200"/>
        <w:jc w:val="both"/>
        <w:rPr>
          <w:sz w:val="20"/>
        </w:rPr>
      </w:pPr>
      <w:r w:rsidRPr="00955E19">
        <w:rPr>
          <w:sz w:val="20"/>
        </w:rPr>
        <w:t xml:space="preserve">- Гергана Атанасова Маринова – Изпълнителен директор на “ГЛЕНМООР КЕПИТАЛ” АДСИЦ </w:t>
      </w:r>
    </w:p>
    <w:p w14:paraId="4DDB9EEC" w14:textId="77777777" w:rsidR="00E175F2" w:rsidRPr="00955E19" w:rsidRDefault="00E175F2" w:rsidP="002C55EA">
      <w:pPr>
        <w:spacing w:after="200"/>
        <w:jc w:val="both"/>
        <w:rPr>
          <w:sz w:val="20"/>
        </w:rPr>
      </w:pPr>
      <w:r w:rsidRPr="00955E19">
        <w:rPr>
          <w:sz w:val="20"/>
        </w:rPr>
        <w:t xml:space="preserve">- Валентина Николаева Димитрова – съставител на финансовите отчети на “ГЛЕНМООР КЕПИТАЛ” АДСИЦ </w:t>
      </w:r>
    </w:p>
    <w:p w14:paraId="7D6C9C72" w14:textId="77777777" w:rsidR="00E175F2" w:rsidRPr="00955E19" w:rsidRDefault="00E175F2" w:rsidP="00152D36">
      <w:pPr>
        <w:pStyle w:val="Heading2"/>
        <w:spacing w:line="240" w:lineRule="auto"/>
        <w:rPr>
          <w:spacing w:val="20"/>
        </w:rPr>
      </w:pPr>
      <w:bookmarkStart w:id="11" w:name="_Toc492995907"/>
      <w:r w:rsidRPr="00955E19">
        <w:rPr>
          <w:spacing w:val="20"/>
        </w:rPr>
        <w:t>1.2. Декларация от лицата, които отговарят за Документа за предлаганите ценни книжа</w:t>
      </w:r>
      <w:bookmarkEnd w:id="10"/>
      <w:bookmarkEnd w:id="11"/>
    </w:p>
    <w:p w14:paraId="4ABAC404" w14:textId="77777777" w:rsidR="00E175F2" w:rsidRPr="00955E19" w:rsidRDefault="00E175F2" w:rsidP="00152D36">
      <w:pPr>
        <w:spacing w:before="100" w:after="200"/>
        <w:jc w:val="both"/>
        <w:rPr>
          <w:sz w:val="20"/>
        </w:rPr>
      </w:pPr>
      <w:r w:rsidRPr="00955E19">
        <w:rPr>
          <w:sz w:val="20"/>
        </w:rPr>
        <w:t>Посочените по-горе лица, отговорни за изготвянето и информацията в Документа за предлаганите ценни книжа, с полагане на подписите си на последната страница на настоящия документ, декларират, че след като са положили всички разумни грижи да се уверят, че случаят е такъв и информацията, съдържаща се в проспекта, дотолкова, доколкото им е известно, е в съответствие с фактите и не съдържа пропуск, който е вероятно да засегне нейното значение.</w:t>
      </w:r>
    </w:p>
    <w:p w14:paraId="79FE9801" w14:textId="77777777" w:rsidR="00E175F2" w:rsidRPr="00955E19" w:rsidRDefault="00E175F2" w:rsidP="00251571">
      <w:pPr>
        <w:pStyle w:val="Heading1"/>
      </w:pPr>
      <w:bookmarkStart w:id="12" w:name="_Toc212867574"/>
      <w:bookmarkStart w:id="13" w:name="_Toc492995908"/>
      <w:r w:rsidRPr="00955E19">
        <w:t>2.</w:t>
      </w:r>
      <w:r w:rsidRPr="00955E19">
        <w:tab/>
        <w:t>РИСКОВИ ФАКТОРИ</w:t>
      </w:r>
      <w:bookmarkEnd w:id="12"/>
      <w:bookmarkEnd w:id="13"/>
    </w:p>
    <w:p w14:paraId="371A544D" w14:textId="77777777" w:rsidR="00E175F2" w:rsidRPr="00955E19" w:rsidRDefault="00E175F2" w:rsidP="00152D36">
      <w:pPr>
        <w:spacing w:after="200"/>
        <w:jc w:val="both"/>
        <w:rPr>
          <w:sz w:val="20"/>
        </w:rPr>
      </w:pPr>
      <w:r w:rsidRPr="00955E19">
        <w:rPr>
          <w:sz w:val="20"/>
        </w:rPr>
        <w:t>В Регистрационния документ са описани рисковете, свързани с дейността на Емитента, а в настоящия Документ за ценните книжа са описани рисковете, за които всеки един инвеститор трябва да бъде информиран, преди да стане инвеститор в акции на Дружеството.</w:t>
      </w:r>
    </w:p>
    <w:p w14:paraId="0820E438" w14:textId="77777777" w:rsidR="00E175F2" w:rsidRPr="00955E19" w:rsidRDefault="00E175F2" w:rsidP="00152D36">
      <w:pPr>
        <w:spacing w:after="200"/>
        <w:jc w:val="both"/>
        <w:rPr>
          <w:sz w:val="20"/>
        </w:rPr>
      </w:pPr>
      <w:r w:rsidRPr="00955E19">
        <w:rPr>
          <w:sz w:val="20"/>
        </w:rPr>
        <w:t xml:space="preserve">Инвестицията в акции е свързана с висока степен на риск. Потенциалните инвеститори трябва да прочетат внимателно представената в Проспекта информация за рисковите фактори, характерни за акциите на Дружеството, както и целия документ, преди да вземат инвестиционно решение. Рисковите фактори могат да доведат до намаляване на пазарната цена на акциите на Дружеството и инвеститорите могат да загубят частично или изцяло своите инвестиции. Съществуват и други рискове и несигурни събития, които понастоящем не са известни или се считат за несъществени, които също могат да имат значителен неблагоприятен ефект върху дейността на “ГЛЕНМООР КЕПИТАЛ” АДСИЦ, резултатите от операциите или финансовото му състояние. </w:t>
      </w:r>
    </w:p>
    <w:p w14:paraId="70DFEE70" w14:textId="77777777" w:rsidR="00E175F2" w:rsidRPr="00955E19" w:rsidRDefault="00E175F2" w:rsidP="00152D36">
      <w:pPr>
        <w:spacing w:after="100" w:afterAutospacing="1"/>
        <w:rPr>
          <w:b/>
          <w:smallCaps/>
          <w:sz w:val="20"/>
        </w:rPr>
      </w:pPr>
      <w:r w:rsidRPr="00955E19">
        <w:rPr>
          <w:b/>
          <w:smallCaps/>
          <w:sz w:val="20"/>
        </w:rPr>
        <w:t>Рискове за акционерите</w:t>
      </w:r>
    </w:p>
    <w:p w14:paraId="59CB446F" w14:textId="77777777" w:rsidR="00E175F2" w:rsidRPr="00955E19" w:rsidRDefault="00E175F2" w:rsidP="00152D36">
      <w:pPr>
        <w:spacing w:after="200"/>
        <w:jc w:val="both"/>
        <w:rPr>
          <w:sz w:val="20"/>
        </w:rPr>
      </w:pPr>
      <w:r w:rsidRPr="00955E19">
        <w:rPr>
          <w:sz w:val="20"/>
        </w:rPr>
        <w:t xml:space="preserve">Рискът при инвестирането в акции се свързва с несигурността и невъзможността за точно предвиждане на възвращаемостта от направената инвестиция. </w:t>
      </w:r>
      <w:bookmarkStart w:id="14" w:name="OLE_LINK42"/>
      <w:bookmarkStart w:id="15" w:name="OLE_LINK43"/>
    </w:p>
    <w:p w14:paraId="660D3901" w14:textId="77777777" w:rsidR="00E175F2" w:rsidRPr="00955E19" w:rsidRDefault="00E175F2" w:rsidP="00152D36">
      <w:pPr>
        <w:spacing w:after="120"/>
        <w:jc w:val="both"/>
        <w:rPr>
          <w:b/>
          <w:sz w:val="20"/>
        </w:rPr>
      </w:pPr>
      <w:r w:rsidRPr="00955E19">
        <w:rPr>
          <w:b/>
          <w:sz w:val="20"/>
        </w:rPr>
        <w:t>Ценови риск</w:t>
      </w:r>
    </w:p>
    <w:p w14:paraId="2450BDAC" w14:textId="77777777" w:rsidR="00E175F2" w:rsidRPr="00955E19" w:rsidRDefault="00E175F2" w:rsidP="00152D36">
      <w:pPr>
        <w:spacing w:after="200"/>
        <w:jc w:val="both"/>
        <w:rPr>
          <w:sz w:val="20"/>
        </w:rPr>
      </w:pPr>
      <w:r w:rsidRPr="00955E19">
        <w:rPr>
          <w:sz w:val="20"/>
        </w:rPr>
        <w:t xml:space="preserve">След допускането до регулиран пазар, цената на акциите на “ГЛЕНМООР КЕПИТАЛ” АДСИЦ ще се определя в зависимост от търсенето и предлагането на акции на борсата, от финансовите резултати на Дружеството, от оповестените новини и събития. Вследствие на тези фактори цената на акциите може да нараства или намалява. Рискът за акционерите на “ГЛЕНМООР КЕПИТАЛ” АДСИЦ се изразява във </w:t>
      </w:r>
      <w:r w:rsidRPr="00955E19">
        <w:rPr>
          <w:sz w:val="20"/>
        </w:rPr>
        <w:lastRenderedPageBreak/>
        <w:t xml:space="preserve">възможността за реализиране на загуби вследствие на колебанията в цените на акциите. Тези колебания могат да бъдат резки и дългосрочни.  </w:t>
      </w:r>
    </w:p>
    <w:p w14:paraId="48892EF3" w14:textId="77777777" w:rsidR="00E175F2" w:rsidRPr="00955E19" w:rsidRDefault="00E175F2" w:rsidP="00152D36">
      <w:pPr>
        <w:spacing w:after="200"/>
        <w:jc w:val="both"/>
        <w:rPr>
          <w:sz w:val="20"/>
        </w:rPr>
      </w:pPr>
      <w:r w:rsidRPr="00955E19">
        <w:rPr>
          <w:sz w:val="20"/>
        </w:rPr>
        <w:t>Цените на борсово търгуваните акции като цяло се влияят от политическата обстановка в страната</w:t>
      </w:r>
      <w:r w:rsidRPr="00955E19">
        <w:rPr>
          <w:sz w:val="20"/>
          <w:lang w:val="ru-RU"/>
        </w:rPr>
        <w:t>,</w:t>
      </w:r>
      <w:r w:rsidRPr="00955E19">
        <w:rPr>
          <w:sz w:val="20"/>
        </w:rPr>
        <w:t xml:space="preserve"> региона</w:t>
      </w:r>
      <w:r w:rsidRPr="00955E19">
        <w:rPr>
          <w:sz w:val="20"/>
          <w:lang w:val="ru-RU"/>
        </w:rPr>
        <w:t>, ЕС (</w:t>
      </w:r>
      <w:proofErr w:type="spellStart"/>
      <w:r w:rsidRPr="00955E19">
        <w:rPr>
          <w:sz w:val="20"/>
          <w:lang w:val="ru-RU"/>
        </w:rPr>
        <w:t>като</w:t>
      </w:r>
      <w:proofErr w:type="spellEnd"/>
      <w:r w:rsidRPr="00955E19">
        <w:rPr>
          <w:sz w:val="20"/>
          <w:lang w:val="ru-RU"/>
        </w:rPr>
        <w:t xml:space="preserve"> </w:t>
      </w:r>
      <w:proofErr w:type="spellStart"/>
      <w:r w:rsidRPr="00955E19">
        <w:rPr>
          <w:sz w:val="20"/>
          <w:lang w:val="ru-RU"/>
        </w:rPr>
        <w:t>основен</w:t>
      </w:r>
      <w:proofErr w:type="spellEnd"/>
      <w:r w:rsidRPr="00955E19">
        <w:rPr>
          <w:sz w:val="20"/>
          <w:lang w:val="ru-RU"/>
        </w:rPr>
        <w:t xml:space="preserve"> </w:t>
      </w:r>
      <w:proofErr w:type="spellStart"/>
      <w:r w:rsidRPr="00955E19">
        <w:rPr>
          <w:sz w:val="20"/>
          <w:lang w:val="ru-RU"/>
        </w:rPr>
        <w:t>търговс</w:t>
      </w:r>
      <w:r w:rsidRPr="00955E19">
        <w:rPr>
          <w:sz w:val="20"/>
        </w:rPr>
        <w:t>ки</w:t>
      </w:r>
      <w:proofErr w:type="spellEnd"/>
      <w:r w:rsidRPr="00955E19">
        <w:rPr>
          <w:sz w:val="20"/>
        </w:rPr>
        <w:t xml:space="preserve"> партньор и източник на чуждестранни инвестиции), динамиката на лихвените равнища по различните видове финансови инструменти, тенденциите при недвижимите имоти и други алтернативни активи, промените в провежданата икономическа политика на правителството, промените в законодателството и инвестиционния климат. Акциите на “ГЛЕНМООР КЕПИТАЛ” АДСИЦ също биха могли да променят пазарната си цена в резултат на въздействието на тези фактори. </w:t>
      </w:r>
    </w:p>
    <w:p w14:paraId="51DAF459" w14:textId="77777777" w:rsidR="00E175F2" w:rsidRPr="00955E19" w:rsidRDefault="00E175F2" w:rsidP="00152D36">
      <w:pPr>
        <w:spacing w:after="200"/>
        <w:jc w:val="both"/>
        <w:rPr>
          <w:b/>
          <w:sz w:val="20"/>
        </w:rPr>
      </w:pPr>
      <w:r w:rsidRPr="00955E19">
        <w:rPr>
          <w:sz w:val="20"/>
        </w:rPr>
        <w:t xml:space="preserve">Дружеството не би могло и не гарантира, че цената на предлаганите от него обикновени акции ще се повиши във времето. “ГЛЕНМООР КЕПИТАЛ” АДСИЦ няма да осъществява обратно изкупуване на ценните книжа с цел запазване или повишаване на текущите пазарни цени. </w:t>
      </w:r>
    </w:p>
    <w:p w14:paraId="57DCCC87" w14:textId="77777777" w:rsidR="00E175F2" w:rsidRPr="00955E19" w:rsidRDefault="00E175F2" w:rsidP="00152D36">
      <w:pPr>
        <w:spacing w:after="120"/>
        <w:jc w:val="both"/>
        <w:rPr>
          <w:b/>
          <w:bCs/>
          <w:sz w:val="20"/>
        </w:rPr>
      </w:pPr>
      <w:r w:rsidRPr="00955E19">
        <w:rPr>
          <w:b/>
          <w:bCs/>
          <w:sz w:val="20"/>
        </w:rPr>
        <w:t xml:space="preserve">Рискове, свързани с българския пазар на ценни книжа  </w:t>
      </w:r>
    </w:p>
    <w:p w14:paraId="4C9F3AD9" w14:textId="0F758A00" w:rsidR="00E175F2" w:rsidRPr="00955E19" w:rsidRDefault="00E175F2" w:rsidP="00152D36">
      <w:pPr>
        <w:spacing w:after="120"/>
        <w:jc w:val="both"/>
        <w:rPr>
          <w:sz w:val="20"/>
        </w:rPr>
      </w:pPr>
      <w:r w:rsidRPr="00955E19">
        <w:rPr>
          <w:sz w:val="20"/>
        </w:rPr>
        <w:t xml:space="preserve">Проникването на услугите на капиталовия пазар в България е незначително в сравнение с по-развитите икономически държави. Българският капиталов пазар все още не е </w:t>
      </w:r>
      <w:r w:rsidR="001A199D" w:rsidRPr="00955E19">
        <w:rPr>
          <w:sz w:val="20"/>
        </w:rPr>
        <w:t>разпознат</w:t>
      </w:r>
      <w:r w:rsidRPr="00955E19">
        <w:rPr>
          <w:sz w:val="20"/>
        </w:rPr>
        <w:t xml:space="preserve"> като достатъчно добра алтернатива на спестяванията под формата на депозити и на </w:t>
      </w:r>
      <w:r w:rsidR="001A199D" w:rsidRPr="00955E19">
        <w:rPr>
          <w:sz w:val="20"/>
        </w:rPr>
        <w:t>инвестициите</w:t>
      </w:r>
      <w:r w:rsidRPr="00955E19">
        <w:rPr>
          <w:sz w:val="20"/>
        </w:rPr>
        <w:t xml:space="preserve"> в недвижимите имоти. Възможно е инвеститорите да разполагат с по-малко информация за българския пазар на ценни книжа, отколкото е налична за дружества на други пазари на ценни книжа. Комисията за финансов надзор следи за разкриването на информация и спазването на другите регулативни стандарти на българския пазар на ценни книжа, за спазването на законите и издава наредби и указания за задълженията относно разкриване на информация, търговията с ценни книжа при наличието на вътрешна информация и други въпроси. Все пак е възможно да има по-малко публично достъпна информация за българските дружества, отколкото обикновено се предоставя на разположение на инвеститорите от публичните дружества на другите пазари на ценни книжа, което може да се отрази на пазара на акциите.</w:t>
      </w:r>
    </w:p>
    <w:p w14:paraId="13A16E93" w14:textId="77777777" w:rsidR="00E175F2" w:rsidRPr="00955E19" w:rsidRDefault="00E175F2" w:rsidP="00152D36">
      <w:pPr>
        <w:spacing w:after="120"/>
        <w:jc w:val="both"/>
        <w:rPr>
          <w:b/>
          <w:bCs/>
          <w:sz w:val="20"/>
        </w:rPr>
      </w:pPr>
      <w:r w:rsidRPr="00955E19">
        <w:rPr>
          <w:b/>
          <w:bCs/>
          <w:sz w:val="20"/>
        </w:rPr>
        <w:t>Ликвиден риск</w:t>
      </w:r>
    </w:p>
    <w:p w14:paraId="331BCBC7" w14:textId="77777777" w:rsidR="00E175F2" w:rsidRPr="00955E19" w:rsidRDefault="00E175F2" w:rsidP="00152D36">
      <w:pPr>
        <w:spacing w:after="200"/>
        <w:jc w:val="both"/>
        <w:rPr>
          <w:rStyle w:val="FontStyle107"/>
          <w:rFonts w:ascii="Times New Roman" w:hAnsi="Times New Roman"/>
          <w:b w:val="0"/>
          <w:i w:val="0"/>
        </w:rPr>
      </w:pPr>
      <w:r w:rsidRPr="00955E19">
        <w:rPr>
          <w:sz w:val="20"/>
        </w:rPr>
        <w:t>Ликвидният риск за инвеститорите се изразява в несигурността за наличието на активно пазарно търсене на акциите на “ГЛЕНМООР КЕПИТАЛ” АДСИЦ през определен период от време. В резултат на липсата на активна търговия и слабия интерес към акциите на Дружеството, цената им може да се понижи, а акционерите да реализират загуби. Инвеститорите следва да имат предвид, че в даден момент при липса на адекватно пазарно търсене могат да не успеят да продадат всички или част от акциите си на желаната от тях цена. Нивото на ликвидност на акциите на Дружеството зависи както от тяхната атрактивност, така и от общото състояние на капиталовия пазар в страната.</w:t>
      </w:r>
    </w:p>
    <w:p w14:paraId="4C656AFB" w14:textId="77777777" w:rsidR="00E175F2" w:rsidRPr="00955E19" w:rsidRDefault="00E175F2" w:rsidP="00152D36">
      <w:pPr>
        <w:pStyle w:val="Style6"/>
        <w:widowControl/>
        <w:spacing w:after="120" w:line="240" w:lineRule="auto"/>
        <w:rPr>
          <w:rStyle w:val="FontStyle107"/>
          <w:rFonts w:ascii="Times New Roman" w:hAnsi="Times New Roman"/>
          <w:bCs/>
          <w:i w:val="0"/>
          <w:iCs/>
          <w:szCs w:val="20"/>
          <w:lang w:val="bg-BG" w:eastAsia="bg-BG"/>
        </w:rPr>
      </w:pPr>
      <w:r w:rsidRPr="00955E19">
        <w:rPr>
          <w:rStyle w:val="FontStyle107"/>
          <w:rFonts w:ascii="Times New Roman" w:hAnsi="Times New Roman"/>
          <w:bCs/>
          <w:i w:val="0"/>
          <w:iCs/>
          <w:szCs w:val="20"/>
          <w:lang w:val="bg-BG" w:eastAsia="bg-BG"/>
        </w:rPr>
        <w:t xml:space="preserve">Валутен риск </w:t>
      </w:r>
    </w:p>
    <w:p w14:paraId="69C60948" w14:textId="77777777" w:rsidR="00E175F2" w:rsidRPr="00955E19" w:rsidRDefault="00E175F2" w:rsidP="00152D36">
      <w:pPr>
        <w:spacing w:after="200"/>
        <w:jc w:val="both"/>
        <w:rPr>
          <w:sz w:val="20"/>
        </w:rPr>
      </w:pPr>
      <w:r w:rsidRPr="00955E19">
        <w:rPr>
          <w:sz w:val="20"/>
        </w:rPr>
        <w:t>Валутният риск, който носят акциите на “ГЛЕНМООР КЕПИТАЛ” АДСИЦ, произтича от това, че те са деноминирани в български лева. Промяната на валутния курс на лева спрямо друга валута би променила доходността, която инвеститорите очакват да получат. Евентуално обезценяване на лева би довело до намаляване на доходността от инвестирането в акции на Дружеството. От друга страна, намаляването на доходността би довело до спад в инвеститорския интерес и съответно до намаляване на цените на акциите. Фактът, че българският лев законово е фиксиран към еврото, в условията на паричен съвет, премахва до голяма степен валутния риск и обуславя движение на лева спрямо останалите международни валути, подчинено изцяло на поведението на общата европейска валута. До премахването на системата на валутен борд в страната, валутният риск при инвестиране в акции на Дружеството ще бъде сведен до риска от обезценка на еврото.</w:t>
      </w:r>
    </w:p>
    <w:p w14:paraId="6D5EF0C9" w14:textId="77777777" w:rsidR="00E175F2" w:rsidRPr="00955E19" w:rsidRDefault="00E175F2" w:rsidP="00152D36">
      <w:pPr>
        <w:spacing w:after="120"/>
        <w:jc w:val="both"/>
        <w:rPr>
          <w:b/>
          <w:sz w:val="20"/>
        </w:rPr>
      </w:pPr>
      <w:r w:rsidRPr="00955E19">
        <w:rPr>
          <w:b/>
          <w:sz w:val="20"/>
        </w:rPr>
        <w:t>Липса на гаранция за изплащане на дивиденти</w:t>
      </w:r>
    </w:p>
    <w:p w14:paraId="6E4842DB" w14:textId="77777777" w:rsidR="00E175F2" w:rsidRPr="00955E19" w:rsidRDefault="00E175F2" w:rsidP="00152D36">
      <w:pPr>
        <w:spacing w:after="200"/>
        <w:jc w:val="both"/>
        <w:rPr>
          <w:sz w:val="20"/>
        </w:rPr>
      </w:pPr>
      <w:r w:rsidRPr="00955E19">
        <w:rPr>
          <w:sz w:val="20"/>
        </w:rPr>
        <w:t>Изплащането на дивидент зависи от финансовото състояние на Дружеството, съответно от реализирането на положителен финансов резултат от дейността. Съгласно Закона за дружествата със специална инвестиционна цел, минимум 90 % от реализираната чиста печалба за годината се разпределя под формата на дивидент. Печалбата, формирана от преоценка на активите, не подлежи на разпределяне за дивиденти, тъй като няма получен реален паричен поток.</w:t>
      </w:r>
    </w:p>
    <w:p w14:paraId="6539C4DE" w14:textId="77777777" w:rsidR="00E175F2" w:rsidRPr="00955E19" w:rsidRDefault="00E175F2" w:rsidP="00152D36">
      <w:pPr>
        <w:spacing w:after="120"/>
        <w:jc w:val="both"/>
        <w:rPr>
          <w:b/>
          <w:sz w:val="20"/>
        </w:rPr>
      </w:pPr>
      <w:r w:rsidRPr="00955E19">
        <w:rPr>
          <w:b/>
          <w:sz w:val="20"/>
        </w:rPr>
        <w:t>Допълнително финансиране чрез акции може да има „Разводняващ ефект” за акционерите на Дружеството</w:t>
      </w:r>
    </w:p>
    <w:p w14:paraId="7442557B" w14:textId="77777777" w:rsidR="00E175F2" w:rsidRPr="00955E19" w:rsidRDefault="00E175F2" w:rsidP="00152D36">
      <w:pPr>
        <w:spacing w:after="200"/>
        <w:jc w:val="both"/>
        <w:rPr>
          <w:sz w:val="20"/>
        </w:rPr>
      </w:pPr>
      <w:r w:rsidRPr="00955E19">
        <w:rPr>
          <w:sz w:val="20"/>
        </w:rPr>
        <w:lastRenderedPageBreak/>
        <w:t xml:space="preserve">“ГЛЕНМООР КЕПИТАЛ” АДСИЦ може да издава допълнителни обикновени акции при последващи увеличения на капитала. Съгласно българското законодателство и правилата на фондовата борса, Дружеството е длъжно да предложи тези обикновени акции на настоящите акционери съгласно правото им да придобият част от новите акции, съответстващи на дела им в капитала преди увеличението, чрез издаването на права. По този начин всеки желаещ собственик на акции в “ГЛЕНМООР КЕПИТАЛ” АДСИЦ може да запази дела си в Дружеството при равностойно третиране на всички акционери. Независимо от това, настоящите акционери могат да изберат да не участват в бъдещо емитиране на обикновени акции, което ще доведе до „разводняване” на текущото им участие в “ГЛЕНМООР КЕПИТАЛ” АДСИЦ, т.е. техният дял в Дружеството ще се намали. </w:t>
      </w:r>
    </w:p>
    <w:p w14:paraId="2FD651E9" w14:textId="77777777" w:rsidR="00E175F2" w:rsidRPr="00955E19" w:rsidRDefault="00E175F2" w:rsidP="00152D36">
      <w:pPr>
        <w:spacing w:after="120"/>
        <w:jc w:val="both"/>
        <w:rPr>
          <w:b/>
          <w:bCs/>
          <w:sz w:val="20"/>
        </w:rPr>
      </w:pPr>
      <w:r w:rsidRPr="00955E19">
        <w:rPr>
          <w:b/>
          <w:bCs/>
          <w:sz w:val="20"/>
        </w:rPr>
        <w:t>Значителни сделки с акции на Дружеството могат да повлияят на тяхната пазарна цена</w:t>
      </w:r>
    </w:p>
    <w:p w14:paraId="4C1125CB" w14:textId="77777777" w:rsidR="00E175F2" w:rsidRPr="00955E19" w:rsidRDefault="00E175F2" w:rsidP="00152D36">
      <w:pPr>
        <w:spacing w:after="200"/>
        <w:jc w:val="both"/>
        <w:rPr>
          <w:sz w:val="20"/>
        </w:rPr>
      </w:pPr>
      <w:r w:rsidRPr="00955E19">
        <w:rPr>
          <w:sz w:val="20"/>
        </w:rPr>
        <w:t>Ако значителен брой от акциите се предложат за продажба, борсовата цена на акциите може да се понижи. Продажби на допълнителни акции на борсовия пазар след предлагането могат неблагоприятно да засегнат пазарната цена на акциите. Очакването, че такива значителни продажби могат да настъпят, може да се отрази неблагоприятно на пазарната цена на акциите. Такива продажби могат също да изправят “ГЛЕНМООР КЕПИТАЛ” АДСИЦ пред затруднения да издава нови акции в бъдеще, когато и на каквато цена Дружеството смята за подходяща.</w:t>
      </w:r>
    </w:p>
    <w:p w14:paraId="48E3C7E5" w14:textId="77777777" w:rsidR="00E175F2" w:rsidRPr="00955E19" w:rsidRDefault="00E175F2" w:rsidP="00EA02C4">
      <w:pPr>
        <w:spacing w:after="120"/>
        <w:jc w:val="both"/>
        <w:rPr>
          <w:b/>
          <w:bCs/>
          <w:sz w:val="20"/>
        </w:rPr>
      </w:pPr>
      <w:r w:rsidRPr="00955E19">
        <w:rPr>
          <w:b/>
          <w:bCs/>
          <w:sz w:val="20"/>
        </w:rPr>
        <w:t>Риск от невъзможност за упражняване на права при настоящото и бъдещо увеличение на капитала на емитента</w:t>
      </w:r>
    </w:p>
    <w:p w14:paraId="65786C4A" w14:textId="082BA52B" w:rsidR="00E175F2" w:rsidRPr="00955E19" w:rsidRDefault="00E175F2" w:rsidP="00AD1F0A">
      <w:pPr>
        <w:spacing w:after="200"/>
        <w:jc w:val="both"/>
        <w:rPr>
          <w:sz w:val="20"/>
        </w:rPr>
      </w:pPr>
      <w:r w:rsidRPr="00955E19">
        <w:rPr>
          <w:sz w:val="20"/>
        </w:rPr>
        <w:t>Доколкото, съгласно условията на предлагането, съотношението между издаваните права и една нова акция е право/акция  1/1, не съществува риск настоящи акционери, притежаващи по-малко акции (съответно права) от изискуемото за записване на една акция при настоящото увеличение на капитала на Емитента да не могат да упражнят правата си и да участват в увеличението на капитала на Емитента. Такъв риск съществува при  бъдещи увеличения на капитала на Емитента, к</w:t>
      </w:r>
      <w:r w:rsidR="001A199D" w:rsidRPr="00955E19">
        <w:rPr>
          <w:sz w:val="20"/>
        </w:rPr>
        <w:t>о</w:t>
      </w:r>
      <w:r w:rsidRPr="00955E19">
        <w:rPr>
          <w:sz w:val="20"/>
        </w:rPr>
        <w:t>гато съотношението е различно от „едно.</w:t>
      </w:r>
    </w:p>
    <w:p w14:paraId="57DF3364" w14:textId="77777777" w:rsidR="00E175F2" w:rsidRPr="00955E19" w:rsidRDefault="00E175F2" w:rsidP="00251571">
      <w:pPr>
        <w:pStyle w:val="Heading1"/>
      </w:pPr>
      <w:bookmarkStart w:id="16" w:name="_Toc492995909"/>
      <w:bookmarkEnd w:id="14"/>
      <w:bookmarkEnd w:id="15"/>
      <w:r w:rsidRPr="00955E19">
        <w:t>3.</w:t>
      </w:r>
      <w:r w:rsidRPr="00955E19">
        <w:tab/>
        <w:t>СЪЩЕСТВЕНА  ИНФОРМАЦИЯ</w:t>
      </w:r>
      <w:bookmarkEnd w:id="16"/>
    </w:p>
    <w:p w14:paraId="28C35B5F" w14:textId="77777777" w:rsidR="00E175F2" w:rsidRPr="00955E19" w:rsidRDefault="00E175F2" w:rsidP="00152D36">
      <w:pPr>
        <w:pStyle w:val="Heading2"/>
        <w:spacing w:line="240" w:lineRule="auto"/>
        <w:rPr>
          <w:spacing w:val="20"/>
        </w:rPr>
      </w:pPr>
      <w:bookmarkStart w:id="17" w:name="_Toc212867575"/>
      <w:bookmarkStart w:id="18" w:name="_Toc492995910"/>
      <w:r w:rsidRPr="00955E19">
        <w:rPr>
          <w:spacing w:val="20"/>
        </w:rPr>
        <w:t>3.1. Декларация за оборотния капитал</w:t>
      </w:r>
      <w:bookmarkEnd w:id="17"/>
      <w:bookmarkEnd w:id="18"/>
    </w:p>
    <w:p w14:paraId="69950F65" w14:textId="77777777" w:rsidR="00E175F2" w:rsidRPr="00955E19" w:rsidRDefault="00E175F2" w:rsidP="00152D36">
      <w:pPr>
        <w:spacing w:after="200"/>
        <w:jc w:val="both"/>
        <w:rPr>
          <w:sz w:val="20"/>
        </w:rPr>
      </w:pPr>
      <w:r w:rsidRPr="00955E19">
        <w:rPr>
          <w:sz w:val="20"/>
        </w:rPr>
        <w:t xml:space="preserve">Гергана Атанасова Маринова, в качеството й на изпълнителен директор и представляващ  “ГЛЕНМООР КЕПИТАЛ” АДСИЦ, с подписа си в края на Документа за предлаганите ценни книжа, декларира, че по нейно мнение, оборотният капитал е достатъчен за настоящите нужди на Емитента. </w:t>
      </w:r>
    </w:p>
    <w:p w14:paraId="167C8543" w14:textId="77777777" w:rsidR="00E175F2" w:rsidRPr="00955E19" w:rsidRDefault="00E175F2" w:rsidP="00152D36">
      <w:pPr>
        <w:pStyle w:val="Heading2"/>
        <w:spacing w:line="240" w:lineRule="auto"/>
        <w:rPr>
          <w:spacing w:val="20"/>
        </w:rPr>
      </w:pPr>
      <w:bookmarkStart w:id="19" w:name="_Toc212867576"/>
      <w:bookmarkStart w:id="20" w:name="_Toc492995911"/>
      <w:r w:rsidRPr="00955E19">
        <w:rPr>
          <w:spacing w:val="20"/>
        </w:rPr>
        <w:t>3.2. Капитализация и задлъжнялост</w:t>
      </w:r>
      <w:bookmarkEnd w:id="19"/>
      <w:bookmarkEnd w:id="20"/>
      <w:r w:rsidRPr="00955E19">
        <w:rPr>
          <w:spacing w:val="20"/>
        </w:rPr>
        <w:t xml:space="preserve"> </w:t>
      </w:r>
    </w:p>
    <w:p w14:paraId="42112093" w14:textId="77777777" w:rsidR="00E175F2" w:rsidRPr="00955E19" w:rsidRDefault="00E175F2" w:rsidP="00152D36">
      <w:pPr>
        <w:jc w:val="both"/>
        <w:rPr>
          <w:sz w:val="20"/>
        </w:rPr>
      </w:pPr>
    </w:p>
    <w:p w14:paraId="261B7AF3" w14:textId="0547BD36" w:rsidR="00E175F2" w:rsidRPr="00955E19" w:rsidRDefault="00E175F2" w:rsidP="00152D36">
      <w:pPr>
        <w:jc w:val="both"/>
        <w:rPr>
          <w:sz w:val="20"/>
        </w:rPr>
      </w:pPr>
      <w:r w:rsidRPr="00955E19">
        <w:rPr>
          <w:sz w:val="20"/>
        </w:rPr>
        <w:t xml:space="preserve">“ГЛЕНМООР КЕПИТАЛ” АДСИЦ е учредено на 7 март 2017 г. и вписано в Търговския регистър към Агенция по вписванията на 21 март 2017 г. Дружеството още не е стартирало активна дейност. Към датата на настоящия документ „ГЛЕНМООР КЕПИТАЛ ” АДСИЦ </w:t>
      </w:r>
      <w:r w:rsidR="00ED474F" w:rsidRPr="00955E19">
        <w:rPr>
          <w:sz w:val="20"/>
        </w:rPr>
        <w:t xml:space="preserve">разполага със </w:t>
      </w:r>
      <w:r w:rsidRPr="00955E19">
        <w:rPr>
          <w:sz w:val="20"/>
        </w:rPr>
        <w:t xml:space="preserve">собствен капитал в размер на </w:t>
      </w:r>
      <w:r w:rsidR="00ED474F" w:rsidRPr="00955E19">
        <w:rPr>
          <w:sz w:val="20"/>
        </w:rPr>
        <w:t xml:space="preserve">498 </w:t>
      </w:r>
      <w:r w:rsidRPr="00955E19">
        <w:rPr>
          <w:sz w:val="20"/>
        </w:rPr>
        <w:t xml:space="preserve">хил. лв., внесен основен капитал от 500 хил. лв. </w:t>
      </w:r>
      <w:r w:rsidR="003E2437" w:rsidRPr="00955E19">
        <w:rPr>
          <w:sz w:val="20"/>
        </w:rPr>
        <w:t>Към 30</w:t>
      </w:r>
      <w:r w:rsidRPr="00955E19">
        <w:rPr>
          <w:sz w:val="20"/>
        </w:rPr>
        <w:t>.</w:t>
      </w:r>
      <w:r w:rsidR="003E2437" w:rsidRPr="00955E19">
        <w:rPr>
          <w:sz w:val="20"/>
        </w:rPr>
        <w:t>06</w:t>
      </w:r>
      <w:r w:rsidRPr="00955E19">
        <w:rPr>
          <w:sz w:val="20"/>
        </w:rPr>
        <w:t xml:space="preserve">.2017 г. „ГЛЕНМООР КЕПИТАЛ ” АДСИЦ </w:t>
      </w:r>
      <w:r w:rsidR="003E2437" w:rsidRPr="00955E19">
        <w:rPr>
          <w:sz w:val="20"/>
        </w:rPr>
        <w:t xml:space="preserve">е формирало текущи задължения в размер на хиляда лева и загуба </w:t>
      </w:r>
      <w:r w:rsidR="00B25D75" w:rsidRPr="00955E19">
        <w:rPr>
          <w:sz w:val="20"/>
        </w:rPr>
        <w:t>от</w:t>
      </w:r>
      <w:r w:rsidR="003E2437" w:rsidRPr="00955E19">
        <w:rPr>
          <w:sz w:val="20"/>
        </w:rPr>
        <w:t xml:space="preserve"> две хиляди лева.</w:t>
      </w:r>
      <w:r w:rsidRPr="00955E19">
        <w:rPr>
          <w:sz w:val="20"/>
        </w:rPr>
        <w:t xml:space="preserve"> </w:t>
      </w:r>
    </w:p>
    <w:p w14:paraId="07488410" w14:textId="77777777" w:rsidR="00E175F2" w:rsidRPr="00955E19" w:rsidRDefault="00E175F2" w:rsidP="00152D36">
      <w:pPr>
        <w:jc w:val="both"/>
        <w:rPr>
          <w:sz w:val="20"/>
        </w:rPr>
      </w:pPr>
    </w:p>
    <w:p w14:paraId="03FF0DBE" w14:textId="4DECC521" w:rsidR="00E175F2" w:rsidRPr="00955E19" w:rsidRDefault="00E175F2" w:rsidP="00152D36">
      <w:pPr>
        <w:jc w:val="both"/>
        <w:rPr>
          <w:sz w:val="20"/>
        </w:rPr>
      </w:pPr>
      <w:r w:rsidRPr="00955E19">
        <w:rPr>
          <w:sz w:val="20"/>
        </w:rPr>
        <w:t xml:space="preserve">Представените в следващите таблици финансови показатели за капитализация и задлъжнялост на Дружеството се основават на данните от одитирания междинен финансов отчет на “ГЛЕНМООР КЕПИТАЛ” АДСИЦ за периода </w:t>
      </w:r>
      <w:r w:rsidR="00EF33A9" w:rsidRPr="00955E19">
        <w:rPr>
          <w:sz w:val="20"/>
        </w:rPr>
        <w:t>21</w:t>
      </w:r>
      <w:r w:rsidRPr="00955E19">
        <w:rPr>
          <w:sz w:val="20"/>
        </w:rPr>
        <w:t>.</w:t>
      </w:r>
      <w:r w:rsidR="00EF33A9" w:rsidRPr="00955E19">
        <w:rPr>
          <w:sz w:val="20"/>
        </w:rPr>
        <w:t>03</w:t>
      </w:r>
      <w:r w:rsidRPr="00955E19">
        <w:rPr>
          <w:sz w:val="20"/>
        </w:rPr>
        <w:t>.2017-</w:t>
      </w:r>
      <w:r w:rsidR="00EF33A9" w:rsidRPr="00955E19">
        <w:rPr>
          <w:sz w:val="20"/>
        </w:rPr>
        <w:t>30</w:t>
      </w:r>
      <w:r w:rsidRPr="00955E19">
        <w:rPr>
          <w:sz w:val="20"/>
        </w:rPr>
        <w:t>.</w:t>
      </w:r>
      <w:r w:rsidR="00EF33A9" w:rsidRPr="00955E19">
        <w:rPr>
          <w:sz w:val="20"/>
        </w:rPr>
        <w:t>06</w:t>
      </w:r>
      <w:r w:rsidRPr="00955E19">
        <w:rPr>
          <w:sz w:val="20"/>
        </w:rPr>
        <w:t xml:space="preserve">.2017 г. </w:t>
      </w:r>
    </w:p>
    <w:p w14:paraId="6ABEE0C7" w14:textId="77777777" w:rsidR="00E175F2" w:rsidRPr="00955E19" w:rsidRDefault="00E175F2" w:rsidP="00152D36">
      <w:pPr>
        <w:jc w:val="both"/>
        <w:rPr>
          <w:sz w:val="20"/>
        </w:rPr>
      </w:pPr>
    </w:p>
    <w:p w14:paraId="37C21952" w14:textId="77777777" w:rsidR="00E175F2" w:rsidRPr="00955E19" w:rsidRDefault="00E175F2" w:rsidP="00152D36">
      <w:pPr>
        <w:spacing w:after="60"/>
        <w:jc w:val="both"/>
        <w:rPr>
          <w:sz w:val="20"/>
        </w:rPr>
      </w:pPr>
      <w:r w:rsidRPr="00955E19">
        <w:rPr>
          <w:b/>
          <w:sz w:val="20"/>
        </w:rPr>
        <w:t>Таблица № 1:</w:t>
      </w:r>
      <w:r w:rsidRPr="00955E19">
        <w:rPr>
          <w:sz w:val="20"/>
        </w:rPr>
        <w:t xml:space="preserve"> Капиталова структура на “ГЛЕНМООР КЕПИТАЛ” АДСИЦ.</w:t>
      </w:r>
    </w:p>
    <w:tbl>
      <w:tblPr>
        <w:tblW w:w="5352" w:type="dxa"/>
        <w:tblInd w:w="113" w:type="dxa"/>
        <w:tblLayout w:type="fixed"/>
        <w:tblCellMar>
          <w:left w:w="70" w:type="dxa"/>
          <w:right w:w="70" w:type="dxa"/>
        </w:tblCellMar>
        <w:tblLook w:val="00A0" w:firstRow="1" w:lastRow="0" w:firstColumn="1" w:lastColumn="0" w:noHBand="0" w:noVBand="0"/>
      </w:tblPr>
      <w:tblGrid>
        <w:gridCol w:w="4106"/>
        <w:gridCol w:w="1246"/>
      </w:tblGrid>
      <w:tr w:rsidR="00E175F2" w:rsidRPr="00955E19" w14:paraId="62EF2BF3" w14:textId="77777777" w:rsidTr="00E37D49">
        <w:trPr>
          <w:trHeight w:val="255"/>
        </w:trPr>
        <w:tc>
          <w:tcPr>
            <w:tcW w:w="4106" w:type="dxa"/>
            <w:tcBorders>
              <w:top w:val="nil"/>
              <w:left w:val="nil"/>
              <w:bottom w:val="nil"/>
              <w:right w:val="nil"/>
            </w:tcBorders>
            <w:shd w:val="clear" w:color="000000" w:fill="1F497D"/>
            <w:noWrap/>
            <w:vAlign w:val="bottom"/>
          </w:tcPr>
          <w:p w14:paraId="2C522F43" w14:textId="77777777" w:rsidR="00E175F2" w:rsidRPr="00955E19" w:rsidRDefault="00E175F2" w:rsidP="004F5307">
            <w:pPr>
              <w:rPr>
                <w:color w:val="FFFFFF"/>
                <w:sz w:val="20"/>
                <w:lang w:eastAsia="bg-BG"/>
              </w:rPr>
            </w:pPr>
            <w:r w:rsidRPr="00955E19">
              <w:rPr>
                <w:color w:val="FFFFFF"/>
                <w:sz w:val="20"/>
                <w:lang w:eastAsia="bg-BG"/>
              </w:rPr>
              <w:t> </w:t>
            </w:r>
          </w:p>
        </w:tc>
        <w:tc>
          <w:tcPr>
            <w:tcW w:w="1246" w:type="dxa"/>
            <w:tcBorders>
              <w:top w:val="nil"/>
              <w:left w:val="nil"/>
              <w:bottom w:val="nil"/>
              <w:right w:val="nil"/>
            </w:tcBorders>
            <w:shd w:val="clear" w:color="000000" w:fill="1F497D"/>
            <w:noWrap/>
            <w:vAlign w:val="bottom"/>
          </w:tcPr>
          <w:p w14:paraId="67EBFA53" w14:textId="77777777" w:rsidR="00E175F2" w:rsidRPr="00955E19" w:rsidRDefault="0095459D" w:rsidP="0095459D">
            <w:pPr>
              <w:jc w:val="center"/>
              <w:rPr>
                <w:b/>
                <w:bCs/>
                <w:color w:val="FFFFFF"/>
                <w:sz w:val="20"/>
                <w:lang w:eastAsia="bg-BG"/>
              </w:rPr>
            </w:pPr>
            <w:r w:rsidRPr="00955E19">
              <w:rPr>
                <w:b/>
                <w:bCs/>
                <w:color w:val="FFFFFF"/>
                <w:sz w:val="20"/>
                <w:lang w:eastAsia="bg-BG"/>
              </w:rPr>
              <w:t>30</w:t>
            </w:r>
            <w:r w:rsidR="00E175F2" w:rsidRPr="00955E19">
              <w:rPr>
                <w:b/>
                <w:bCs/>
                <w:color w:val="FFFFFF"/>
                <w:sz w:val="20"/>
                <w:lang w:eastAsia="bg-BG"/>
              </w:rPr>
              <w:t>.</w:t>
            </w:r>
            <w:r w:rsidRPr="00955E19">
              <w:rPr>
                <w:b/>
                <w:bCs/>
                <w:color w:val="FFFFFF"/>
                <w:sz w:val="20"/>
                <w:lang w:eastAsia="bg-BG"/>
              </w:rPr>
              <w:t>06</w:t>
            </w:r>
            <w:r w:rsidR="00E175F2" w:rsidRPr="00955E19">
              <w:rPr>
                <w:b/>
                <w:bCs/>
                <w:color w:val="FFFFFF"/>
                <w:sz w:val="20"/>
                <w:lang w:eastAsia="bg-BG"/>
              </w:rPr>
              <w:t>.2017</w:t>
            </w:r>
          </w:p>
        </w:tc>
      </w:tr>
      <w:tr w:rsidR="00E175F2" w:rsidRPr="00955E19" w14:paraId="4B8FF2C0" w14:textId="77777777" w:rsidTr="00E37D49">
        <w:trPr>
          <w:trHeight w:val="270"/>
        </w:trPr>
        <w:tc>
          <w:tcPr>
            <w:tcW w:w="4106" w:type="dxa"/>
            <w:tcBorders>
              <w:top w:val="nil"/>
              <w:left w:val="nil"/>
              <w:bottom w:val="nil"/>
              <w:right w:val="nil"/>
            </w:tcBorders>
            <w:shd w:val="clear" w:color="000000" w:fill="D9D9D9"/>
            <w:noWrap/>
            <w:vAlign w:val="bottom"/>
          </w:tcPr>
          <w:p w14:paraId="0C75F567" w14:textId="77777777" w:rsidR="00E175F2" w:rsidRPr="00955E19" w:rsidRDefault="00E175F2" w:rsidP="004F5307">
            <w:pPr>
              <w:rPr>
                <w:sz w:val="20"/>
                <w:lang w:eastAsia="bg-BG"/>
              </w:rPr>
            </w:pPr>
            <w:r w:rsidRPr="00955E19">
              <w:rPr>
                <w:sz w:val="20"/>
                <w:lang w:eastAsia="bg-BG"/>
              </w:rPr>
              <w:t> </w:t>
            </w:r>
          </w:p>
        </w:tc>
        <w:tc>
          <w:tcPr>
            <w:tcW w:w="1246" w:type="dxa"/>
            <w:tcBorders>
              <w:top w:val="nil"/>
              <w:left w:val="nil"/>
              <w:bottom w:val="nil"/>
              <w:right w:val="nil"/>
            </w:tcBorders>
            <w:shd w:val="clear" w:color="000000" w:fill="D9D9D9"/>
            <w:noWrap/>
            <w:vAlign w:val="bottom"/>
          </w:tcPr>
          <w:p w14:paraId="24542804" w14:textId="77777777" w:rsidR="00E175F2" w:rsidRPr="00955E19" w:rsidRDefault="00E175F2" w:rsidP="004F5307">
            <w:pPr>
              <w:jc w:val="center"/>
              <w:rPr>
                <w:b/>
                <w:bCs/>
                <w:i/>
                <w:iCs/>
                <w:sz w:val="20"/>
                <w:lang w:eastAsia="bg-BG"/>
              </w:rPr>
            </w:pPr>
            <w:r w:rsidRPr="00955E19">
              <w:rPr>
                <w:b/>
                <w:bCs/>
                <w:i/>
                <w:iCs/>
                <w:sz w:val="20"/>
                <w:lang w:eastAsia="bg-BG"/>
              </w:rPr>
              <w:t>хил.лв.</w:t>
            </w:r>
          </w:p>
        </w:tc>
      </w:tr>
      <w:tr w:rsidR="00E175F2" w:rsidRPr="00955E19" w14:paraId="77250506" w14:textId="77777777" w:rsidTr="00E37D49">
        <w:trPr>
          <w:trHeight w:val="270"/>
        </w:trPr>
        <w:tc>
          <w:tcPr>
            <w:tcW w:w="4106" w:type="dxa"/>
            <w:tcBorders>
              <w:top w:val="nil"/>
              <w:left w:val="nil"/>
              <w:bottom w:val="nil"/>
              <w:right w:val="nil"/>
            </w:tcBorders>
            <w:noWrap/>
            <w:vAlign w:val="bottom"/>
          </w:tcPr>
          <w:p w14:paraId="6C608CA9" w14:textId="77777777" w:rsidR="00E175F2" w:rsidRPr="00955E19" w:rsidRDefault="00E175F2" w:rsidP="004F5307">
            <w:pPr>
              <w:jc w:val="right"/>
              <w:rPr>
                <w:b/>
                <w:bCs/>
                <w:color w:val="000000"/>
                <w:sz w:val="20"/>
                <w:lang w:eastAsia="bg-BG"/>
              </w:rPr>
            </w:pPr>
          </w:p>
        </w:tc>
        <w:tc>
          <w:tcPr>
            <w:tcW w:w="1246" w:type="dxa"/>
            <w:tcBorders>
              <w:top w:val="nil"/>
              <w:left w:val="nil"/>
              <w:bottom w:val="nil"/>
              <w:right w:val="nil"/>
            </w:tcBorders>
            <w:noWrap/>
            <w:vAlign w:val="bottom"/>
          </w:tcPr>
          <w:p w14:paraId="4F011239" w14:textId="77777777" w:rsidR="00E175F2" w:rsidRPr="00955E19" w:rsidRDefault="00E175F2" w:rsidP="004F5307">
            <w:pPr>
              <w:rPr>
                <w:sz w:val="20"/>
                <w:lang w:eastAsia="bg-BG"/>
              </w:rPr>
            </w:pPr>
          </w:p>
        </w:tc>
      </w:tr>
      <w:tr w:rsidR="00E175F2" w:rsidRPr="00955E19" w14:paraId="0F1B00E9" w14:textId="77777777" w:rsidTr="00E37D49">
        <w:trPr>
          <w:trHeight w:val="255"/>
        </w:trPr>
        <w:tc>
          <w:tcPr>
            <w:tcW w:w="4106" w:type="dxa"/>
            <w:tcBorders>
              <w:top w:val="nil"/>
              <w:left w:val="nil"/>
              <w:bottom w:val="nil"/>
              <w:right w:val="nil"/>
            </w:tcBorders>
            <w:noWrap/>
            <w:vAlign w:val="bottom"/>
          </w:tcPr>
          <w:p w14:paraId="623E9BBB" w14:textId="77777777" w:rsidR="00E175F2" w:rsidRPr="00955E19" w:rsidRDefault="00E175F2" w:rsidP="004F5307">
            <w:pPr>
              <w:rPr>
                <w:b/>
                <w:bCs/>
                <w:color w:val="000000"/>
                <w:sz w:val="20"/>
                <w:lang w:eastAsia="bg-BG"/>
              </w:rPr>
            </w:pPr>
            <w:r w:rsidRPr="00955E19">
              <w:rPr>
                <w:b/>
                <w:bCs/>
                <w:color w:val="000000"/>
                <w:sz w:val="20"/>
                <w:lang w:eastAsia="bg-BG"/>
              </w:rPr>
              <w:t>СОБСТВЕН КАПИТАЛ И ПАСИВИ</w:t>
            </w:r>
          </w:p>
        </w:tc>
        <w:tc>
          <w:tcPr>
            <w:tcW w:w="1246" w:type="dxa"/>
            <w:tcBorders>
              <w:top w:val="nil"/>
              <w:left w:val="nil"/>
              <w:bottom w:val="nil"/>
              <w:right w:val="nil"/>
            </w:tcBorders>
            <w:noWrap/>
            <w:vAlign w:val="bottom"/>
          </w:tcPr>
          <w:p w14:paraId="16E94C26" w14:textId="77777777" w:rsidR="00E175F2" w:rsidRPr="00955E19" w:rsidRDefault="00E175F2" w:rsidP="004F5307">
            <w:pPr>
              <w:rPr>
                <w:b/>
                <w:bCs/>
                <w:color w:val="000000"/>
                <w:sz w:val="20"/>
                <w:lang w:eastAsia="bg-BG"/>
              </w:rPr>
            </w:pPr>
          </w:p>
        </w:tc>
      </w:tr>
      <w:tr w:rsidR="00E175F2" w:rsidRPr="00955E19" w14:paraId="188EF0FF" w14:textId="77777777" w:rsidTr="00E37D49">
        <w:trPr>
          <w:trHeight w:val="255"/>
        </w:trPr>
        <w:tc>
          <w:tcPr>
            <w:tcW w:w="4106" w:type="dxa"/>
            <w:tcBorders>
              <w:top w:val="nil"/>
              <w:left w:val="nil"/>
              <w:bottom w:val="nil"/>
              <w:right w:val="nil"/>
            </w:tcBorders>
            <w:noWrap/>
            <w:vAlign w:val="bottom"/>
          </w:tcPr>
          <w:p w14:paraId="19FE997A" w14:textId="77777777" w:rsidR="00E175F2" w:rsidRPr="00955E19" w:rsidRDefault="00E175F2" w:rsidP="004F5307">
            <w:pPr>
              <w:rPr>
                <w:b/>
                <w:bCs/>
                <w:color w:val="000000"/>
                <w:sz w:val="20"/>
                <w:lang w:eastAsia="bg-BG"/>
              </w:rPr>
            </w:pPr>
            <w:r w:rsidRPr="00955E19">
              <w:rPr>
                <w:b/>
                <w:bCs/>
                <w:color w:val="000000"/>
                <w:sz w:val="20"/>
                <w:lang w:eastAsia="bg-BG"/>
              </w:rPr>
              <w:t>СОБСТВЕН КАПИТАЛ</w:t>
            </w:r>
          </w:p>
        </w:tc>
        <w:tc>
          <w:tcPr>
            <w:tcW w:w="1246" w:type="dxa"/>
            <w:tcBorders>
              <w:top w:val="nil"/>
              <w:left w:val="nil"/>
              <w:bottom w:val="nil"/>
              <w:right w:val="nil"/>
            </w:tcBorders>
            <w:noWrap/>
            <w:vAlign w:val="bottom"/>
          </w:tcPr>
          <w:p w14:paraId="5752A4F3" w14:textId="77777777" w:rsidR="00E175F2" w:rsidRPr="00955E19" w:rsidRDefault="00E175F2" w:rsidP="004F5307">
            <w:pPr>
              <w:rPr>
                <w:b/>
                <w:bCs/>
                <w:color w:val="000000"/>
                <w:sz w:val="20"/>
                <w:lang w:eastAsia="bg-BG"/>
              </w:rPr>
            </w:pPr>
          </w:p>
        </w:tc>
      </w:tr>
      <w:tr w:rsidR="00E175F2" w:rsidRPr="00955E19" w14:paraId="3980E781" w14:textId="77777777" w:rsidTr="00E37D49">
        <w:trPr>
          <w:trHeight w:val="255"/>
        </w:trPr>
        <w:tc>
          <w:tcPr>
            <w:tcW w:w="4106" w:type="dxa"/>
            <w:tcBorders>
              <w:top w:val="nil"/>
              <w:left w:val="nil"/>
              <w:bottom w:val="nil"/>
              <w:right w:val="nil"/>
            </w:tcBorders>
            <w:noWrap/>
            <w:vAlign w:val="bottom"/>
          </w:tcPr>
          <w:p w14:paraId="3EC01DA2" w14:textId="77777777" w:rsidR="00E175F2" w:rsidRPr="00955E19" w:rsidRDefault="00E175F2" w:rsidP="004F5307">
            <w:pPr>
              <w:rPr>
                <w:color w:val="000000"/>
                <w:sz w:val="20"/>
                <w:lang w:eastAsia="bg-BG"/>
              </w:rPr>
            </w:pPr>
            <w:r w:rsidRPr="00955E19">
              <w:rPr>
                <w:color w:val="000000"/>
                <w:sz w:val="20"/>
                <w:lang w:eastAsia="bg-BG"/>
              </w:rPr>
              <w:t>Основен акционерен капитал</w:t>
            </w:r>
          </w:p>
        </w:tc>
        <w:tc>
          <w:tcPr>
            <w:tcW w:w="1246" w:type="dxa"/>
            <w:tcBorders>
              <w:top w:val="nil"/>
              <w:left w:val="nil"/>
              <w:bottom w:val="nil"/>
              <w:right w:val="nil"/>
            </w:tcBorders>
            <w:noWrap/>
            <w:vAlign w:val="bottom"/>
          </w:tcPr>
          <w:p w14:paraId="6B3DB620" w14:textId="77777777" w:rsidR="00E175F2" w:rsidRPr="00955E19" w:rsidRDefault="00E175F2" w:rsidP="004F5307">
            <w:pPr>
              <w:jc w:val="right"/>
              <w:rPr>
                <w:color w:val="000000"/>
                <w:sz w:val="20"/>
                <w:lang w:eastAsia="bg-BG"/>
              </w:rPr>
            </w:pPr>
            <w:r w:rsidRPr="00955E19">
              <w:rPr>
                <w:color w:val="000000"/>
                <w:sz w:val="20"/>
                <w:lang w:eastAsia="bg-BG"/>
              </w:rPr>
              <w:t>500</w:t>
            </w:r>
          </w:p>
        </w:tc>
      </w:tr>
      <w:tr w:rsidR="00E175F2" w:rsidRPr="00955E19" w14:paraId="6FDDB674" w14:textId="77777777" w:rsidTr="00973280">
        <w:trPr>
          <w:trHeight w:val="255"/>
        </w:trPr>
        <w:tc>
          <w:tcPr>
            <w:tcW w:w="4106" w:type="dxa"/>
            <w:tcBorders>
              <w:top w:val="nil"/>
              <w:left w:val="nil"/>
              <w:bottom w:val="nil"/>
              <w:right w:val="nil"/>
            </w:tcBorders>
            <w:noWrap/>
            <w:vAlign w:val="bottom"/>
          </w:tcPr>
          <w:p w14:paraId="213E1FB3" w14:textId="77777777" w:rsidR="00E175F2" w:rsidRPr="00955E19" w:rsidRDefault="00E175F2" w:rsidP="004F5307">
            <w:pPr>
              <w:rPr>
                <w:color w:val="000000"/>
                <w:sz w:val="20"/>
                <w:lang w:eastAsia="bg-BG"/>
              </w:rPr>
            </w:pPr>
            <w:r w:rsidRPr="00955E19">
              <w:rPr>
                <w:color w:val="000000"/>
                <w:sz w:val="20"/>
                <w:lang w:eastAsia="bg-BG"/>
              </w:rPr>
              <w:t>Резерви</w:t>
            </w:r>
          </w:p>
        </w:tc>
        <w:tc>
          <w:tcPr>
            <w:tcW w:w="1246" w:type="dxa"/>
            <w:tcBorders>
              <w:top w:val="nil"/>
              <w:left w:val="nil"/>
              <w:bottom w:val="nil"/>
              <w:right w:val="nil"/>
            </w:tcBorders>
            <w:noWrap/>
            <w:vAlign w:val="bottom"/>
          </w:tcPr>
          <w:p w14:paraId="6752D5B7" w14:textId="77777777" w:rsidR="00E175F2" w:rsidRPr="00955E19" w:rsidRDefault="00E175F2" w:rsidP="004F5307">
            <w:pPr>
              <w:jc w:val="right"/>
              <w:rPr>
                <w:color w:val="000000"/>
                <w:sz w:val="20"/>
                <w:lang w:eastAsia="bg-BG"/>
              </w:rPr>
            </w:pPr>
            <w:r w:rsidRPr="00955E19">
              <w:rPr>
                <w:color w:val="000000"/>
                <w:sz w:val="20"/>
                <w:lang w:eastAsia="bg-BG"/>
              </w:rPr>
              <w:t>0</w:t>
            </w:r>
          </w:p>
        </w:tc>
      </w:tr>
      <w:tr w:rsidR="00E175F2" w:rsidRPr="00955E19" w14:paraId="0B06D92A" w14:textId="77777777" w:rsidTr="00973280">
        <w:trPr>
          <w:trHeight w:val="255"/>
        </w:trPr>
        <w:tc>
          <w:tcPr>
            <w:tcW w:w="4106" w:type="dxa"/>
            <w:tcBorders>
              <w:top w:val="nil"/>
              <w:left w:val="nil"/>
              <w:bottom w:val="nil"/>
              <w:right w:val="nil"/>
            </w:tcBorders>
            <w:noWrap/>
            <w:vAlign w:val="bottom"/>
          </w:tcPr>
          <w:p w14:paraId="27AD6C57" w14:textId="77777777" w:rsidR="00E175F2" w:rsidRPr="00955E19" w:rsidRDefault="00E175F2" w:rsidP="004F5307">
            <w:pPr>
              <w:rPr>
                <w:color w:val="000000"/>
                <w:sz w:val="20"/>
                <w:lang w:eastAsia="bg-BG"/>
              </w:rPr>
            </w:pPr>
            <w:r w:rsidRPr="00955E19">
              <w:rPr>
                <w:color w:val="000000"/>
                <w:sz w:val="20"/>
                <w:lang w:eastAsia="bg-BG"/>
              </w:rPr>
              <w:t>Неразпределена печалба</w:t>
            </w:r>
          </w:p>
        </w:tc>
        <w:tc>
          <w:tcPr>
            <w:tcW w:w="1246" w:type="dxa"/>
            <w:tcBorders>
              <w:top w:val="nil"/>
              <w:left w:val="nil"/>
              <w:bottom w:val="nil"/>
              <w:right w:val="nil"/>
            </w:tcBorders>
            <w:noWrap/>
            <w:vAlign w:val="bottom"/>
          </w:tcPr>
          <w:p w14:paraId="4322042C" w14:textId="77777777" w:rsidR="00E175F2" w:rsidRPr="00955E19" w:rsidRDefault="0095459D" w:rsidP="004F5307">
            <w:pPr>
              <w:jc w:val="right"/>
              <w:rPr>
                <w:color w:val="000000"/>
                <w:sz w:val="20"/>
                <w:lang w:eastAsia="bg-BG"/>
              </w:rPr>
            </w:pPr>
            <w:r w:rsidRPr="00955E19">
              <w:rPr>
                <w:color w:val="000000"/>
                <w:sz w:val="20"/>
                <w:lang w:val="en-US" w:eastAsia="bg-BG"/>
              </w:rPr>
              <w:t>(2)</w:t>
            </w:r>
          </w:p>
        </w:tc>
      </w:tr>
      <w:tr w:rsidR="00E175F2" w:rsidRPr="00955E19" w14:paraId="14649E75" w14:textId="77777777" w:rsidTr="00E37D49">
        <w:trPr>
          <w:trHeight w:val="270"/>
        </w:trPr>
        <w:tc>
          <w:tcPr>
            <w:tcW w:w="4106" w:type="dxa"/>
            <w:tcBorders>
              <w:top w:val="single" w:sz="4" w:space="0" w:color="auto"/>
              <w:left w:val="nil"/>
              <w:bottom w:val="double" w:sz="6" w:space="0" w:color="auto"/>
              <w:right w:val="nil"/>
            </w:tcBorders>
            <w:noWrap/>
            <w:vAlign w:val="bottom"/>
          </w:tcPr>
          <w:p w14:paraId="20C5D72F" w14:textId="77777777" w:rsidR="00E175F2" w:rsidRPr="00955E19" w:rsidRDefault="00E175F2" w:rsidP="004F5307">
            <w:pPr>
              <w:rPr>
                <w:b/>
                <w:bCs/>
                <w:color w:val="000000"/>
                <w:sz w:val="20"/>
                <w:lang w:eastAsia="bg-BG"/>
              </w:rPr>
            </w:pPr>
            <w:r w:rsidRPr="00955E19">
              <w:rPr>
                <w:b/>
                <w:bCs/>
                <w:color w:val="000000"/>
                <w:sz w:val="20"/>
                <w:lang w:eastAsia="bg-BG"/>
              </w:rPr>
              <w:t>ОБЩО СОБСТВЕН КАПИТАЛ</w:t>
            </w:r>
          </w:p>
        </w:tc>
        <w:tc>
          <w:tcPr>
            <w:tcW w:w="1246" w:type="dxa"/>
            <w:tcBorders>
              <w:top w:val="single" w:sz="4" w:space="0" w:color="auto"/>
              <w:left w:val="nil"/>
              <w:bottom w:val="double" w:sz="6" w:space="0" w:color="auto"/>
              <w:right w:val="nil"/>
            </w:tcBorders>
            <w:noWrap/>
            <w:vAlign w:val="bottom"/>
          </w:tcPr>
          <w:p w14:paraId="60DCDF05" w14:textId="77777777" w:rsidR="00E175F2" w:rsidRPr="00955E19" w:rsidRDefault="0095459D" w:rsidP="004F5307">
            <w:pPr>
              <w:jc w:val="right"/>
              <w:rPr>
                <w:b/>
                <w:bCs/>
                <w:color w:val="000000"/>
                <w:sz w:val="20"/>
                <w:lang w:eastAsia="bg-BG"/>
              </w:rPr>
            </w:pPr>
            <w:r w:rsidRPr="00955E19">
              <w:rPr>
                <w:b/>
                <w:bCs/>
                <w:color w:val="000000"/>
                <w:sz w:val="20"/>
                <w:lang w:eastAsia="bg-BG"/>
              </w:rPr>
              <w:t>498</w:t>
            </w:r>
          </w:p>
        </w:tc>
      </w:tr>
      <w:tr w:rsidR="00E175F2" w:rsidRPr="00955E19" w14:paraId="24270FD3" w14:textId="77777777" w:rsidTr="00E37D49">
        <w:trPr>
          <w:trHeight w:val="270"/>
        </w:trPr>
        <w:tc>
          <w:tcPr>
            <w:tcW w:w="4106" w:type="dxa"/>
            <w:tcBorders>
              <w:top w:val="nil"/>
              <w:left w:val="nil"/>
              <w:bottom w:val="nil"/>
              <w:right w:val="nil"/>
            </w:tcBorders>
            <w:noWrap/>
            <w:vAlign w:val="bottom"/>
          </w:tcPr>
          <w:p w14:paraId="731FA799" w14:textId="77777777" w:rsidR="00E175F2" w:rsidRPr="00955E19" w:rsidRDefault="00E175F2" w:rsidP="004F5307">
            <w:pPr>
              <w:jc w:val="right"/>
              <w:rPr>
                <w:b/>
                <w:bCs/>
                <w:color w:val="000000"/>
                <w:sz w:val="20"/>
                <w:lang w:eastAsia="bg-BG"/>
              </w:rPr>
            </w:pPr>
          </w:p>
        </w:tc>
        <w:tc>
          <w:tcPr>
            <w:tcW w:w="1246" w:type="dxa"/>
            <w:tcBorders>
              <w:top w:val="nil"/>
              <w:left w:val="nil"/>
              <w:bottom w:val="nil"/>
              <w:right w:val="nil"/>
            </w:tcBorders>
            <w:noWrap/>
            <w:vAlign w:val="bottom"/>
          </w:tcPr>
          <w:p w14:paraId="206D8229" w14:textId="77777777" w:rsidR="00E175F2" w:rsidRPr="00955E19" w:rsidRDefault="00E175F2" w:rsidP="004F5307">
            <w:pPr>
              <w:rPr>
                <w:sz w:val="20"/>
                <w:lang w:eastAsia="bg-BG"/>
              </w:rPr>
            </w:pPr>
          </w:p>
        </w:tc>
      </w:tr>
      <w:tr w:rsidR="00E175F2" w:rsidRPr="00955E19" w14:paraId="39752890" w14:textId="77777777" w:rsidTr="00E37D49">
        <w:trPr>
          <w:trHeight w:val="255"/>
        </w:trPr>
        <w:tc>
          <w:tcPr>
            <w:tcW w:w="4106" w:type="dxa"/>
            <w:tcBorders>
              <w:top w:val="nil"/>
              <w:left w:val="nil"/>
              <w:bottom w:val="nil"/>
              <w:right w:val="nil"/>
            </w:tcBorders>
            <w:noWrap/>
            <w:vAlign w:val="bottom"/>
          </w:tcPr>
          <w:p w14:paraId="0996DC96" w14:textId="77777777" w:rsidR="00E175F2" w:rsidRPr="00955E19" w:rsidRDefault="00E175F2" w:rsidP="004F5307">
            <w:pPr>
              <w:rPr>
                <w:b/>
                <w:bCs/>
                <w:color w:val="000000"/>
                <w:sz w:val="20"/>
                <w:lang w:eastAsia="bg-BG"/>
              </w:rPr>
            </w:pPr>
            <w:r w:rsidRPr="00955E19">
              <w:rPr>
                <w:b/>
                <w:bCs/>
                <w:color w:val="000000"/>
                <w:sz w:val="20"/>
                <w:lang w:eastAsia="bg-BG"/>
              </w:rPr>
              <w:t>ПАСИВИ</w:t>
            </w:r>
          </w:p>
        </w:tc>
        <w:tc>
          <w:tcPr>
            <w:tcW w:w="1246" w:type="dxa"/>
            <w:tcBorders>
              <w:top w:val="nil"/>
              <w:left w:val="nil"/>
              <w:bottom w:val="nil"/>
              <w:right w:val="nil"/>
            </w:tcBorders>
            <w:noWrap/>
            <w:vAlign w:val="bottom"/>
          </w:tcPr>
          <w:p w14:paraId="7B990C2E" w14:textId="77777777" w:rsidR="00E175F2" w:rsidRPr="00955E19" w:rsidRDefault="00E175F2" w:rsidP="004F5307">
            <w:pPr>
              <w:rPr>
                <w:b/>
                <w:bCs/>
                <w:color w:val="000000"/>
                <w:sz w:val="20"/>
                <w:lang w:eastAsia="bg-BG"/>
              </w:rPr>
            </w:pPr>
          </w:p>
        </w:tc>
      </w:tr>
      <w:tr w:rsidR="00E175F2" w:rsidRPr="00955E19" w14:paraId="35B7520E" w14:textId="77777777" w:rsidTr="00E37D49">
        <w:trPr>
          <w:trHeight w:val="255"/>
        </w:trPr>
        <w:tc>
          <w:tcPr>
            <w:tcW w:w="4106" w:type="dxa"/>
            <w:tcBorders>
              <w:top w:val="nil"/>
              <w:left w:val="nil"/>
              <w:bottom w:val="nil"/>
              <w:right w:val="nil"/>
            </w:tcBorders>
            <w:noWrap/>
            <w:vAlign w:val="bottom"/>
          </w:tcPr>
          <w:p w14:paraId="5EA1ECDC" w14:textId="77777777" w:rsidR="00E175F2" w:rsidRPr="00955E19" w:rsidRDefault="00E175F2" w:rsidP="004F5307">
            <w:pPr>
              <w:rPr>
                <w:b/>
                <w:bCs/>
                <w:color w:val="000000"/>
                <w:sz w:val="20"/>
                <w:lang w:eastAsia="bg-BG"/>
              </w:rPr>
            </w:pPr>
            <w:r w:rsidRPr="00955E19">
              <w:rPr>
                <w:b/>
                <w:bCs/>
                <w:color w:val="000000"/>
                <w:sz w:val="20"/>
                <w:lang w:eastAsia="bg-BG"/>
              </w:rPr>
              <w:t>Нетекущи задължения</w:t>
            </w:r>
          </w:p>
        </w:tc>
        <w:tc>
          <w:tcPr>
            <w:tcW w:w="1246" w:type="dxa"/>
            <w:tcBorders>
              <w:top w:val="nil"/>
              <w:left w:val="nil"/>
              <w:bottom w:val="nil"/>
              <w:right w:val="nil"/>
            </w:tcBorders>
            <w:noWrap/>
            <w:vAlign w:val="bottom"/>
          </w:tcPr>
          <w:p w14:paraId="050897E1" w14:textId="77777777" w:rsidR="00E175F2" w:rsidRPr="00955E19" w:rsidRDefault="00E175F2" w:rsidP="004F5307">
            <w:pPr>
              <w:rPr>
                <w:b/>
                <w:bCs/>
                <w:color w:val="000000"/>
                <w:sz w:val="20"/>
                <w:lang w:eastAsia="bg-BG"/>
              </w:rPr>
            </w:pPr>
          </w:p>
        </w:tc>
      </w:tr>
      <w:tr w:rsidR="00E175F2" w:rsidRPr="00955E19" w14:paraId="0E0B12B7" w14:textId="77777777" w:rsidTr="00E37D49">
        <w:trPr>
          <w:trHeight w:val="255"/>
        </w:trPr>
        <w:tc>
          <w:tcPr>
            <w:tcW w:w="4106" w:type="dxa"/>
            <w:tcBorders>
              <w:top w:val="nil"/>
              <w:left w:val="nil"/>
              <w:bottom w:val="nil"/>
              <w:right w:val="nil"/>
            </w:tcBorders>
            <w:noWrap/>
            <w:vAlign w:val="bottom"/>
          </w:tcPr>
          <w:p w14:paraId="54D3A938" w14:textId="77777777" w:rsidR="00E175F2" w:rsidRPr="00955E19" w:rsidRDefault="00E175F2" w:rsidP="004F5307">
            <w:pPr>
              <w:rPr>
                <w:color w:val="000000"/>
                <w:sz w:val="20"/>
                <w:lang w:eastAsia="bg-BG"/>
              </w:rPr>
            </w:pPr>
            <w:r w:rsidRPr="00955E19">
              <w:rPr>
                <w:color w:val="000000"/>
                <w:sz w:val="20"/>
                <w:lang w:eastAsia="bg-BG"/>
              </w:rPr>
              <w:t>Дългосрочни банкови заеми</w:t>
            </w:r>
          </w:p>
        </w:tc>
        <w:tc>
          <w:tcPr>
            <w:tcW w:w="1246" w:type="dxa"/>
            <w:tcBorders>
              <w:top w:val="nil"/>
              <w:left w:val="nil"/>
              <w:bottom w:val="nil"/>
              <w:right w:val="nil"/>
            </w:tcBorders>
            <w:noWrap/>
            <w:vAlign w:val="bottom"/>
          </w:tcPr>
          <w:p w14:paraId="570FA3C8" w14:textId="77777777" w:rsidR="00E175F2" w:rsidRPr="00955E19" w:rsidRDefault="0095459D" w:rsidP="004F5307">
            <w:pPr>
              <w:jc w:val="right"/>
              <w:rPr>
                <w:color w:val="000000"/>
                <w:sz w:val="20"/>
                <w:lang w:eastAsia="bg-BG"/>
              </w:rPr>
            </w:pPr>
            <w:r w:rsidRPr="00955E19">
              <w:rPr>
                <w:color w:val="000000"/>
                <w:sz w:val="20"/>
                <w:lang w:eastAsia="bg-BG"/>
              </w:rPr>
              <w:t>-</w:t>
            </w:r>
          </w:p>
        </w:tc>
      </w:tr>
      <w:tr w:rsidR="00E175F2" w:rsidRPr="00955E19" w14:paraId="19272C06" w14:textId="77777777" w:rsidTr="00E37D49">
        <w:trPr>
          <w:trHeight w:val="255"/>
        </w:trPr>
        <w:tc>
          <w:tcPr>
            <w:tcW w:w="4106" w:type="dxa"/>
            <w:tcBorders>
              <w:top w:val="nil"/>
              <w:left w:val="nil"/>
              <w:bottom w:val="nil"/>
              <w:right w:val="nil"/>
            </w:tcBorders>
            <w:noWrap/>
            <w:vAlign w:val="bottom"/>
          </w:tcPr>
          <w:p w14:paraId="59D9AEE6" w14:textId="77777777" w:rsidR="00E175F2" w:rsidRPr="00955E19" w:rsidRDefault="00E175F2" w:rsidP="004F5307">
            <w:pPr>
              <w:rPr>
                <w:color w:val="000000"/>
                <w:sz w:val="20"/>
                <w:lang w:eastAsia="bg-BG"/>
              </w:rPr>
            </w:pPr>
            <w:r w:rsidRPr="00955E19">
              <w:rPr>
                <w:color w:val="000000"/>
                <w:sz w:val="20"/>
                <w:lang w:eastAsia="bg-BG"/>
              </w:rPr>
              <w:t>Дългосрочни задължения към персонала</w:t>
            </w:r>
          </w:p>
        </w:tc>
        <w:tc>
          <w:tcPr>
            <w:tcW w:w="1246" w:type="dxa"/>
            <w:tcBorders>
              <w:top w:val="nil"/>
              <w:left w:val="nil"/>
              <w:bottom w:val="nil"/>
              <w:right w:val="nil"/>
            </w:tcBorders>
            <w:noWrap/>
            <w:vAlign w:val="bottom"/>
          </w:tcPr>
          <w:p w14:paraId="0F17A525" w14:textId="77777777" w:rsidR="00E175F2" w:rsidRPr="00955E19" w:rsidRDefault="0095459D" w:rsidP="004F5307">
            <w:pPr>
              <w:jc w:val="right"/>
              <w:rPr>
                <w:color w:val="000000"/>
                <w:sz w:val="20"/>
                <w:lang w:eastAsia="bg-BG"/>
              </w:rPr>
            </w:pPr>
            <w:r w:rsidRPr="00955E19">
              <w:rPr>
                <w:color w:val="000000"/>
                <w:sz w:val="20"/>
                <w:lang w:eastAsia="bg-BG"/>
              </w:rPr>
              <w:t>-</w:t>
            </w:r>
          </w:p>
        </w:tc>
      </w:tr>
      <w:tr w:rsidR="00E175F2" w:rsidRPr="00955E19" w14:paraId="489178A5" w14:textId="77777777" w:rsidTr="00E37D49">
        <w:trPr>
          <w:trHeight w:val="255"/>
        </w:trPr>
        <w:tc>
          <w:tcPr>
            <w:tcW w:w="4106" w:type="dxa"/>
            <w:tcBorders>
              <w:top w:val="single" w:sz="4" w:space="0" w:color="auto"/>
              <w:left w:val="nil"/>
              <w:bottom w:val="single" w:sz="4" w:space="0" w:color="auto"/>
              <w:right w:val="nil"/>
            </w:tcBorders>
            <w:noWrap/>
            <w:vAlign w:val="bottom"/>
          </w:tcPr>
          <w:p w14:paraId="0ED0A2C5" w14:textId="0F535D8B" w:rsidR="00E175F2" w:rsidRPr="00955E19" w:rsidRDefault="00E175F2" w:rsidP="004F5307">
            <w:pPr>
              <w:rPr>
                <w:b/>
                <w:bCs/>
                <w:color w:val="000000"/>
                <w:sz w:val="20"/>
                <w:lang w:eastAsia="bg-BG"/>
              </w:rPr>
            </w:pPr>
            <w:r w:rsidRPr="00955E19">
              <w:rPr>
                <w:b/>
                <w:bCs/>
                <w:color w:val="000000"/>
                <w:sz w:val="20"/>
                <w:lang w:eastAsia="bg-BG"/>
              </w:rPr>
              <w:t> </w:t>
            </w:r>
            <w:r w:rsidR="00EF33A9" w:rsidRPr="00955E19">
              <w:rPr>
                <w:b/>
                <w:bCs/>
                <w:color w:val="000000"/>
                <w:sz w:val="20"/>
                <w:lang w:eastAsia="bg-BG"/>
              </w:rPr>
              <w:t>Общо нетекущи задължения</w:t>
            </w:r>
          </w:p>
        </w:tc>
        <w:tc>
          <w:tcPr>
            <w:tcW w:w="1246" w:type="dxa"/>
            <w:tcBorders>
              <w:top w:val="single" w:sz="4" w:space="0" w:color="auto"/>
              <w:left w:val="nil"/>
              <w:bottom w:val="single" w:sz="4" w:space="0" w:color="auto"/>
              <w:right w:val="nil"/>
            </w:tcBorders>
            <w:noWrap/>
            <w:vAlign w:val="bottom"/>
          </w:tcPr>
          <w:p w14:paraId="75012911" w14:textId="77777777" w:rsidR="00E175F2" w:rsidRPr="00955E19" w:rsidRDefault="0095459D" w:rsidP="004F5307">
            <w:pPr>
              <w:jc w:val="right"/>
              <w:rPr>
                <w:b/>
                <w:bCs/>
                <w:color w:val="000000"/>
                <w:sz w:val="20"/>
                <w:lang w:eastAsia="bg-BG"/>
              </w:rPr>
            </w:pPr>
            <w:r w:rsidRPr="00955E19">
              <w:rPr>
                <w:b/>
                <w:bCs/>
                <w:color w:val="000000"/>
                <w:sz w:val="20"/>
                <w:lang w:eastAsia="bg-BG"/>
              </w:rPr>
              <w:t>-</w:t>
            </w:r>
          </w:p>
        </w:tc>
      </w:tr>
      <w:tr w:rsidR="00E175F2" w:rsidRPr="00955E19" w14:paraId="20759E2A" w14:textId="77777777" w:rsidTr="00E37D49">
        <w:trPr>
          <w:trHeight w:val="255"/>
        </w:trPr>
        <w:tc>
          <w:tcPr>
            <w:tcW w:w="4106" w:type="dxa"/>
            <w:tcBorders>
              <w:top w:val="nil"/>
              <w:left w:val="nil"/>
              <w:bottom w:val="nil"/>
              <w:right w:val="nil"/>
            </w:tcBorders>
            <w:noWrap/>
            <w:vAlign w:val="bottom"/>
          </w:tcPr>
          <w:p w14:paraId="0FCE3B5E" w14:textId="77777777" w:rsidR="00E175F2" w:rsidRPr="00955E19" w:rsidRDefault="00E175F2" w:rsidP="004F5307">
            <w:pPr>
              <w:rPr>
                <w:b/>
                <w:bCs/>
                <w:color w:val="000000"/>
                <w:sz w:val="20"/>
                <w:lang w:eastAsia="bg-BG"/>
              </w:rPr>
            </w:pPr>
            <w:r w:rsidRPr="00955E19">
              <w:rPr>
                <w:b/>
                <w:bCs/>
                <w:color w:val="000000"/>
                <w:sz w:val="20"/>
                <w:lang w:eastAsia="bg-BG"/>
              </w:rPr>
              <w:t>Текущи задължения</w:t>
            </w:r>
          </w:p>
        </w:tc>
        <w:tc>
          <w:tcPr>
            <w:tcW w:w="1246" w:type="dxa"/>
            <w:tcBorders>
              <w:top w:val="nil"/>
              <w:left w:val="nil"/>
              <w:bottom w:val="nil"/>
              <w:right w:val="nil"/>
            </w:tcBorders>
            <w:noWrap/>
            <w:vAlign w:val="bottom"/>
          </w:tcPr>
          <w:p w14:paraId="75C84E6D" w14:textId="77777777" w:rsidR="00E175F2" w:rsidRPr="00955E19" w:rsidRDefault="00E175F2" w:rsidP="004F5307">
            <w:pPr>
              <w:rPr>
                <w:b/>
                <w:bCs/>
                <w:color w:val="000000"/>
                <w:sz w:val="20"/>
                <w:lang w:eastAsia="bg-BG"/>
              </w:rPr>
            </w:pPr>
          </w:p>
        </w:tc>
      </w:tr>
      <w:tr w:rsidR="00E175F2" w:rsidRPr="00955E19" w14:paraId="32AE2398" w14:textId="77777777" w:rsidTr="00973280">
        <w:trPr>
          <w:trHeight w:val="255"/>
        </w:trPr>
        <w:tc>
          <w:tcPr>
            <w:tcW w:w="4106" w:type="dxa"/>
            <w:tcBorders>
              <w:top w:val="nil"/>
              <w:left w:val="nil"/>
              <w:bottom w:val="nil"/>
              <w:right w:val="nil"/>
            </w:tcBorders>
            <w:noWrap/>
            <w:vAlign w:val="bottom"/>
          </w:tcPr>
          <w:p w14:paraId="5B4180C1" w14:textId="77777777" w:rsidR="00E175F2" w:rsidRPr="00955E19" w:rsidRDefault="00E175F2" w:rsidP="004F5307">
            <w:pPr>
              <w:rPr>
                <w:color w:val="000000"/>
                <w:sz w:val="20"/>
                <w:lang w:eastAsia="bg-BG"/>
              </w:rPr>
            </w:pPr>
            <w:r w:rsidRPr="00955E19">
              <w:rPr>
                <w:color w:val="000000"/>
                <w:sz w:val="20"/>
                <w:lang w:eastAsia="bg-BG"/>
              </w:rPr>
              <w:t>Задължения към свързани предприятия</w:t>
            </w:r>
          </w:p>
        </w:tc>
        <w:tc>
          <w:tcPr>
            <w:tcW w:w="1246" w:type="dxa"/>
            <w:tcBorders>
              <w:top w:val="nil"/>
              <w:left w:val="nil"/>
              <w:bottom w:val="nil"/>
              <w:right w:val="nil"/>
            </w:tcBorders>
            <w:noWrap/>
            <w:vAlign w:val="bottom"/>
          </w:tcPr>
          <w:p w14:paraId="7AF56199" w14:textId="77777777" w:rsidR="00E175F2" w:rsidRPr="00955E19" w:rsidRDefault="00E175F2" w:rsidP="004F5307">
            <w:pPr>
              <w:jc w:val="right"/>
              <w:rPr>
                <w:color w:val="000000"/>
                <w:sz w:val="20"/>
                <w:lang w:eastAsia="bg-BG"/>
              </w:rPr>
            </w:pPr>
          </w:p>
        </w:tc>
      </w:tr>
      <w:tr w:rsidR="00E175F2" w:rsidRPr="00955E19" w14:paraId="46546FF3" w14:textId="77777777" w:rsidTr="00973280">
        <w:trPr>
          <w:trHeight w:val="255"/>
        </w:trPr>
        <w:tc>
          <w:tcPr>
            <w:tcW w:w="4106" w:type="dxa"/>
            <w:tcBorders>
              <w:top w:val="nil"/>
              <w:left w:val="nil"/>
              <w:bottom w:val="nil"/>
              <w:right w:val="nil"/>
            </w:tcBorders>
            <w:noWrap/>
            <w:vAlign w:val="bottom"/>
          </w:tcPr>
          <w:p w14:paraId="5D983F2E" w14:textId="77777777" w:rsidR="00E175F2" w:rsidRPr="00955E19" w:rsidRDefault="00E175F2" w:rsidP="004F5307">
            <w:pPr>
              <w:rPr>
                <w:color w:val="000000"/>
                <w:sz w:val="20"/>
                <w:lang w:eastAsia="bg-BG"/>
              </w:rPr>
            </w:pPr>
            <w:r w:rsidRPr="00955E19">
              <w:rPr>
                <w:color w:val="000000"/>
                <w:sz w:val="20"/>
                <w:lang w:eastAsia="bg-BG"/>
              </w:rPr>
              <w:t>Краткосрочна част на дългосрочните банкови заеми</w:t>
            </w:r>
          </w:p>
        </w:tc>
        <w:tc>
          <w:tcPr>
            <w:tcW w:w="1246" w:type="dxa"/>
            <w:tcBorders>
              <w:top w:val="nil"/>
              <w:left w:val="nil"/>
              <w:bottom w:val="nil"/>
              <w:right w:val="nil"/>
            </w:tcBorders>
            <w:noWrap/>
            <w:vAlign w:val="bottom"/>
          </w:tcPr>
          <w:p w14:paraId="34BCB40F" w14:textId="77777777" w:rsidR="00E175F2" w:rsidRPr="00955E19" w:rsidRDefault="00E175F2" w:rsidP="004F5307">
            <w:pPr>
              <w:jc w:val="right"/>
              <w:rPr>
                <w:color w:val="000000"/>
                <w:sz w:val="20"/>
                <w:lang w:eastAsia="bg-BG"/>
              </w:rPr>
            </w:pPr>
          </w:p>
        </w:tc>
      </w:tr>
      <w:tr w:rsidR="00E175F2" w:rsidRPr="00955E19" w14:paraId="28A3B9F4" w14:textId="77777777" w:rsidTr="00973280">
        <w:trPr>
          <w:trHeight w:val="255"/>
        </w:trPr>
        <w:tc>
          <w:tcPr>
            <w:tcW w:w="4106" w:type="dxa"/>
            <w:tcBorders>
              <w:top w:val="nil"/>
              <w:left w:val="nil"/>
              <w:bottom w:val="nil"/>
              <w:right w:val="nil"/>
            </w:tcBorders>
            <w:noWrap/>
            <w:vAlign w:val="bottom"/>
          </w:tcPr>
          <w:p w14:paraId="3057A893" w14:textId="77777777" w:rsidR="00E175F2" w:rsidRPr="00955E19" w:rsidRDefault="00E175F2" w:rsidP="004F5307">
            <w:pPr>
              <w:rPr>
                <w:color w:val="000000"/>
                <w:sz w:val="20"/>
                <w:lang w:eastAsia="bg-BG"/>
              </w:rPr>
            </w:pPr>
            <w:r w:rsidRPr="00955E19">
              <w:rPr>
                <w:color w:val="000000"/>
                <w:sz w:val="20"/>
                <w:lang w:eastAsia="bg-BG"/>
              </w:rPr>
              <w:t>Краткосрочни банкови заеми</w:t>
            </w:r>
          </w:p>
        </w:tc>
        <w:tc>
          <w:tcPr>
            <w:tcW w:w="1246" w:type="dxa"/>
            <w:tcBorders>
              <w:top w:val="nil"/>
              <w:left w:val="nil"/>
              <w:bottom w:val="nil"/>
              <w:right w:val="nil"/>
            </w:tcBorders>
            <w:noWrap/>
            <w:vAlign w:val="bottom"/>
          </w:tcPr>
          <w:p w14:paraId="2DEAED70" w14:textId="77777777" w:rsidR="00E175F2" w:rsidRPr="00955E19" w:rsidRDefault="00E175F2" w:rsidP="004F5307">
            <w:pPr>
              <w:jc w:val="right"/>
              <w:rPr>
                <w:color w:val="000000"/>
                <w:sz w:val="20"/>
                <w:lang w:eastAsia="bg-BG"/>
              </w:rPr>
            </w:pPr>
          </w:p>
        </w:tc>
      </w:tr>
      <w:tr w:rsidR="00E175F2" w:rsidRPr="00955E19" w14:paraId="2AE3C8FB" w14:textId="77777777" w:rsidTr="00973280">
        <w:trPr>
          <w:trHeight w:val="255"/>
        </w:trPr>
        <w:tc>
          <w:tcPr>
            <w:tcW w:w="4106" w:type="dxa"/>
            <w:tcBorders>
              <w:top w:val="nil"/>
              <w:left w:val="nil"/>
              <w:bottom w:val="nil"/>
              <w:right w:val="nil"/>
            </w:tcBorders>
            <w:noWrap/>
            <w:vAlign w:val="bottom"/>
          </w:tcPr>
          <w:p w14:paraId="2C219E6F" w14:textId="77777777" w:rsidR="00E175F2" w:rsidRPr="00955E19" w:rsidRDefault="00E175F2" w:rsidP="004F5307">
            <w:pPr>
              <w:rPr>
                <w:color w:val="000000"/>
                <w:sz w:val="20"/>
                <w:lang w:eastAsia="bg-BG"/>
              </w:rPr>
            </w:pPr>
            <w:r w:rsidRPr="00955E19">
              <w:rPr>
                <w:color w:val="000000"/>
                <w:sz w:val="20"/>
                <w:lang w:eastAsia="bg-BG"/>
              </w:rPr>
              <w:t>Задължения за дивиденти</w:t>
            </w:r>
          </w:p>
        </w:tc>
        <w:tc>
          <w:tcPr>
            <w:tcW w:w="1246" w:type="dxa"/>
            <w:tcBorders>
              <w:top w:val="nil"/>
              <w:left w:val="nil"/>
              <w:bottom w:val="nil"/>
              <w:right w:val="nil"/>
            </w:tcBorders>
            <w:noWrap/>
            <w:vAlign w:val="bottom"/>
          </w:tcPr>
          <w:p w14:paraId="20C7C52B" w14:textId="77777777" w:rsidR="00E175F2" w:rsidRPr="00955E19" w:rsidRDefault="00E175F2" w:rsidP="004F5307">
            <w:pPr>
              <w:jc w:val="right"/>
              <w:rPr>
                <w:color w:val="000000"/>
                <w:sz w:val="20"/>
                <w:lang w:eastAsia="bg-BG"/>
              </w:rPr>
            </w:pPr>
          </w:p>
        </w:tc>
      </w:tr>
      <w:tr w:rsidR="00E175F2" w:rsidRPr="00955E19" w14:paraId="149D4543" w14:textId="77777777" w:rsidTr="00973280">
        <w:trPr>
          <w:trHeight w:val="255"/>
        </w:trPr>
        <w:tc>
          <w:tcPr>
            <w:tcW w:w="4106" w:type="dxa"/>
            <w:tcBorders>
              <w:top w:val="nil"/>
              <w:left w:val="nil"/>
              <w:bottom w:val="nil"/>
              <w:right w:val="nil"/>
            </w:tcBorders>
            <w:noWrap/>
            <w:vAlign w:val="bottom"/>
          </w:tcPr>
          <w:p w14:paraId="7FA20E29" w14:textId="77777777" w:rsidR="00E175F2" w:rsidRPr="00955E19" w:rsidRDefault="00E175F2" w:rsidP="004F5307">
            <w:pPr>
              <w:rPr>
                <w:color w:val="000000"/>
                <w:sz w:val="20"/>
                <w:lang w:eastAsia="bg-BG"/>
              </w:rPr>
            </w:pPr>
            <w:r w:rsidRPr="00955E19">
              <w:rPr>
                <w:color w:val="000000"/>
                <w:sz w:val="20"/>
                <w:lang w:eastAsia="bg-BG"/>
              </w:rPr>
              <w:t>Търговски задължения</w:t>
            </w:r>
          </w:p>
        </w:tc>
        <w:tc>
          <w:tcPr>
            <w:tcW w:w="1246" w:type="dxa"/>
            <w:tcBorders>
              <w:top w:val="nil"/>
              <w:left w:val="nil"/>
              <w:bottom w:val="nil"/>
              <w:right w:val="nil"/>
            </w:tcBorders>
            <w:noWrap/>
            <w:vAlign w:val="bottom"/>
          </w:tcPr>
          <w:p w14:paraId="070637F4" w14:textId="77777777" w:rsidR="00E175F2" w:rsidRPr="00955E19" w:rsidRDefault="0095459D" w:rsidP="004F5307">
            <w:pPr>
              <w:jc w:val="right"/>
              <w:rPr>
                <w:color w:val="000000"/>
                <w:sz w:val="20"/>
                <w:lang w:eastAsia="bg-BG"/>
              </w:rPr>
            </w:pPr>
            <w:r w:rsidRPr="00955E19">
              <w:rPr>
                <w:color w:val="000000"/>
                <w:sz w:val="20"/>
                <w:lang w:eastAsia="bg-BG"/>
              </w:rPr>
              <w:t>1</w:t>
            </w:r>
          </w:p>
        </w:tc>
      </w:tr>
      <w:tr w:rsidR="00E175F2" w:rsidRPr="00955E19" w14:paraId="12BA97E4" w14:textId="77777777" w:rsidTr="00973280">
        <w:trPr>
          <w:trHeight w:val="255"/>
        </w:trPr>
        <w:tc>
          <w:tcPr>
            <w:tcW w:w="4106" w:type="dxa"/>
            <w:tcBorders>
              <w:top w:val="nil"/>
              <w:left w:val="nil"/>
              <w:bottom w:val="nil"/>
              <w:right w:val="nil"/>
            </w:tcBorders>
            <w:noWrap/>
            <w:vAlign w:val="bottom"/>
          </w:tcPr>
          <w:p w14:paraId="7076E8F7" w14:textId="77777777" w:rsidR="00E175F2" w:rsidRPr="00955E19" w:rsidRDefault="00E175F2" w:rsidP="004F5307">
            <w:pPr>
              <w:rPr>
                <w:color w:val="000000"/>
                <w:sz w:val="20"/>
                <w:lang w:eastAsia="bg-BG"/>
              </w:rPr>
            </w:pPr>
            <w:r w:rsidRPr="00955E19">
              <w:rPr>
                <w:color w:val="000000"/>
                <w:sz w:val="20"/>
                <w:lang w:eastAsia="bg-BG"/>
              </w:rPr>
              <w:t>Задължения за данъци</w:t>
            </w:r>
          </w:p>
        </w:tc>
        <w:tc>
          <w:tcPr>
            <w:tcW w:w="1246" w:type="dxa"/>
            <w:tcBorders>
              <w:top w:val="nil"/>
              <w:left w:val="nil"/>
              <w:bottom w:val="nil"/>
              <w:right w:val="nil"/>
            </w:tcBorders>
            <w:noWrap/>
            <w:vAlign w:val="bottom"/>
          </w:tcPr>
          <w:p w14:paraId="1CD42C77" w14:textId="77777777" w:rsidR="00E175F2" w:rsidRPr="00955E19" w:rsidRDefault="00E175F2" w:rsidP="004F5307">
            <w:pPr>
              <w:jc w:val="right"/>
              <w:rPr>
                <w:color w:val="000000"/>
                <w:sz w:val="20"/>
                <w:lang w:eastAsia="bg-BG"/>
              </w:rPr>
            </w:pPr>
          </w:p>
        </w:tc>
      </w:tr>
      <w:tr w:rsidR="00E175F2" w:rsidRPr="00955E19" w14:paraId="14FE6F0C" w14:textId="77777777" w:rsidTr="00973280">
        <w:trPr>
          <w:trHeight w:val="255"/>
        </w:trPr>
        <w:tc>
          <w:tcPr>
            <w:tcW w:w="4106" w:type="dxa"/>
            <w:tcBorders>
              <w:top w:val="nil"/>
              <w:left w:val="nil"/>
              <w:bottom w:val="nil"/>
              <w:right w:val="nil"/>
            </w:tcBorders>
            <w:noWrap/>
            <w:vAlign w:val="bottom"/>
          </w:tcPr>
          <w:p w14:paraId="1B61C452" w14:textId="77777777" w:rsidR="00E175F2" w:rsidRPr="00955E19" w:rsidRDefault="00E175F2" w:rsidP="004F5307">
            <w:pPr>
              <w:rPr>
                <w:color w:val="000000"/>
                <w:sz w:val="20"/>
                <w:lang w:eastAsia="bg-BG"/>
              </w:rPr>
            </w:pPr>
            <w:r w:rsidRPr="00955E19">
              <w:rPr>
                <w:color w:val="000000"/>
                <w:sz w:val="20"/>
                <w:lang w:eastAsia="bg-BG"/>
              </w:rPr>
              <w:t>Други текущи задължения</w:t>
            </w:r>
          </w:p>
        </w:tc>
        <w:tc>
          <w:tcPr>
            <w:tcW w:w="1246" w:type="dxa"/>
            <w:tcBorders>
              <w:top w:val="nil"/>
              <w:left w:val="nil"/>
              <w:bottom w:val="nil"/>
              <w:right w:val="nil"/>
            </w:tcBorders>
            <w:noWrap/>
            <w:vAlign w:val="bottom"/>
          </w:tcPr>
          <w:p w14:paraId="10B54400" w14:textId="77777777" w:rsidR="00E175F2" w:rsidRPr="00955E19" w:rsidRDefault="00E175F2" w:rsidP="004F5307">
            <w:pPr>
              <w:jc w:val="right"/>
              <w:rPr>
                <w:color w:val="000000"/>
                <w:sz w:val="20"/>
                <w:lang w:eastAsia="bg-BG"/>
              </w:rPr>
            </w:pPr>
          </w:p>
        </w:tc>
      </w:tr>
      <w:tr w:rsidR="00E175F2" w:rsidRPr="00955E19" w14:paraId="4EA6359D" w14:textId="77777777" w:rsidTr="00E37D49">
        <w:trPr>
          <w:trHeight w:val="255"/>
        </w:trPr>
        <w:tc>
          <w:tcPr>
            <w:tcW w:w="4106" w:type="dxa"/>
            <w:tcBorders>
              <w:top w:val="single" w:sz="4" w:space="0" w:color="auto"/>
              <w:left w:val="nil"/>
              <w:bottom w:val="single" w:sz="4" w:space="0" w:color="auto"/>
              <w:right w:val="nil"/>
            </w:tcBorders>
            <w:noWrap/>
            <w:vAlign w:val="bottom"/>
          </w:tcPr>
          <w:p w14:paraId="7FF6D7ED" w14:textId="0C385180" w:rsidR="00E175F2" w:rsidRPr="00955E19" w:rsidRDefault="00E175F2" w:rsidP="004F5307">
            <w:pPr>
              <w:rPr>
                <w:b/>
                <w:color w:val="000000"/>
                <w:sz w:val="20"/>
                <w:lang w:eastAsia="bg-BG"/>
              </w:rPr>
            </w:pPr>
            <w:r w:rsidRPr="00955E19">
              <w:rPr>
                <w:color w:val="000000"/>
                <w:sz w:val="20"/>
                <w:lang w:eastAsia="bg-BG"/>
              </w:rPr>
              <w:t> </w:t>
            </w:r>
            <w:r w:rsidR="00EF33A9" w:rsidRPr="00955E19">
              <w:rPr>
                <w:b/>
                <w:color w:val="000000"/>
                <w:sz w:val="20"/>
                <w:lang w:eastAsia="bg-BG"/>
              </w:rPr>
              <w:t>Общо текущи задължения</w:t>
            </w:r>
          </w:p>
        </w:tc>
        <w:tc>
          <w:tcPr>
            <w:tcW w:w="1246" w:type="dxa"/>
            <w:tcBorders>
              <w:top w:val="single" w:sz="4" w:space="0" w:color="auto"/>
              <w:left w:val="nil"/>
              <w:bottom w:val="single" w:sz="4" w:space="0" w:color="auto"/>
              <w:right w:val="nil"/>
            </w:tcBorders>
            <w:noWrap/>
            <w:vAlign w:val="bottom"/>
          </w:tcPr>
          <w:p w14:paraId="3BC6A49F" w14:textId="77777777" w:rsidR="00E175F2" w:rsidRPr="00955E19" w:rsidRDefault="0095459D" w:rsidP="004F5307">
            <w:pPr>
              <w:jc w:val="right"/>
              <w:rPr>
                <w:b/>
                <w:bCs/>
                <w:color w:val="000000"/>
                <w:sz w:val="20"/>
                <w:lang w:eastAsia="bg-BG"/>
              </w:rPr>
            </w:pPr>
            <w:r w:rsidRPr="00955E19">
              <w:rPr>
                <w:b/>
                <w:bCs/>
                <w:color w:val="000000"/>
                <w:sz w:val="20"/>
                <w:lang w:eastAsia="bg-BG"/>
              </w:rPr>
              <w:t>1</w:t>
            </w:r>
          </w:p>
        </w:tc>
      </w:tr>
      <w:tr w:rsidR="00E175F2" w:rsidRPr="00955E19" w14:paraId="7CE8B329" w14:textId="77777777" w:rsidTr="00E37D49">
        <w:trPr>
          <w:trHeight w:val="255"/>
        </w:trPr>
        <w:tc>
          <w:tcPr>
            <w:tcW w:w="4106" w:type="dxa"/>
            <w:tcBorders>
              <w:top w:val="nil"/>
              <w:left w:val="nil"/>
              <w:bottom w:val="single" w:sz="4" w:space="0" w:color="auto"/>
              <w:right w:val="nil"/>
            </w:tcBorders>
            <w:noWrap/>
            <w:vAlign w:val="bottom"/>
          </w:tcPr>
          <w:p w14:paraId="5963974F" w14:textId="77777777" w:rsidR="00E175F2" w:rsidRPr="00955E19" w:rsidRDefault="00E175F2" w:rsidP="004F5307">
            <w:pPr>
              <w:rPr>
                <w:b/>
                <w:bCs/>
                <w:color w:val="000000"/>
                <w:sz w:val="20"/>
                <w:lang w:eastAsia="bg-BG"/>
              </w:rPr>
            </w:pPr>
            <w:r w:rsidRPr="00955E19">
              <w:rPr>
                <w:b/>
                <w:bCs/>
                <w:color w:val="000000"/>
                <w:sz w:val="20"/>
                <w:lang w:eastAsia="bg-BG"/>
              </w:rPr>
              <w:t>ОБЩО ПАСИВИ</w:t>
            </w:r>
          </w:p>
        </w:tc>
        <w:tc>
          <w:tcPr>
            <w:tcW w:w="1246" w:type="dxa"/>
            <w:tcBorders>
              <w:top w:val="nil"/>
              <w:left w:val="nil"/>
              <w:bottom w:val="single" w:sz="4" w:space="0" w:color="auto"/>
              <w:right w:val="nil"/>
            </w:tcBorders>
            <w:noWrap/>
            <w:vAlign w:val="bottom"/>
          </w:tcPr>
          <w:p w14:paraId="5CB09248" w14:textId="77777777" w:rsidR="00E175F2" w:rsidRPr="00955E19" w:rsidRDefault="0095459D" w:rsidP="004F5307">
            <w:pPr>
              <w:jc w:val="right"/>
              <w:rPr>
                <w:b/>
                <w:bCs/>
                <w:color w:val="000000"/>
                <w:sz w:val="20"/>
                <w:lang w:eastAsia="bg-BG"/>
              </w:rPr>
            </w:pPr>
            <w:r w:rsidRPr="00955E19">
              <w:rPr>
                <w:b/>
                <w:bCs/>
                <w:color w:val="000000"/>
                <w:sz w:val="20"/>
                <w:lang w:eastAsia="bg-BG"/>
              </w:rPr>
              <w:t>1</w:t>
            </w:r>
          </w:p>
        </w:tc>
      </w:tr>
      <w:tr w:rsidR="00E175F2" w:rsidRPr="00955E19" w14:paraId="4F695771" w14:textId="77777777" w:rsidTr="00E37D49">
        <w:trPr>
          <w:trHeight w:val="270"/>
        </w:trPr>
        <w:tc>
          <w:tcPr>
            <w:tcW w:w="4106" w:type="dxa"/>
            <w:tcBorders>
              <w:top w:val="nil"/>
              <w:left w:val="nil"/>
              <w:bottom w:val="double" w:sz="6" w:space="0" w:color="auto"/>
              <w:right w:val="nil"/>
            </w:tcBorders>
            <w:noWrap/>
            <w:vAlign w:val="bottom"/>
          </w:tcPr>
          <w:p w14:paraId="062E3864" w14:textId="77777777" w:rsidR="00E175F2" w:rsidRPr="00955E19" w:rsidRDefault="00E175F2" w:rsidP="004F5307">
            <w:pPr>
              <w:rPr>
                <w:b/>
                <w:bCs/>
                <w:color w:val="000000"/>
                <w:sz w:val="20"/>
                <w:lang w:eastAsia="bg-BG"/>
              </w:rPr>
            </w:pPr>
            <w:r w:rsidRPr="00955E19">
              <w:rPr>
                <w:b/>
                <w:bCs/>
                <w:color w:val="000000"/>
                <w:sz w:val="20"/>
                <w:lang w:eastAsia="bg-BG"/>
              </w:rPr>
              <w:t>ОБЩО СОБСТВЕН КАПИТАЛ И ПАСИВИ</w:t>
            </w:r>
          </w:p>
        </w:tc>
        <w:tc>
          <w:tcPr>
            <w:tcW w:w="1246" w:type="dxa"/>
            <w:tcBorders>
              <w:top w:val="nil"/>
              <w:left w:val="nil"/>
              <w:bottom w:val="double" w:sz="6" w:space="0" w:color="auto"/>
              <w:right w:val="nil"/>
            </w:tcBorders>
            <w:noWrap/>
            <w:vAlign w:val="bottom"/>
          </w:tcPr>
          <w:p w14:paraId="3635F79F" w14:textId="77777777" w:rsidR="00E175F2" w:rsidRPr="00955E19" w:rsidRDefault="0095459D" w:rsidP="004F5307">
            <w:pPr>
              <w:jc w:val="right"/>
              <w:rPr>
                <w:b/>
                <w:bCs/>
                <w:color w:val="000000"/>
                <w:sz w:val="20"/>
                <w:lang w:eastAsia="bg-BG"/>
              </w:rPr>
            </w:pPr>
            <w:r w:rsidRPr="00955E19">
              <w:rPr>
                <w:b/>
                <w:bCs/>
                <w:color w:val="000000"/>
                <w:sz w:val="20"/>
                <w:lang w:eastAsia="bg-BG"/>
              </w:rPr>
              <w:t>499</w:t>
            </w:r>
          </w:p>
        </w:tc>
      </w:tr>
    </w:tbl>
    <w:p w14:paraId="174C6B3C" w14:textId="12DA89E3" w:rsidR="00E175F2" w:rsidRPr="00955E19" w:rsidRDefault="00E175F2" w:rsidP="00152D36">
      <w:pPr>
        <w:autoSpaceDE w:val="0"/>
        <w:autoSpaceDN w:val="0"/>
        <w:adjustRightInd w:val="0"/>
        <w:jc w:val="both"/>
        <w:rPr>
          <w:i/>
          <w:sz w:val="20"/>
        </w:rPr>
      </w:pPr>
      <w:r w:rsidRPr="00955E19">
        <w:rPr>
          <w:b/>
          <w:i/>
          <w:sz w:val="20"/>
        </w:rPr>
        <w:t>Източник:</w:t>
      </w:r>
      <w:r w:rsidRPr="00955E19">
        <w:rPr>
          <w:i/>
          <w:sz w:val="20"/>
        </w:rPr>
        <w:t xml:space="preserve"> “ГЛЕНМООР КЕПИТАЛ” АДСИЦ – Одитиран междинен финансов отчет</w:t>
      </w:r>
      <w:r w:rsidR="00EF33A9" w:rsidRPr="00955E19">
        <w:rPr>
          <w:i/>
          <w:sz w:val="20"/>
        </w:rPr>
        <w:t xml:space="preserve"> </w:t>
      </w:r>
      <w:r w:rsidRPr="00955E19">
        <w:rPr>
          <w:i/>
          <w:sz w:val="20"/>
        </w:rPr>
        <w:t xml:space="preserve">към </w:t>
      </w:r>
      <w:r w:rsidR="0095459D" w:rsidRPr="00955E19">
        <w:rPr>
          <w:i/>
          <w:sz w:val="20"/>
        </w:rPr>
        <w:t>30</w:t>
      </w:r>
      <w:r w:rsidRPr="00955E19">
        <w:rPr>
          <w:i/>
          <w:sz w:val="20"/>
        </w:rPr>
        <w:t>.0</w:t>
      </w:r>
      <w:r w:rsidR="0095459D" w:rsidRPr="00955E19">
        <w:rPr>
          <w:i/>
          <w:sz w:val="20"/>
        </w:rPr>
        <w:t>6</w:t>
      </w:r>
      <w:r w:rsidRPr="00955E19">
        <w:rPr>
          <w:i/>
          <w:sz w:val="20"/>
        </w:rPr>
        <w:t>.2017 г.</w:t>
      </w:r>
    </w:p>
    <w:p w14:paraId="36D798A6" w14:textId="6B5A403D" w:rsidR="00E175F2" w:rsidRPr="00955E19" w:rsidRDefault="00E23729" w:rsidP="00152D36">
      <w:pPr>
        <w:spacing w:after="200"/>
        <w:jc w:val="both"/>
        <w:rPr>
          <w:sz w:val="20"/>
        </w:rPr>
      </w:pPr>
      <w:r w:rsidRPr="00955E19">
        <w:rPr>
          <w:sz w:val="20"/>
        </w:rPr>
        <w:t>Текущите задължения от хиляда лева са под формата на търговски задължения. Към датата на настоящия документ д</w:t>
      </w:r>
      <w:r w:rsidR="00E175F2" w:rsidRPr="00955E19">
        <w:rPr>
          <w:sz w:val="20"/>
        </w:rPr>
        <w:t>ружеството не е предоставяло гаранция по чужди задължения (</w:t>
      </w:r>
      <w:r w:rsidR="00E175F2" w:rsidRPr="00955E19">
        <w:rPr>
          <w:b/>
          <w:sz w:val="20"/>
        </w:rPr>
        <w:t>няма косвена и условна задлъжнялост</w:t>
      </w:r>
      <w:r w:rsidR="00E175F2" w:rsidRPr="00955E19">
        <w:rPr>
          <w:sz w:val="20"/>
        </w:rPr>
        <w:t>).</w:t>
      </w:r>
    </w:p>
    <w:p w14:paraId="0807ED94" w14:textId="77777777" w:rsidR="00E175F2" w:rsidRPr="00955E19" w:rsidRDefault="00E175F2" w:rsidP="00152D36">
      <w:pPr>
        <w:spacing w:after="200"/>
        <w:jc w:val="both"/>
        <w:rPr>
          <w:sz w:val="20"/>
        </w:rPr>
      </w:pPr>
      <w:r w:rsidRPr="00955E19">
        <w:rPr>
          <w:sz w:val="20"/>
        </w:rPr>
        <w:t>По-подробен анализ на капиталовите ресурси и източниците на парични потоци на Дружеството са описани съответно в т. 10 от Регистрационния документ.</w:t>
      </w:r>
    </w:p>
    <w:p w14:paraId="3331EF01" w14:textId="77777777" w:rsidR="00E175F2" w:rsidRPr="00955E19" w:rsidRDefault="00E175F2" w:rsidP="00152D36">
      <w:pPr>
        <w:pStyle w:val="Heading2"/>
        <w:spacing w:line="240" w:lineRule="auto"/>
        <w:rPr>
          <w:spacing w:val="20"/>
        </w:rPr>
      </w:pPr>
      <w:bookmarkStart w:id="21" w:name="_Toc212867577"/>
      <w:bookmarkStart w:id="22" w:name="_Toc492995912"/>
      <w:r w:rsidRPr="00955E19">
        <w:rPr>
          <w:spacing w:val="20"/>
        </w:rPr>
        <w:t>3.3. Участия, които са съществени за емисията/предлагането, даващо данни за участващите лица и естеството на участието.</w:t>
      </w:r>
      <w:bookmarkEnd w:id="21"/>
      <w:bookmarkEnd w:id="22"/>
    </w:p>
    <w:p w14:paraId="1DAAC199" w14:textId="77777777" w:rsidR="00E175F2" w:rsidRPr="00955E19" w:rsidRDefault="00E175F2" w:rsidP="00152D36">
      <w:pPr>
        <w:spacing w:after="200"/>
        <w:jc w:val="both"/>
        <w:rPr>
          <w:sz w:val="20"/>
        </w:rPr>
      </w:pPr>
      <w:r w:rsidRPr="00955E19">
        <w:rPr>
          <w:sz w:val="20"/>
        </w:rPr>
        <w:t xml:space="preserve">Възнаграждението на избрания да обслужва увеличаването на капитала ИП „ЪП ТРЕНД” ООД </w:t>
      </w:r>
      <w:r w:rsidRPr="00955E19">
        <w:rPr>
          <w:sz w:val="20"/>
          <w:lang w:val="ru-RU"/>
        </w:rPr>
        <w:t>(</w:t>
      </w:r>
      <w:r w:rsidRPr="00955E19">
        <w:rPr>
          <w:sz w:val="20"/>
        </w:rPr>
        <w:t>с предишно наименование „БУЛ ТРЕНД БРОКЕРИДЖ” ООД</w:t>
      </w:r>
      <w:r w:rsidRPr="00955E19">
        <w:rPr>
          <w:sz w:val="20"/>
          <w:lang w:val="ru-RU"/>
        </w:rPr>
        <w:t>)</w:t>
      </w:r>
      <w:r w:rsidRPr="00955E19">
        <w:rPr>
          <w:sz w:val="20"/>
        </w:rPr>
        <w:t xml:space="preserve"> не е необичайно по вид и условия, и не зависи от успеха на публичното предлагане на акциите на “ГЛЕНМООР КЕПИТАЛ” АДСИЦ, тъй като е уговорено в твърд размер.</w:t>
      </w:r>
    </w:p>
    <w:p w14:paraId="3AD1C1F4" w14:textId="77777777" w:rsidR="00E175F2" w:rsidRPr="00955E19" w:rsidRDefault="00E175F2" w:rsidP="00152D36">
      <w:pPr>
        <w:spacing w:after="200"/>
        <w:jc w:val="both"/>
        <w:rPr>
          <w:sz w:val="20"/>
        </w:rPr>
      </w:pPr>
      <w:r w:rsidRPr="00955E19">
        <w:rPr>
          <w:sz w:val="20"/>
        </w:rPr>
        <w:t>Информацията за притежаваните от членовете на Съвета на директорите акции от капитала на “ГЛЕНМООР КЕПИТАЛ” АДСИЦ е посочена в т. 17.2. от Регистрационния документ.</w:t>
      </w:r>
    </w:p>
    <w:p w14:paraId="1C0A9066" w14:textId="77777777" w:rsidR="00E175F2" w:rsidRPr="00955E19" w:rsidRDefault="00E175F2" w:rsidP="00152D36">
      <w:pPr>
        <w:pStyle w:val="Heading2"/>
        <w:spacing w:line="240" w:lineRule="auto"/>
        <w:rPr>
          <w:spacing w:val="20"/>
        </w:rPr>
      </w:pPr>
      <w:bookmarkStart w:id="23" w:name="_Toc212867578"/>
      <w:bookmarkStart w:id="24" w:name="_Toc492995913"/>
      <w:r w:rsidRPr="00955E19">
        <w:rPr>
          <w:spacing w:val="20"/>
        </w:rPr>
        <w:t>3.4. Обосновка на предлагането и използване на постъпленията</w:t>
      </w:r>
      <w:bookmarkEnd w:id="23"/>
      <w:bookmarkEnd w:id="24"/>
    </w:p>
    <w:p w14:paraId="5C525BF7" w14:textId="77777777" w:rsidR="00E175F2" w:rsidRPr="00955E19" w:rsidRDefault="00E175F2" w:rsidP="003D34DE">
      <w:pPr>
        <w:spacing w:after="200"/>
        <w:jc w:val="both"/>
        <w:rPr>
          <w:sz w:val="20"/>
        </w:rPr>
      </w:pPr>
      <w:bookmarkStart w:id="25" w:name="OLE_LINK49"/>
      <w:bookmarkStart w:id="26" w:name="OLE_LINK50"/>
      <w:bookmarkStart w:id="27" w:name="OLE_LINK51"/>
      <w:r w:rsidRPr="00955E19">
        <w:rPr>
          <w:sz w:val="20"/>
        </w:rPr>
        <w:t xml:space="preserve">Настоящото първо (“първоначално”) увеличение на капитала на Дружеството чрез публично предлагане на акции се извършва в изпълнение на изискванията на чл. 5, ал. 3 и чл. 13 от ЗДСИЦ и съгласно решението на учредителното събрание на Дружеството. Чрез първоначалното увеличение на капитала Дружеството цели да набере финансов ресурс за осъществяване на предмета си на дейност по </w:t>
      </w:r>
      <w:proofErr w:type="spellStart"/>
      <w:r w:rsidRPr="00955E19">
        <w:rPr>
          <w:sz w:val="20"/>
        </w:rPr>
        <w:t>секюритизиране</w:t>
      </w:r>
      <w:proofErr w:type="spellEnd"/>
      <w:r w:rsidRPr="00955E19">
        <w:rPr>
          <w:sz w:val="20"/>
        </w:rPr>
        <w:t xml:space="preserve"> на недвижими имоти.</w:t>
      </w:r>
    </w:p>
    <w:p w14:paraId="5E9EF46F" w14:textId="163400C8" w:rsidR="00E175F2" w:rsidRPr="00955E19" w:rsidRDefault="00E175F2" w:rsidP="003D34DE">
      <w:pPr>
        <w:spacing w:after="200"/>
        <w:jc w:val="both"/>
        <w:rPr>
          <w:sz w:val="20"/>
        </w:rPr>
      </w:pPr>
      <w:r w:rsidRPr="00955E19">
        <w:rPr>
          <w:sz w:val="20"/>
        </w:rPr>
        <w:t xml:space="preserve">Очакваната нетна сума на приходите от публичното предлагане при условие, че бъде записан целия размер на предлаганата емисия акции (след приспадане на разходите по неговото извършване) е в размер на </w:t>
      </w:r>
      <w:r w:rsidR="001A199D" w:rsidRPr="00955E19">
        <w:rPr>
          <w:color w:val="000000"/>
          <w:sz w:val="20"/>
          <w:lang w:eastAsia="bg-BG"/>
        </w:rPr>
        <w:t>125 588</w:t>
      </w:r>
      <w:r w:rsidRPr="00955E19">
        <w:rPr>
          <w:sz w:val="20"/>
        </w:rPr>
        <w:t>,00 лв. Тези приходи ще бъдат използвани за изпълнение на инвестиционната стратегия на Дружеството (инвестиции в недвижими имоти, отговарящи на критериите на дружеството, с цел тяхното изграждане и/или реновиране, управление и получаване на доход). Виж Регистрационния документ, “Инвестиционни цели и ограничения”. “ГЛЕНМООР КЕПИТАЛ” АДСИЦ не може да извършва други търговски сделки извън покупко-продажбата на недвижими имоти, набиране на средства чрез издаване на ценни книжа и сделките, пряко свързани с осъществяването на тези дейности, освен ако са позволени от Закона за дружествата със специална инвестиционна цел. В този смисъл приходите от публичното предлагане на акции ще се използват само за извършване на обичайната търговска дейност на емитента.</w:t>
      </w:r>
    </w:p>
    <w:p w14:paraId="13144122" w14:textId="77777777" w:rsidR="00E175F2" w:rsidRPr="00955E19" w:rsidRDefault="00E175F2" w:rsidP="003D34DE">
      <w:pPr>
        <w:spacing w:after="200"/>
        <w:jc w:val="both"/>
        <w:rPr>
          <w:sz w:val="20"/>
        </w:rPr>
      </w:pPr>
      <w:r w:rsidRPr="00955E19">
        <w:rPr>
          <w:sz w:val="20"/>
        </w:rPr>
        <w:t>Приходите от набрания капитал няма да се използват за финансиране на придобивания на други дружества, нито за погасяване на задължения на емитента.</w:t>
      </w:r>
    </w:p>
    <w:p w14:paraId="0B138408" w14:textId="77777777" w:rsidR="00E175F2" w:rsidRPr="00955E19" w:rsidRDefault="00E175F2" w:rsidP="00152D36">
      <w:pPr>
        <w:spacing w:after="200"/>
        <w:jc w:val="both"/>
        <w:rPr>
          <w:sz w:val="20"/>
        </w:rPr>
      </w:pPr>
      <w:r w:rsidRPr="00955E19">
        <w:rPr>
          <w:sz w:val="20"/>
        </w:rPr>
        <w:lastRenderedPageBreak/>
        <w:t xml:space="preserve">В случай че “ГЛЕНМООР КЕПИТАЛ” АДСИЦ не успее да набере изцяло предвидения капитал, но при условие, че емисията е успешна, реално набраните средства ще бъдат използвани за същите цели, но при намалени мащаби. </w:t>
      </w:r>
    </w:p>
    <w:p w14:paraId="06BCCFBF" w14:textId="77777777" w:rsidR="00E175F2" w:rsidRPr="00955E19" w:rsidRDefault="00E175F2" w:rsidP="00251571">
      <w:pPr>
        <w:pStyle w:val="Heading1"/>
      </w:pPr>
      <w:bookmarkStart w:id="28" w:name="_Toc212867579"/>
      <w:bookmarkStart w:id="29" w:name="_Toc492995914"/>
      <w:bookmarkEnd w:id="25"/>
      <w:bookmarkEnd w:id="26"/>
      <w:bookmarkEnd w:id="27"/>
      <w:r w:rsidRPr="00955E19">
        <w:t>4.</w:t>
      </w:r>
      <w:r w:rsidRPr="00955E19">
        <w:tab/>
        <w:t>ИНФОРМАЦИЯ ОТНОСНО ЦЕННИТЕ КНИЖА, КОИТО ЩЕ БЪДАТ ПРЕДЛАГАНИ/ДОПУСКАНИ ДО ТЪРГОВИЯ</w:t>
      </w:r>
      <w:bookmarkEnd w:id="28"/>
      <w:bookmarkEnd w:id="29"/>
    </w:p>
    <w:p w14:paraId="147A85A4" w14:textId="77777777" w:rsidR="00E175F2" w:rsidRPr="00955E19" w:rsidRDefault="00E175F2" w:rsidP="00152D36">
      <w:pPr>
        <w:pStyle w:val="Heading2"/>
        <w:spacing w:line="240" w:lineRule="auto"/>
        <w:rPr>
          <w:spacing w:val="20"/>
        </w:rPr>
      </w:pPr>
      <w:bookmarkStart w:id="30" w:name="_Toc212867580"/>
      <w:bookmarkStart w:id="31" w:name="_Toc492995915"/>
      <w:r w:rsidRPr="00955E19">
        <w:rPr>
          <w:spacing w:val="20"/>
        </w:rPr>
        <w:t>4.1. Вид и клас на ценните книжа</w:t>
      </w:r>
      <w:bookmarkEnd w:id="30"/>
      <w:bookmarkEnd w:id="31"/>
    </w:p>
    <w:p w14:paraId="3B65A158" w14:textId="77777777" w:rsidR="00E175F2" w:rsidRPr="00955E19" w:rsidRDefault="00E175F2" w:rsidP="00152D36">
      <w:pPr>
        <w:spacing w:after="200"/>
        <w:jc w:val="both"/>
        <w:rPr>
          <w:sz w:val="20"/>
        </w:rPr>
      </w:pPr>
      <w:r w:rsidRPr="00955E19">
        <w:rPr>
          <w:sz w:val="20"/>
        </w:rPr>
        <w:t xml:space="preserve">Предмет на публично предлагане са 150 000 бр. обикновени, поименни, безналични акции от първоначалното увеличение на капитала на Дружеството. Акциите от тази емисия са от същия клас, както вече издадените акции на Дружеството и дават еднакви права на притежателите си – право на един глас в общото събрание на акционерите, право на дивидент и на ликвидационен дял, съразмерни с номиналната стойност на акцията. </w:t>
      </w:r>
    </w:p>
    <w:p w14:paraId="44EB92B9" w14:textId="77777777" w:rsidR="00E175F2" w:rsidRPr="00955E19" w:rsidRDefault="00E175F2" w:rsidP="00152D36">
      <w:pPr>
        <w:spacing w:after="200"/>
        <w:jc w:val="both"/>
        <w:rPr>
          <w:sz w:val="20"/>
        </w:rPr>
      </w:pPr>
      <w:r w:rsidRPr="00955E19">
        <w:rPr>
          <w:sz w:val="20"/>
        </w:rPr>
        <w:t xml:space="preserve">Международният номер за идентификация на акциите на “ГЛЕНМООР КЕПИТАЛ” АДСИЦ  (ISIN код) е:  </w:t>
      </w:r>
      <w:r w:rsidRPr="00955E19">
        <w:rPr>
          <w:rStyle w:val="apple-style-span"/>
          <w:color w:val="000000"/>
          <w:sz w:val="20"/>
        </w:rPr>
        <w:t>BG1100006177</w:t>
      </w:r>
      <w:r w:rsidRPr="00955E19">
        <w:rPr>
          <w:sz w:val="20"/>
        </w:rPr>
        <w:t>.</w:t>
      </w:r>
    </w:p>
    <w:p w14:paraId="1C689050" w14:textId="77777777" w:rsidR="00E175F2" w:rsidRPr="00955E19" w:rsidRDefault="00E175F2" w:rsidP="00152D36">
      <w:pPr>
        <w:spacing w:after="200"/>
        <w:jc w:val="both"/>
        <w:rPr>
          <w:sz w:val="20"/>
        </w:rPr>
      </w:pPr>
      <w:r w:rsidRPr="00955E19">
        <w:rPr>
          <w:sz w:val="20"/>
        </w:rPr>
        <w:t>Акциите ще се предлагат само в Република България и няма да бъдат предмет на международно предлагане.</w:t>
      </w:r>
    </w:p>
    <w:p w14:paraId="7274FD04" w14:textId="77777777" w:rsidR="00E175F2" w:rsidRPr="00955E19" w:rsidRDefault="00E175F2" w:rsidP="00152D36">
      <w:pPr>
        <w:pStyle w:val="Heading2"/>
        <w:spacing w:line="240" w:lineRule="auto"/>
        <w:rPr>
          <w:spacing w:val="20"/>
        </w:rPr>
      </w:pPr>
      <w:bookmarkStart w:id="32" w:name="_Toc212867581"/>
      <w:bookmarkStart w:id="33" w:name="_Toc492995916"/>
      <w:bookmarkStart w:id="34" w:name="OLE_LINK2"/>
      <w:r w:rsidRPr="00955E19">
        <w:rPr>
          <w:spacing w:val="20"/>
        </w:rPr>
        <w:t>4.2. Законодателство, по което са издадени ценните книжа. Регистър за ценните книжа</w:t>
      </w:r>
      <w:bookmarkEnd w:id="32"/>
      <w:bookmarkEnd w:id="33"/>
    </w:p>
    <w:p w14:paraId="0D1B65E3" w14:textId="77777777" w:rsidR="00E175F2" w:rsidRPr="00955E19" w:rsidRDefault="00E175F2" w:rsidP="00152D36">
      <w:pPr>
        <w:spacing w:after="200"/>
        <w:jc w:val="both"/>
        <w:rPr>
          <w:sz w:val="20"/>
        </w:rPr>
      </w:pPr>
      <w:r w:rsidRPr="00955E19">
        <w:rPr>
          <w:sz w:val="20"/>
        </w:rPr>
        <w:t>Емитираните до момента от “ГЛЕНМООР КЕПИТАЛ” АДСИЦ акции, както и акциите от първоначалното увеличение на капитала на Дружеството, за което е изготвен този документ, се издават съгласно българското законодателство.</w:t>
      </w:r>
    </w:p>
    <w:p w14:paraId="6F206A70" w14:textId="77777777" w:rsidR="00E175F2" w:rsidRPr="00955E19" w:rsidRDefault="00E175F2" w:rsidP="00152D36">
      <w:pPr>
        <w:spacing w:after="200"/>
        <w:jc w:val="both"/>
        <w:rPr>
          <w:sz w:val="20"/>
        </w:rPr>
      </w:pPr>
      <w:r w:rsidRPr="00955E19">
        <w:rPr>
          <w:sz w:val="20"/>
        </w:rPr>
        <w:t xml:space="preserve">Законът за публичното предлагане на ценни книжа изисква акциите, издадени от публично дружество, да бъдат поименни и безналични. </w:t>
      </w:r>
    </w:p>
    <w:p w14:paraId="49A034A3" w14:textId="77777777" w:rsidR="00E175F2" w:rsidRPr="00955E19" w:rsidRDefault="00E175F2" w:rsidP="00152D36">
      <w:pPr>
        <w:spacing w:after="200"/>
        <w:jc w:val="both"/>
        <w:rPr>
          <w:sz w:val="20"/>
        </w:rPr>
      </w:pPr>
      <w:r w:rsidRPr="00955E19">
        <w:rPr>
          <w:sz w:val="20"/>
        </w:rPr>
        <w:t xml:space="preserve">Съгласно неговия Устав, “ГЛЕНМООР КЕПИТАЛ” АДСИЦ може да издава два класа акции: обикновени акции и привилегировани акции, даващи права съгласно чл. 16 от Устава. Ограничаването правата на отделни акционери от един клас не е допустимо.  </w:t>
      </w:r>
    </w:p>
    <w:p w14:paraId="22102510" w14:textId="77777777" w:rsidR="00E175F2" w:rsidRPr="00955E19" w:rsidRDefault="00E175F2" w:rsidP="00152D36">
      <w:pPr>
        <w:spacing w:after="200"/>
        <w:jc w:val="both"/>
        <w:rPr>
          <w:sz w:val="20"/>
        </w:rPr>
      </w:pPr>
      <w:r w:rsidRPr="00955E19">
        <w:rPr>
          <w:sz w:val="20"/>
        </w:rPr>
        <w:t xml:space="preserve">Издаването и прехвърлянето на акциите на Дружеството има действие от вписване на издаването, съответно прехвърлянето им в „Централен Депозитар” АД, който е българският национален регистър за безналични ценни книжа. </w:t>
      </w:r>
    </w:p>
    <w:p w14:paraId="606A941A" w14:textId="77777777" w:rsidR="00E175F2" w:rsidRPr="00955E19" w:rsidRDefault="00E175F2" w:rsidP="00152D36">
      <w:pPr>
        <w:spacing w:after="200"/>
        <w:jc w:val="both"/>
        <w:rPr>
          <w:sz w:val="20"/>
        </w:rPr>
      </w:pPr>
      <w:r w:rsidRPr="00955E19">
        <w:rPr>
          <w:sz w:val="20"/>
        </w:rPr>
        <w:t xml:space="preserve">Книгата на акционерите на “ГЛЕНМООР КЕПИТАЛ” АДСИЦ се води от „Централен депозитар” АД, със седалище и адрес на управление: гр. София, ул. „Три уши” № 10, ет. 4. </w:t>
      </w:r>
    </w:p>
    <w:p w14:paraId="73C0999C" w14:textId="77777777" w:rsidR="00E175F2" w:rsidRPr="00955E19" w:rsidRDefault="00E175F2" w:rsidP="00152D36">
      <w:pPr>
        <w:spacing w:after="200"/>
        <w:jc w:val="both"/>
        <w:rPr>
          <w:sz w:val="20"/>
        </w:rPr>
      </w:pPr>
      <w:r w:rsidRPr="00955E19">
        <w:rPr>
          <w:sz w:val="20"/>
        </w:rPr>
        <w:t>Важни въпроси за инвеститорите във връзка с издаването на акциите и последващата търговия с тях се уреждат в следните нормативни актове:</w:t>
      </w:r>
    </w:p>
    <w:p w14:paraId="3ED1F2A7" w14:textId="77777777" w:rsidR="00E175F2" w:rsidRPr="00955E19" w:rsidRDefault="00E175F2" w:rsidP="00152D36">
      <w:pPr>
        <w:numPr>
          <w:ilvl w:val="0"/>
          <w:numId w:val="28"/>
        </w:numPr>
        <w:spacing w:after="200"/>
        <w:jc w:val="both"/>
        <w:rPr>
          <w:sz w:val="20"/>
        </w:rPr>
      </w:pPr>
      <w:r w:rsidRPr="00955E19">
        <w:rPr>
          <w:sz w:val="20"/>
        </w:rPr>
        <w:t>Закон за публичното предлагане на ценни книжа;</w:t>
      </w:r>
    </w:p>
    <w:p w14:paraId="1756C99C" w14:textId="77777777" w:rsidR="00E175F2" w:rsidRPr="00955E19" w:rsidRDefault="00E175F2" w:rsidP="00152D36">
      <w:pPr>
        <w:numPr>
          <w:ilvl w:val="0"/>
          <w:numId w:val="28"/>
        </w:numPr>
        <w:spacing w:after="200"/>
        <w:jc w:val="both"/>
        <w:rPr>
          <w:sz w:val="20"/>
        </w:rPr>
      </w:pPr>
      <w:r w:rsidRPr="00955E19">
        <w:rPr>
          <w:sz w:val="20"/>
        </w:rPr>
        <w:t>Закон за дружествата със специална инвестиционна цел;</w:t>
      </w:r>
    </w:p>
    <w:p w14:paraId="77813072" w14:textId="77777777" w:rsidR="00E175F2" w:rsidRPr="00955E19" w:rsidRDefault="00E175F2" w:rsidP="00152D36">
      <w:pPr>
        <w:numPr>
          <w:ilvl w:val="0"/>
          <w:numId w:val="28"/>
        </w:numPr>
        <w:spacing w:after="200"/>
        <w:jc w:val="both"/>
        <w:rPr>
          <w:sz w:val="20"/>
        </w:rPr>
      </w:pPr>
      <w:r w:rsidRPr="00955E19">
        <w:rPr>
          <w:sz w:val="20"/>
        </w:rPr>
        <w:t>Закон за пазарите на финансови инструменти;</w:t>
      </w:r>
    </w:p>
    <w:p w14:paraId="322C9042" w14:textId="77777777" w:rsidR="00E175F2" w:rsidRPr="00955E19" w:rsidRDefault="00E175F2" w:rsidP="00152D36">
      <w:pPr>
        <w:numPr>
          <w:ilvl w:val="0"/>
          <w:numId w:val="28"/>
        </w:numPr>
        <w:spacing w:after="200"/>
        <w:jc w:val="both"/>
        <w:rPr>
          <w:sz w:val="20"/>
        </w:rPr>
      </w:pPr>
      <w:r w:rsidRPr="00955E19">
        <w:rPr>
          <w:sz w:val="20"/>
        </w:rPr>
        <w:t>Търговски закон;</w:t>
      </w:r>
    </w:p>
    <w:p w14:paraId="72A6FDC7" w14:textId="77777777" w:rsidR="00E175F2" w:rsidRPr="00955E19" w:rsidRDefault="00E175F2" w:rsidP="00152D36">
      <w:pPr>
        <w:numPr>
          <w:ilvl w:val="0"/>
          <w:numId w:val="28"/>
        </w:numPr>
        <w:spacing w:after="200"/>
        <w:jc w:val="both"/>
        <w:rPr>
          <w:sz w:val="20"/>
        </w:rPr>
      </w:pPr>
      <w:r w:rsidRPr="00955E19">
        <w:rPr>
          <w:sz w:val="20"/>
        </w:rPr>
        <w:t>Регламент (ЕО) № 809/2004 на ЕК от 29.04.2004 год.;</w:t>
      </w:r>
    </w:p>
    <w:p w14:paraId="0B62B847" w14:textId="77777777" w:rsidR="00E175F2" w:rsidRPr="00955E19" w:rsidRDefault="00E175F2" w:rsidP="00152D36">
      <w:pPr>
        <w:numPr>
          <w:ilvl w:val="0"/>
          <w:numId w:val="28"/>
        </w:numPr>
        <w:spacing w:after="200"/>
        <w:jc w:val="both"/>
        <w:rPr>
          <w:sz w:val="20"/>
        </w:rPr>
      </w:pPr>
      <w:r w:rsidRPr="00955E19">
        <w:rPr>
          <w:sz w:val="20"/>
        </w:rPr>
        <w:t xml:space="preserve">Регламент (ЕО) № 486/2012 на ЕК от 30.03.2012 год.; </w:t>
      </w:r>
    </w:p>
    <w:p w14:paraId="65442E5E" w14:textId="77777777" w:rsidR="00E175F2" w:rsidRPr="00955E19" w:rsidRDefault="00E175F2" w:rsidP="00152D36">
      <w:pPr>
        <w:numPr>
          <w:ilvl w:val="0"/>
          <w:numId w:val="28"/>
        </w:numPr>
        <w:spacing w:after="200"/>
        <w:jc w:val="both"/>
        <w:rPr>
          <w:sz w:val="20"/>
        </w:rPr>
      </w:pPr>
      <w:r w:rsidRPr="00955E19">
        <w:rPr>
          <w:sz w:val="20"/>
        </w:rPr>
        <w:t>Регламент (ЕО) № 301/2016 на ЕК от 30.11.2015 год.;</w:t>
      </w:r>
    </w:p>
    <w:p w14:paraId="03B3BD4B" w14:textId="77777777" w:rsidR="00E175F2" w:rsidRPr="00955E19" w:rsidRDefault="00E175F2" w:rsidP="00152D36">
      <w:pPr>
        <w:numPr>
          <w:ilvl w:val="0"/>
          <w:numId w:val="28"/>
        </w:numPr>
        <w:spacing w:after="200"/>
        <w:jc w:val="both"/>
        <w:rPr>
          <w:sz w:val="20"/>
        </w:rPr>
      </w:pPr>
      <w:r w:rsidRPr="00955E19">
        <w:rPr>
          <w:sz w:val="20"/>
        </w:rPr>
        <w:t>Наредба № 2 от 17.09.2003 год. на Комисия за финансов надзор;</w:t>
      </w:r>
    </w:p>
    <w:p w14:paraId="2171A45D" w14:textId="77777777" w:rsidR="00E175F2" w:rsidRPr="00955E19" w:rsidRDefault="00E175F2" w:rsidP="00152D36">
      <w:pPr>
        <w:numPr>
          <w:ilvl w:val="0"/>
          <w:numId w:val="28"/>
        </w:numPr>
        <w:spacing w:after="200"/>
        <w:jc w:val="both"/>
        <w:rPr>
          <w:sz w:val="20"/>
        </w:rPr>
      </w:pPr>
      <w:r w:rsidRPr="00955E19">
        <w:rPr>
          <w:sz w:val="20"/>
        </w:rPr>
        <w:t>Наредба № 38 от 25.07.2007 год. на Комисия за финансов надзор;</w:t>
      </w:r>
    </w:p>
    <w:p w14:paraId="1FBB4D84" w14:textId="77777777" w:rsidR="00E175F2" w:rsidRPr="00955E19" w:rsidRDefault="00E175F2" w:rsidP="00152D36">
      <w:pPr>
        <w:numPr>
          <w:ilvl w:val="0"/>
          <w:numId w:val="28"/>
        </w:numPr>
        <w:spacing w:after="200"/>
        <w:jc w:val="both"/>
        <w:rPr>
          <w:sz w:val="20"/>
        </w:rPr>
      </w:pPr>
      <w:r w:rsidRPr="00955E19">
        <w:rPr>
          <w:sz w:val="20"/>
        </w:rPr>
        <w:lastRenderedPageBreak/>
        <w:t>Правила на Българска фондова борса – София АД;</w:t>
      </w:r>
    </w:p>
    <w:p w14:paraId="6F999099" w14:textId="77777777" w:rsidR="00E175F2" w:rsidRPr="00955E19" w:rsidRDefault="00E175F2" w:rsidP="00152D36">
      <w:pPr>
        <w:numPr>
          <w:ilvl w:val="0"/>
          <w:numId w:val="28"/>
        </w:numPr>
        <w:spacing w:after="200"/>
        <w:jc w:val="both"/>
        <w:rPr>
          <w:sz w:val="20"/>
        </w:rPr>
      </w:pPr>
      <w:r w:rsidRPr="00955E19">
        <w:rPr>
          <w:sz w:val="20"/>
        </w:rPr>
        <w:t>Правилник на Централен депозитар АД;</w:t>
      </w:r>
    </w:p>
    <w:p w14:paraId="714D4101" w14:textId="77777777" w:rsidR="00E175F2" w:rsidRPr="00955E19" w:rsidRDefault="00E175F2" w:rsidP="00152D36">
      <w:pPr>
        <w:numPr>
          <w:ilvl w:val="0"/>
          <w:numId w:val="28"/>
        </w:numPr>
        <w:spacing w:after="200"/>
        <w:jc w:val="both"/>
        <w:rPr>
          <w:sz w:val="20"/>
        </w:rPr>
      </w:pPr>
      <w:r w:rsidRPr="00955E19">
        <w:rPr>
          <w:sz w:val="20"/>
        </w:rPr>
        <w:t>Закон за корпоративното подоходно облагане;</w:t>
      </w:r>
    </w:p>
    <w:p w14:paraId="3BC3B448" w14:textId="77777777" w:rsidR="00E175F2" w:rsidRPr="00955E19" w:rsidRDefault="00E175F2" w:rsidP="00152D36">
      <w:pPr>
        <w:numPr>
          <w:ilvl w:val="0"/>
          <w:numId w:val="28"/>
        </w:numPr>
        <w:spacing w:after="200"/>
        <w:jc w:val="both"/>
        <w:rPr>
          <w:sz w:val="20"/>
        </w:rPr>
      </w:pPr>
      <w:r w:rsidRPr="00955E19">
        <w:rPr>
          <w:sz w:val="20"/>
        </w:rPr>
        <w:t>Закон за данъците върху доходите на физическите лица;</w:t>
      </w:r>
    </w:p>
    <w:p w14:paraId="5DE7FDCE" w14:textId="77777777" w:rsidR="00E175F2" w:rsidRPr="00955E19" w:rsidRDefault="00E175F2" w:rsidP="00152D36">
      <w:pPr>
        <w:numPr>
          <w:ilvl w:val="0"/>
          <w:numId w:val="28"/>
        </w:numPr>
        <w:spacing w:after="200"/>
        <w:jc w:val="both"/>
        <w:rPr>
          <w:sz w:val="20"/>
        </w:rPr>
      </w:pPr>
      <w:r w:rsidRPr="00955E19">
        <w:rPr>
          <w:sz w:val="20"/>
        </w:rPr>
        <w:t>Валутен закон.</w:t>
      </w:r>
    </w:p>
    <w:p w14:paraId="2800A4E6" w14:textId="77777777" w:rsidR="00E175F2" w:rsidRPr="00955E19" w:rsidRDefault="00E175F2" w:rsidP="00152D36">
      <w:pPr>
        <w:pStyle w:val="Heading2"/>
        <w:spacing w:line="240" w:lineRule="auto"/>
        <w:rPr>
          <w:spacing w:val="20"/>
        </w:rPr>
      </w:pPr>
      <w:bookmarkStart w:id="35" w:name="_Toc212867582"/>
      <w:bookmarkStart w:id="36" w:name="_Toc492995917"/>
      <w:r w:rsidRPr="00955E19">
        <w:rPr>
          <w:spacing w:val="20"/>
        </w:rPr>
        <w:t>4.3. Индикация за Формата на ценните книжа</w:t>
      </w:r>
      <w:bookmarkEnd w:id="35"/>
      <w:bookmarkEnd w:id="36"/>
    </w:p>
    <w:p w14:paraId="3BC2D5F6" w14:textId="77777777" w:rsidR="00E175F2" w:rsidRPr="00955E19" w:rsidRDefault="00E175F2" w:rsidP="00152D36">
      <w:pPr>
        <w:spacing w:after="200"/>
        <w:jc w:val="both"/>
        <w:rPr>
          <w:sz w:val="20"/>
        </w:rPr>
      </w:pPr>
      <w:r w:rsidRPr="00955E19">
        <w:rPr>
          <w:sz w:val="20"/>
        </w:rPr>
        <w:t xml:space="preserve">Акциите от емисията от увеличението на капитала на “ГЛЕНМООР КЕПИТАЛ” АДСИЦ са поименни и безналични. Регистрите на безналичните ценни книжа се водят от „Централен депозитар” АД, със седалище и адрес на управление в гр. София 1303, ул. „Три уши” 10, ет. 4. </w:t>
      </w:r>
    </w:p>
    <w:p w14:paraId="3C970001" w14:textId="77777777" w:rsidR="00E175F2" w:rsidRPr="00955E19" w:rsidRDefault="00E175F2" w:rsidP="00152D36">
      <w:pPr>
        <w:pStyle w:val="Heading2"/>
        <w:spacing w:line="240" w:lineRule="auto"/>
        <w:rPr>
          <w:spacing w:val="20"/>
        </w:rPr>
      </w:pPr>
      <w:bookmarkStart w:id="37" w:name="_Toc212867583"/>
      <w:bookmarkStart w:id="38" w:name="_Toc492995918"/>
      <w:r w:rsidRPr="00955E19">
        <w:rPr>
          <w:spacing w:val="20"/>
        </w:rPr>
        <w:t>4.4. Валута на емисията ценни книжа</w:t>
      </w:r>
      <w:bookmarkEnd w:id="37"/>
      <w:bookmarkEnd w:id="38"/>
    </w:p>
    <w:bookmarkEnd w:id="34"/>
    <w:p w14:paraId="07E804B4" w14:textId="77777777" w:rsidR="00E175F2" w:rsidRPr="00955E19" w:rsidRDefault="00E175F2" w:rsidP="00152D36">
      <w:pPr>
        <w:spacing w:after="200"/>
        <w:jc w:val="both"/>
        <w:rPr>
          <w:sz w:val="20"/>
        </w:rPr>
      </w:pPr>
      <w:r w:rsidRPr="00955E19">
        <w:rPr>
          <w:sz w:val="20"/>
        </w:rPr>
        <w:t xml:space="preserve">Емисията акции от увеличението на капитала “ГЛЕНМООР КЕПИТАЛ” АДСИЦ е деноминирана в български лева. Номиналната стойност на предлаганите акции е 1 (един) лев, а емисионната им стойност също е 1 (един) лев. </w:t>
      </w:r>
    </w:p>
    <w:p w14:paraId="6B0914CD" w14:textId="77777777" w:rsidR="00E175F2" w:rsidRPr="00955E19" w:rsidRDefault="00E175F2" w:rsidP="00152D36">
      <w:pPr>
        <w:pStyle w:val="Heading2"/>
        <w:spacing w:line="240" w:lineRule="auto"/>
        <w:rPr>
          <w:spacing w:val="20"/>
        </w:rPr>
      </w:pPr>
      <w:bookmarkStart w:id="39" w:name="_Toc212867584"/>
      <w:bookmarkStart w:id="40" w:name="_Toc492995919"/>
      <w:r w:rsidRPr="00955E19">
        <w:rPr>
          <w:spacing w:val="20"/>
        </w:rPr>
        <w:t>4.5. Права по ценните книжа и ред за упражняването им</w:t>
      </w:r>
      <w:bookmarkEnd w:id="39"/>
      <w:bookmarkEnd w:id="40"/>
    </w:p>
    <w:p w14:paraId="566FEB24" w14:textId="77777777" w:rsidR="00E175F2" w:rsidRPr="00955E19" w:rsidRDefault="00E175F2" w:rsidP="00152D36">
      <w:pPr>
        <w:spacing w:after="200"/>
        <w:jc w:val="both"/>
        <w:rPr>
          <w:sz w:val="20"/>
        </w:rPr>
      </w:pPr>
      <w:bookmarkStart w:id="41" w:name="OLE_LINK31"/>
      <w:r w:rsidRPr="00955E19">
        <w:rPr>
          <w:sz w:val="20"/>
        </w:rPr>
        <w:t>Всяка обикновена акция на “ГЛЕНМООР КЕПИТАЛ” АДСИЦ дава право на глас в Общото събрание на акционерите, право на дивидент и на ликвидационен дял, пропорционални с номиналната стойност на акцията.</w:t>
      </w:r>
    </w:p>
    <w:p w14:paraId="1E9CA8DC" w14:textId="77777777" w:rsidR="00E175F2" w:rsidRPr="00955E19" w:rsidRDefault="00E175F2" w:rsidP="00152D36">
      <w:pPr>
        <w:pStyle w:val="BodyText2"/>
        <w:spacing w:after="120"/>
        <w:rPr>
          <w:b/>
          <w:sz w:val="20"/>
        </w:rPr>
      </w:pPr>
      <w:r w:rsidRPr="00955E19">
        <w:rPr>
          <w:b/>
          <w:sz w:val="20"/>
        </w:rPr>
        <w:t>Право на дивидент</w:t>
      </w:r>
    </w:p>
    <w:p w14:paraId="7B06BF28" w14:textId="77777777" w:rsidR="00E175F2" w:rsidRPr="00955E19" w:rsidRDefault="00E175F2" w:rsidP="00152D36">
      <w:pPr>
        <w:spacing w:after="200"/>
        <w:jc w:val="both"/>
        <w:rPr>
          <w:sz w:val="20"/>
        </w:rPr>
      </w:pPr>
      <w:r w:rsidRPr="00955E19">
        <w:rPr>
          <w:sz w:val="20"/>
        </w:rPr>
        <w:t>Дивиденти се разпределят по решение на Общото събрание на акционерите с право на глас по предложение на Съвета на директорите.</w:t>
      </w:r>
    </w:p>
    <w:p w14:paraId="4CE06D6C" w14:textId="77777777" w:rsidR="00E175F2" w:rsidRPr="00955E19" w:rsidRDefault="00E175F2" w:rsidP="00152D36">
      <w:pPr>
        <w:spacing w:after="200"/>
        <w:jc w:val="both"/>
        <w:rPr>
          <w:sz w:val="20"/>
        </w:rPr>
      </w:pPr>
      <w:r w:rsidRPr="00955E19">
        <w:rPr>
          <w:sz w:val="20"/>
        </w:rPr>
        <w:t>Дружеството не може да изплаща на своите акционери авансово суми срещу дивиденти преди окончателното приемане на годишния финансов отчет по реда на Търговския закон и Устава на Дружеството.</w:t>
      </w:r>
    </w:p>
    <w:p w14:paraId="58D2A6DE" w14:textId="77777777" w:rsidR="00E175F2" w:rsidRPr="00955E19" w:rsidRDefault="00E175F2" w:rsidP="00152D36">
      <w:pPr>
        <w:spacing w:after="200"/>
        <w:jc w:val="both"/>
        <w:rPr>
          <w:sz w:val="20"/>
        </w:rPr>
      </w:pPr>
      <w:r w:rsidRPr="00955E19">
        <w:rPr>
          <w:sz w:val="20"/>
        </w:rPr>
        <w:t xml:space="preserve">Право да получат дивидент имат лицата, вписани в регистрите на Централния депозитар като акционери на 14-тия ден след датата на Общото събрание, на което е приет годишният финансов отчет и е прието решение за разпределяне на печалбата. </w:t>
      </w:r>
    </w:p>
    <w:p w14:paraId="24587C4D" w14:textId="77777777" w:rsidR="00E175F2" w:rsidRPr="00955E19" w:rsidRDefault="00E175F2" w:rsidP="00152D36">
      <w:pPr>
        <w:spacing w:after="200"/>
        <w:jc w:val="both"/>
        <w:rPr>
          <w:sz w:val="20"/>
        </w:rPr>
      </w:pPr>
      <w:r w:rsidRPr="00955E19">
        <w:rPr>
          <w:sz w:val="20"/>
        </w:rPr>
        <w:t>Централният депозитар предоставя на Дружеството списък на акционерите към горепосочената дата. Присъствието на лицето в този списък е достатъчно условие то да получи дивидент, след надлежната му легитимация (вж. по-долу).</w:t>
      </w:r>
    </w:p>
    <w:p w14:paraId="71A54DCB" w14:textId="77777777" w:rsidR="00E175F2" w:rsidRPr="00955E19" w:rsidRDefault="00E175F2" w:rsidP="00152D36">
      <w:pPr>
        <w:spacing w:after="200"/>
        <w:jc w:val="both"/>
        <w:rPr>
          <w:sz w:val="20"/>
        </w:rPr>
      </w:pPr>
      <w:r w:rsidRPr="00955E19">
        <w:rPr>
          <w:color w:val="000000"/>
          <w:sz w:val="20"/>
        </w:rPr>
        <w:t>Дружеството разпределя задължително като дивидент най-малко 90 % от печалбата си за финансовата година, определена по реда на чл. 10, ал. 3 ЗДСИЦ.</w:t>
      </w:r>
    </w:p>
    <w:p w14:paraId="6DA64AF2" w14:textId="77777777" w:rsidR="00E175F2" w:rsidRPr="00955E19" w:rsidRDefault="00E175F2" w:rsidP="00152D36">
      <w:pPr>
        <w:spacing w:after="200"/>
        <w:jc w:val="both"/>
        <w:rPr>
          <w:sz w:val="20"/>
        </w:rPr>
      </w:pPr>
      <w:r w:rsidRPr="00955E19">
        <w:rPr>
          <w:color w:val="000000"/>
          <w:sz w:val="20"/>
        </w:rPr>
        <w:t>Дивидентите се изплащат на акционерите в срок 12 (дванадесет) месеца от края на съответната финансова година</w:t>
      </w:r>
      <w:r w:rsidRPr="00955E19">
        <w:rPr>
          <w:sz w:val="20"/>
        </w:rPr>
        <w:t>. Изплащането на дивидента се извършва по банков път със съдействието на Централния депозитар.</w:t>
      </w:r>
    </w:p>
    <w:p w14:paraId="1F961CD4" w14:textId="77777777" w:rsidR="00E175F2" w:rsidRPr="00955E19" w:rsidRDefault="00E175F2" w:rsidP="00152D36">
      <w:pPr>
        <w:spacing w:after="200"/>
        <w:jc w:val="both"/>
        <w:rPr>
          <w:sz w:val="20"/>
        </w:rPr>
      </w:pPr>
      <w:r w:rsidRPr="00955E19">
        <w:rPr>
          <w:sz w:val="20"/>
        </w:rPr>
        <w:t xml:space="preserve">Разходите по изплащането на дивидента са за сметка на Дружеството. </w:t>
      </w:r>
    </w:p>
    <w:p w14:paraId="5CDCAEAE" w14:textId="77777777" w:rsidR="00E175F2" w:rsidRPr="00955E19" w:rsidRDefault="00E175F2" w:rsidP="00152D36">
      <w:pPr>
        <w:spacing w:after="200"/>
        <w:jc w:val="both"/>
        <w:rPr>
          <w:sz w:val="20"/>
        </w:rPr>
      </w:pPr>
      <w:r w:rsidRPr="00955E19">
        <w:rPr>
          <w:sz w:val="20"/>
        </w:rPr>
        <w:t xml:space="preserve">Лицата, имащи право на дивидент, които не го потърсят в посочения срок, могат да упражнят това право до изтичане на общия 5-годишен </w:t>
      </w:r>
      <w:proofErr w:type="spellStart"/>
      <w:r w:rsidRPr="00955E19">
        <w:rPr>
          <w:sz w:val="20"/>
        </w:rPr>
        <w:t>давностен</w:t>
      </w:r>
      <w:proofErr w:type="spellEnd"/>
      <w:r w:rsidRPr="00955E19">
        <w:rPr>
          <w:sz w:val="20"/>
        </w:rPr>
        <w:t xml:space="preserve"> срок, след което правото се погасява и неполучените дивиденти остават в Дружеството. </w:t>
      </w:r>
    </w:p>
    <w:p w14:paraId="192635DC" w14:textId="77777777" w:rsidR="00E175F2" w:rsidRPr="00955E19" w:rsidRDefault="00E175F2" w:rsidP="00152D36">
      <w:pPr>
        <w:spacing w:after="200"/>
        <w:jc w:val="both"/>
        <w:rPr>
          <w:sz w:val="20"/>
        </w:rPr>
      </w:pPr>
      <w:r w:rsidRPr="00955E19">
        <w:rPr>
          <w:sz w:val="20"/>
        </w:rPr>
        <w:t>Няма ограничения и специални процедури за непребиваващи държатели.</w:t>
      </w:r>
    </w:p>
    <w:p w14:paraId="69ECFAEE" w14:textId="77777777" w:rsidR="00E175F2" w:rsidRPr="00955E19" w:rsidRDefault="00E175F2" w:rsidP="00152D36">
      <w:pPr>
        <w:pStyle w:val="BodyText2"/>
        <w:spacing w:after="120"/>
        <w:rPr>
          <w:b/>
          <w:sz w:val="20"/>
        </w:rPr>
      </w:pPr>
      <w:r w:rsidRPr="00955E19">
        <w:rPr>
          <w:b/>
          <w:sz w:val="20"/>
        </w:rPr>
        <w:t>Право на глас</w:t>
      </w:r>
    </w:p>
    <w:p w14:paraId="43637DA3" w14:textId="77777777" w:rsidR="00E175F2" w:rsidRPr="00955E19" w:rsidRDefault="00E175F2" w:rsidP="00152D36">
      <w:pPr>
        <w:spacing w:after="200"/>
        <w:jc w:val="both"/>
        <w:rPr>
          <w:sz w:val="20"/>
        </w:rPr>
      </w:pPr>
      <w:r w:rsidRPr="00955E19">
        <w:rPr>
          <w:sz w:val="20"/>
        </w:rPr>
        <w:t>Правото на глас възниква с пълното изплащане на емисионната стойност и вписването на увеличението на капитала в Търговския регистър.</w:t>
      </w:r>
    </w:p>
    <w:p w14:paraId="5AD7B5BF" w14:textId="77777777" w:rsidR="00E175F2" w:rsidRPr="00955E19" w:rsidRDefault="00E175F2" w:rsidP="00152D36">
      <w:pPr>
        <w:spacing w:after="200"/>
        <w:jc w:val="both"/>
        <w:rPr>
          <w:sz w:val="20"/>
        </w:rPr>
      </w:pPr>
      <w:r w:rsidRPr="00955E19">
        <w:rPr>
          <w:sz w:val="20"/>
        </w:rPr>
        <w:lastRenderedPageBreak/>
        <w:t>Правото на глас в Общото събрание на акционерите се упражнява от лицата, вписани в регистрите на Централния депозитар като акционери 14 дни преди датата на Общото събрание. (Купувачът на акции, вписан в регистъра на Централния депозитар на 13-тия ден преди Общото събрание, няма да може да гласува; правото на глас по тези акции може да бъде упражнено от предишния им притежател). Централният депозитар предоставя на Дружеството списък на акционерите към горепосочената дата (14 дни преди Общото събрание). Присъствието на лицето в този списък е достатъчно условие то да участва в Общото събрание и да упражни правото си на глас, след надлежната му легитимация (лична карта за физическите лица; удостоверение за актуално състояние на акционер – юридическо лице и съответно легитимиране на неговия представител). Притежателите на правото на глас участват в Общото събрание лично или чрез представител, упълномощен с изрично писмено пълномощно, издадено от съответния акционер, което да бъде за конкретното общо събрание и да има минимално съдържание, определено по закон.</w:t>
      </w:r>
    </w:p>
    <w:p w14:paraId="206450EE" w14:textId="1F08BDA6" w:rsidR="00E175F2" w:rsidRPr="00955E19" w:rsidRDefault="00E175F2" w:rsidP="00152D36">
      <w:pPr>
        <w:spacing w:after="200"/>
        <w:jc w:val="both"/>
        <w:rPr>
          <w:sz w:val="20"/>
        </w:rPr>
      </w:pPr>
      <w:r w:rsidRPr="00955E19">
        <w:rPr>
          <w:sz w:val="20"/>
        </w:rPr>
        <w:t xml:space="preserve">При увеличение на капитала на Дружеството всеки акционер има право да придобие част от акциите от всяка допълнителна емисия от същия клас, която съответства на неговия дял в капитала преди увеличението. Право да участват в увеличението имат лицата, придобили акции най-късно 14 дни след датата на решението на Общото събрание за увеличаване на капитала, а когато решението за увеличението на капитала се взема от Съвета на директорите – лицата, придобили акции най-късно 7 дни след датата на </w:t>
      </w:r>
      <w:r w:rsidR="0077009E" w:rsidRPr="00955E19">
        <w:rPr>
          <w:sz w:val="20"/>
        </w:rPr>
        <w:t xml:space="preserve">публикуване </w:t>
      </w:r>
      <w:r w:rsidRPr="00955E19">
        <w:rPr>
          <w:sz w:val="20"/>
        </w:rPr>
        <w:t>на съобщението за публично предлагане по чл. 92а от ЗППЦК.</w:t>
      </w:r>
      <w:r w:rsidRPr="00955E19">
        <w:t xml:space="preserve"> </w:t>
      </w:r>
      <w:r w:rsidRPr="00955E19">
        <w:rPr>
          <w:sz w:val="20"/>
        </w:rPr>
        <w:t xml:space="preserve">Съгласно чл. 13, ал. 3 от ЗДСИЦ това право не се прилага при първоначалното увеличение на капитала на “ГЛЕНМООР КЕПИТАЛ” АДСИЦ, което е предмет на настоящото публично предлагане.  </w:t>
      </w:r>
    </w:p>
    <w:p w14:paraId="43818D8E" w14:textId="77777777" w:rsidR="00E175F2" w:rsidRPr="00955E19" w:rsidRDefault="00E175F2" w:rsidP="00152D36">
      <w:pPr>
        <w:spacing w:after="200"/>
        <w:jc w:val="both"/>
        <w:rPr>
          <w:sz w:val="20"/>
        </w:rPr>
      </w:pPr>
      <w:r w:rsidRPr="00955E19">
        <w:rPr>
          <w:sz w:val="20"/>
        </w:rPr>
        <w:t>При увеличаване на капитала на Дружеството чрез записване на акции се издават права по смисъла на § 1, т. 3 от Допълнителните разпоредби на ЗППЦК. Срещу всяка съществуваща акция се издава едно право. Съотношението между издадените права и една нова акция се определя в решението за увеличаване на капитала.</w:t>
      </w:r>
    </w:p>
    <w:p w14:paraId="5C206B48" w14:textId="77777777" w:rsidR="00E175F2" w:rsidRPr="00955E19" w:rsidRDefault="00E175F2" w:rsidP="00152D36">
      <w:pPr>
        <w:pStyle w:val="BodyText2"/>
        <w:spacing w:after="120"/>
        <w:rPr>
          <w:b/>
          <w:sz w:val="20"/>
        </w:rPr>
      </w:pPr>
      <w:r w:rsidRPr="00955E19">
        <w:rPr>
          <w:b/>
          <w:sz w:val="20"/>
        </w:rPr>
        <w:t xml:space="preserve">Право на дял от печалбите на Емитента </w:t>
      </w:r>
    </w:p>
    <w:p w14:paraId="62C09C2B" w14:textId="77777777" w:rsidR="00E175F2" w:rsidRPr="00955E19" w:rsidRDefault="00E175F2" w:rsidP="00152D36">
      <w:pPr>
        <w:shd w:val="clear" w:color="auto" w:fill="FFFFFF"/>
        <w:autoSpaceDE w:val="0"/>
        <w:autoSpaceDN w:val="0"/>
        <w:adjustRightInd w:val="0"/>
        <w:spacing w:before="120"/>
        <w:jc w:val="both"/>
        <w:rPr>
          <w:color w:val="000000"/>
          <w:sz w:val="20"/>
        </w:rPr>
      </w:pPr>
      <w:r w:rsidRPr="00955E19">
        <w:rPr>
          <w:color w:val="000000"/>
          <w:sz w:val="20"/>
        </w:rPr>
        <w:t>Дивиденти се изплащат, ако според проверения и приет финансов отчет за съответната година чистата стойност на имуществото, намалена с дивидентите, подлежащи на изплащане, е не по-малка от сумата на капитала на Дружеството, фонд „Резервен</w:t>
      </w:r>
      <w:r w:rsidRPr="00955E19">
        <w:rPr>
          <w:sz w:val="20"/>
        </w:rPr>
        <w:t>”</w:t>
      </w:r>
      <w:r w:rsidRPr="00955E19">
        <w:rPr>
          <w:color w:val="000000"/>
          <w:sz w:val="20"/>
        </w:rPr>
        <w:t xml:space="preserve"> и другите фондове, които Дружеството е длъжно да образува по закон или Устав. Дружеството разпределя задължително като дивидент най-малко 90 % от печалбата си за финансовата година, определена по реда на чл. 10, ал. 3 ЗДСИЦ. Дивидентите се изплащат на акционерите в срок 12 (дванадесет) месеца от края на съответната финансова година.</w:t>
      </w:r>
    </w:p>
    <w:p w14:paraId="123416DC" w14:textId="77777777" w:rsidR="00E175F2" w:rsidRPr="00955E19" w:rsidRDefault="00E175F2" w:rsidP="00152D36">
      <w:pPr>
        <w:pStyle w:val="BodyText2"/>
        <w:spacing w:after="120"/>
        <w:rPr>
          <w:b/>
          <w:sz w:val="20"/>
        </w:rPr>
      </w:pPr>
    </w:p>
    <w:p w14:paraId="735DA559" w14:textId="77777777" w:rsidR="00E175F2" w:rsidRPr="00955E19" w:rsidRDefault="00E175F2" w:rsidP="00152D36">
      <w:pPr>
        <w:pStyle w:val="BodyText2"/>
        <w:spacing w:after="120"/>
        <w:rPr>
          <w:b/>
          <w:sz w:val="20"/>
        </w:rPr>
      </w:pPr>
      <w:r w:rsidRPr="00955E19">
        <w:rPr>
          <w:b/>
          <w:sz w:val="20"/>
        </w:rPr>
        <w:t>Право на ликвидационен дял</w:t>
      </w:r>
    </w:p>
    <w:p w14:paraId="6A9D46B5" w14:textId="77777777" w:rsidR="00E175F2" w:rsidRPr="00955E19" w:rsidRDefault="00E175F2" w:rsidP="00152D36">
      <w:pPr>
        <w:spacing w:after="200"/>
        <w:jc w:val="both"/>
        <w:rPr>
          <w:sz w:val="20"/>
        </w:rPr>
      </w:pPr>
      <w:r w:rsidRPr="00955E19">
        <w:rPr>
          <w:sz w:val="20"/>
        </w:rPr>
        <w:t xml:space="preserve">Обикновената акция на Дружеството дава право на ликвидационен дял, пропорционален с номиналната стойност на акцията. Това право е условно – то възниква и може да бъде упражнено, само в случай че (и доколкото) при ликвидацията на Дружеството след удовлетворяването на претенциите на всички кредитори е останало имущество за разпределяне между акционерите и до размера на това имущество. С право на ликвидационен дял разполагат само лицата, вписани в регистрите на „Централен депозитар” АД като акционери към момента на прекратяване на Дружеството. Дружеството се прекратява по решение на Общото събрание на акционерите и в другите предвидени в закона и Устава случаи. Съгласно действащото законодателство, правото на ликвидационен дял се погасява с изтичането на общия 5-годишен </w:t>
      </w:r>
      <w:proofErr w:type="spellStart"/>
      <w:r w:rsidRPr="00955E19">
        <w:rPr>
          <w:sz w:val="20"/>
        </w:rPr>
        <w:t>давностен</w:t>
      </w:r>
      <w:proofErr w:type="spellEnd"/>
      <w:r w:rsidRPr="00955E19">
        <w:rPr>
          <w:sz w:val="20"/>
        </w:rPr>
        <w:t xml:space="preserve"> срок.</w:t>
      </w:r>
    </w:p>
    <w:p w14:paraId="2EAE85DE" w14:textId="77777777" w:rsidR="00E175F2" w:rsidRPr="00955E19" w:rsidRDefault="00E175F2" w:rsidP="00152D36">
      <w:pPr>
        <w:spacing w:after="200"/>
        <w:jc w:val="both"/>
        <w:rPr>
          <w:sz w:val="20"/>
        </w:rPr>
      </w:pPr>
      <w:r w:rsidRPr="00955E19">
        <w:rPr>
          <w:sz w:val="20"/>
        </w:rPr>
        <w:t>Всяка акция дава и допълнителни права, произтичащи от основните, както следва:</w:t>
      </w:r>
    </w:p>
    <w:p w14:paraId="78524FA4" w14:textId="77777777" w:rsidR="00E175F2" w:rsidRPr="00955E19" w:rsidRDefault="00E175F2" w:rsidP="00152D36">
      <w:pPr>
        <w:numPr>
          <w:ilvl w:val="0"/>
          <w:numId w:val="1"/>
        </w:numPr>
        <w:spacing w:after="120"/>
        <w:ind w:left="360" w:hanging="360"/>
        <w:jc w:val="both"/>
        <w:rPr>
          <w:i/>
          <w:sz w:val="20"/>
        </w:rPr>
      </w:pPr>
      <w:r w:rsidRPr="00955E19">
        <w:rPr>
          <w:i/>
          <w:sz w:val="20"/>
        </w:rPr>
        <w:t>право на всеки акционер да участва в управлението, да избира и да бъде избиран в органите на управление;</w:t>
      </w:r>
    </w:p>
    <w:p w14:paraId="08C6370D" w14:textId="77777777" w:rsidR="00E175F2" w:rsidRPr="00955E19" w:rsidRDefault="00E175F2" w:rsidP="00152D36">
      <w:pPr>
        <w:numPr>
          <w:ilvl w:val="0"/>
          <w:numId w:val="1"/>
        </w:numPr>
        <w:spacing w:after="120"/>
        <w:ind w:left="360" w:hanging="360"/>
        <w:jc w:val="both"/>
        <w:rPr>
          <w:sz w:val="20"/>
        </w:rPr>
      </w:pPr>
      <w:r w:rsidRPr="00955E19">
        <w:rPr>
          <w:i/>
          <w:sz w:val="20"/>
        </w:rPr>
        <w:t>право на информация, в това число и правото на предварително запознаване с писмените материали по обявения дневен ред на Общото събрание на акционерите и свободното им получаване при поискване</w:t>
      </w:r>
      <w:r w:rsidRPr="00955E19">
        <w:rPr>
          <w:sz w:val="20"/>
        </w:rPr>
        <w:t>;</w:t>
      </w:r>
    </w:p>
    <w:p w14:paraId="373A9390" w14:textId="77777777" w:rsidR="00E175F2" w:rsidRPr="00955E19" w:rsidRDefault="00E175F2" w:rsidP="00152D36">
      <w:pPr>
        <w:numPr>
          <w:ilvl w:val="0"/>
          <w:numId w:val="1"/>
        </w:numPr>
        <w:spacing w:after="120"/>
        <w:ind w:left="360" w:hanging="360"/>
        <w:jc w:val="both"/>
        <w:rPr>
          <w:i/>
          <w:sz w:val="20"/>
        </w:rPr>
      </w:pPr>
      <w:r w:rsidRPr="00955E19">
        <w:rPr>
          <w:i/>
          <w:sz w:val="20"/>
        </w:rPr>
        <w:t>право да обжалва пред съда решения на Общото събрание, противоречащи на закона или Устава.</w:t>
      </w:r>
    </w:p>
    <w:p w14:paraId="5D3BCABC" w14:textId="77777777" w:rsidR="00E175F2" w:rsidRPr="00955E19" w:rsidRDefault="00E175F2" w:rsidP="00152D36">
      <w:pPr>
        <w:autoSpaceDE w:val="0"/>
        <w:autoSpaceDN w:val="0"/>
        <w:adjustRightInd w:val="0"/>
        <w:spacing w:after="120"/>
        <w:rPr>
          <w:b/>
          <w:sz w:val="20"/>
          <w:lang w:eastAsia="bg-BG"/>
        </w:rPr>
      </w:pPr>
      <w:r w:rsidRPr="00955E19">
        <w:rPr>
          <w:b/>
          <w:sz w:val="20"/>
          <w:lang w:eastAsia="bg-BG"/>
        </w:rPr>
        <w:t>Права на миноритарните акционери:</w:t>
      </w:r>
    </w:p>
    <w:p w14:paraId="59DD7CD1" w14:textId="77777777" w:rsidR="00E175F2" w:rsidRPr="00955E19" w:rsidRDefault="00E175F2" w:rsidP="00152D36">
      <w:pPr>
        <w:spacing w:after="200"/>
        <w:jc w:val="both"/>
        <w:rPr>
          <w:sz w:val="20"/>
        </w:rPr>
      </w:pPr>
      <w:r w:rsidRPr="00955E19">
        <w:rPr>
          <w:sz w:val="20"/>
        </w:rPr>
        <w:t>Акционери, притежаващи заедно или поотделно най-малко 5 на сто от капитала на Дружеството могат:</w:t>
      </w:r>
    </w:p>
    <w:p w14:paraId="210A34B2" w14:textId="77777777" w:rsidR="00E175F2" w:rsidRPr="00955E19" w:rsidRDefault="00E175F2" w:rsidP="00152D36">
      <w:pPr>
        <w:numPr>
          <w:ilvl w:val="0"/>
          <w:numId w:val="1"/>
        </w:numPr>
        <w:spacing w:after="120"/>
        <w:ind w:left="360" w:hanging="360"/>
        <w:jc w:val="both"/>
        <w:rPr>
          <w:i/>
          <w:sz w:val="20"/>
        </w:rPr>
      </w:pPr>
      <w:r w:rsidRPr="00955E19">
        <w:rPr>
          <w:i/>
          <w:sz w:val="20"/>
        </w:rPr>
        <w:lastRenderedPageBreak/>
        <w:t>при бездействие на управителните му органи, което застрашава интересите на Дружеството, да предявят пред съда исковете на Дружеството срещу трети лица;</w:t>
      </w:r>
    </w:p>
    <w:p w14:paraId="1F94512E" w14:textId="77777777" w:rsidR="00E175F2" w:rsidRPr="00955E19" w:rsidRDefault="00E175F2" w:rsidP="00152D36">
      <w:pPr>
        <w:numPr>
          <w:ilvl w:val="0"/>
          <w:numId w:val="1"/>
        </w:numPr>
        <w:spacing w:after="120"/>
        <w:ind w:left="360" w:hanging="360"/>
        <w:jc w:val="both"/>
        <w:rPr>
          <w:i/>
          <w:sz w:val="20"/>
        </w:rPr>
      </w:pPr>
      <w:r w:rsidRPr="00955E19">
        <w:rPr>
          <w:i/>
          <w:sz w:val="20"/>
        </w:rPr>
        <w:t xml:space="preserve"> да предявят иск пред окръжния съд по седалището на Дружеството за обезщетение на вреди, причинени на Дружеството от действия или бездействия на членовете на управителните и контролните органи и на прокуристите на Дружеството;</w:t>
      </w:r>
    </w:p>
    <w:p w14:paraId="17FB1440" w14:textId="77777777" w:rsidR="00E175F2" w:rsidRPr="00955E19" w:rsidRDefault="00E175F2" w:rsidP="00152D36">
      <w:pPr>
        <w:numPr>
          <w:ilvl w:val="0"/>
          <w:numId w:val="1"/>
        </w:numPr>
        <w:spacing w:after="120"/>
        <w:ind w:left="360" w:hanging="360"/>
        <w:jc w:val="both"/>
        <w:rPr>
          <w:i/>
          <w:sz w:val="20"/>
        </w:rPr>
      </w:pPr>
      <w:r w:rsidRPr="00955E19">
        <w:rPr>
          <w:i/>
          <w:sz w:val="20"/>
        </w:rPr>
        <w:t>да искат от Общото събрание или от окръжния съд назначаването на контрольори, които да проверят цялата счетоводна документация на Дружеството и да изготвят доклад за констатациите си;</w:t>
      </w:r>
    </w:p>
    <w:p w14:paraId="16449A1E" w14:textId="77777777" w:rsidR="00E175F2" w:rsidRPr="00955E19" w:rsidRDefault="00E175F2" w:rsidP="00152D36">
      <w:pPr>
        <w:numPr>
          <w:ilvl w:val="0"/>
          <w:numId w:val="1"/>
        </w:numPr>
        <w:spacing w:after="120"/>
        <w:ind w:left="360" w:hanging="360"/>
        <w:jc w:val="both"/>
        <w:rPr>
          <w:i/>
          <w:sz w:val="20"/>
        </w:rPr>
      </w:pPr>
      <w:r w:rsidRPr="00955E19">
        <w:rPr>
          <w:i/>
          <w:sz w:val="20"/>
        </w:rPr>
        <w:t>да искат от окръжния съд свикване на Общо събрание или овластяване на техен представител да свика Общо събрание по определен от тях дневен ред;</w:t>
      </w:r>
    </w:p>
    <w:p w14:paraId="60D93395" w14:textId="77777777" w:rsidR="00E175F2" w:rsidRPr="00955E19" w:rsidRDefault="00E175F2" w:rsidP="00152D36">
      <w:pPr>
        <w:numPr>
          <w:ilvl w:val="0"/>
          <w:numId w:val="1"/>
        </w:numPr>
        <w:spacing w:after="120"/>
        <w:ind w:left="360" w:hanging="360"/>
        <w:jc w:val="both"/>
        <w:rPr>
          <w:i/>
          <w:sz w:val="20"/>
        </w:rPr>
      </w:pPr>
      <w:r w:rsidRPr="00955E19">
        <w:rPr>
          <w:i/>
          <w:sz w:val="20"/>
        </w:rPr>
        <w:t>да включат нови въпроси и да предлагат решения по вече включени въпроси в дневния ред на вече свикано Общо събрание на акционерите по реда на чл. 223а от Търговския закон.</w:t>
      </w:r>
    </w:p>
    <w:p w14:paraId="079CCE4C" w14:textId="77777777" w:rsidR="00E175F2" w:rsidRPr="00955E19" w:rsidRDefault="00E175F2" w:rsidP="00152D36">
      <w:pPr>
        <w:spacing w:after="200"/>
        <w:jc w:val="both"/>
        <w:rPr>
          <w:sz w:val="20"/>
        </w:rPr>
      </w:pPr>
      <w:r w:rsidRPr="00955E19">
        <w:rPr>
          <w:sz w:val="20"/>
        </w:rPr>
        <w:t>Акционери, които повече от три месеца притежават акции, представляващи поне 5 на сто от капитала на Дружеството, могат след обявяване в търговския регистър или изпращане на поканата да включат и други въпроси в дневния ред на общото събрание, съгласно чл. 223а от ТЗ.</w:t>
      </w:r>
    </w:p>
    <w:p w14:paraId="25A2F40E" w14:textId="77777777" w:rsidR="00E175F2" w:rsidRPr="00955E19" w:rsidRDefault="00E175F2" w:rsidP="00152D36">
      <w:pPr>
        <w:spacing w:after="200"/>
        <w:jc w:val="both"/>
        <w:rPr>
          <w:sz w:val="20"/>
        </w:rPr>
      </w:pPr>
      <w:r w:rsidRPr="00955E19">
        <w:rPr>
          <w:sz w:val="20"/>
        </w:rPr>
        <w:t>Уставът на “ГЛЕНМООР КЕПИТАЛ” АДСИЦ не предвижда други особени права и привилегии по акциите, предмет на публично предлагане. Правата, предоставяни от акциите, предмет на настоящото публично предлагане, не могат да бъдат ограничени от права, предоставяни от друг клас ценни книжа или от разпоредбите на договор или друг документ.</w:t>
      </w:r>
    </w:p>
    <w:p w14:paraId="77798AA2" w14:textId="77777777" w:rsidR="00E175F2" w:rsidRPr="00955E19" w:rsidRDefault="00E175F2" w:rsidP="00152D36">
      <w:pPr>
        <w:pStyle w:val="BodyText2"/>
        <w:spacing w:after="120"/>
        <w:rPr>
          <w:b/>
          <w:sz w:val="20"/>
          <w:lang w:eastAsia="bg-BG"/>
        </w:rPr>
      </w:pPr>
      <w:r w:rsidRPr="00955E19">
        <w:rPr>
          <w:b/>
          <w:sz w:val="20"/>
          <w:lang w:eastAsia="bg-BG"/>
        </w:rPr>
        <w:t>Условия за обратно изкупуване</w:t>
      </w:r>
    </w:p>
    <w:p w14:paraId="0CC868FB" w14:textId="77777777" w:rsidR="00E175F2" w:rsidRPr="00955E19" w:rsidRDefault="00E175F2" w:rsidP="00152D36">
      <w:pPr>
        <w:pStyle w:val="BodyText2"/>
        <w:spacing w:after="120"/>
        <w:rPr>
          <w:sz w:val="20"/>
        </w:rPr>
      </w:pPr>
      <w:r w:rsidRPr="00955E19">
        <w:rPr>
          <w:sz w:val="20"/>
        </w:rPr>
        <w:t>Съгласно чл. 22, ал. 4 от ЗДСИЦ, Дружеството не може да извършва обратно изкупуване по реда на чл. 111, ал. 5 от ЗППЦК.</w:t>
      </w:r>
    </w:p>
    <w:p w14:paraId="7F703009" w14:textId="77777777" w:rsidR="00E175F2" w:rsidRPr="00955E19" w:rsidRDefault="00E175F2" w:rsidP="00152D36">
      <w:pPr>
        <w:pStyle w:val="BodyText2"/>
        <w:spacing w:after="120"/>
        <w:rPr>
          <w:b/>
          <w:sz w:val="20"/>
          <w:lang w:eastAsia="bg-BG"/>
        </w:rPr>
      </w:pPr>
      <w:r w:rsidRPr="00955E19" w:rsidDel="00591D82">
        <w:rPr>
          <w:sz w:val="20"/>
        </w:rPr>
        <w:t xml:space="preserve"> </w:t>
      </w:r>
      <w:r w:rsidRPr="00955E19">
        <w:rPr>
          <w:b/>
          <w:sz w:val="20"/>
          <w:lang w:eastAsia="bg-BG"/>
        </w:rPr>
        <w:t>Условия за конвертиране</w:t>
      </w:r>
    </w:p>
    <w:p w14:paraId="0DEFB4B8" w14:textId="77777777" w:rsidR="00E175F2" w:rsidRPr="00955E19" w:rsidRDefault="00E175F2" w:rsidP="00152D36">
      <w:pPr>
        <w:spacing w:after="200"/>
        <w:jc w:val="both"/>
        <w:rPr>
          <w:sz w:val="20"/>
        </w:rPr>
      </w:pPr>
      <w:r w:rsidRPr="00955E19">
        <w:rPr>
          <w:sz w:val="20"/>
        </w:rPr>
        <w:t>Няма издадени конвертируеми ценни книжа.</w:t>
      </w:r>
    </w:p>
    <w:p w14:paraId="3FF4BC9A" w14:textId="77777777" w:rsidR="00E175F2" w:rsidRPr="00955E19" w:rsidRDefault="00E175F2" w:rsidP="00152D36">
      <w:pPr>
        <w:pStyle w:val="Heading2"/>
        <w:spacing w:line="240" w:lineRule="auto"/>
        <w:jc w:val="both"/>
        <w:rPr>
          <w:spacing w:val="20"/>
        </w:rPr>
      </w:pPr>
      <w:bookmarkStart w:id="42" w:name="_Toc212867585"/>
      <w:bookmarkStart w:id="43" w:name="_Toc492995920"/>
      <w:bookmarkEnd w:id="41"/>
      <w:r w:rsidRPr="00955E19">
        <w:rPr>
          <w:spacing w:val="20"/>
        </w:rPr>
        <w:t>4.6. Решения, разрешения и одобрения, въз основа на които ценните книжа ще бъдат издадени</w:t>
      </w:r>
      <w:bookmarkEnd w:id="42"/>
      <w:bookmarkEnd w:id="43"/>
    </w:p>
    <w:p w14:paraId="2AF43DE8" w14:textId="77777777" w:rsidR="00E175F2" w:rsidRPr="00955E19" w:rsidRDefault="00E175F2" w:rsidP="00C36CA2">
      <w:pPr>
        <w:spacing w:after="200"/>
        <w:jc w:val="both"/>
        <w:rPr>
          <w:sz w:val="20"/>
        </w:rPr>
      </w:pPr>
      <w:bookmarkStart w:id="44" w:name="OLE_LINK6"/>
      <w:bookmarkStart w:id="45" w:name="OLE_LINK7"/>
      <w:bookmarkStart w:id="46" w:name="OLE_LINK8"/>
      <w:r w:rsidRPr="00955E19">
        <w:rPr>
          <w:sz w:val="20"/>
        </w:rPr>
        <w:t>Предлаганите акции от първоначалното увеличение на капитала на “ГЛЕНМООР КЕПИТАЛ” АДСИЦ се издават на основание решение на неговото Учредително събрание от 07.0</w:t>
      </w:r>
      <w:r w:rsidRPr="00955E19">
        <w:rPr>
          <w:sz w:val="20"/>
          <w:lang w:val="ru-RU"/>
        </w:rPr>
        <w:t>3</w:t>
      </w:r>
      <w:r w:rsidRPr="00955E19">
        <w:rPr>
          <w:sz w:val="20"/>
        </w:rPr>
        <w:t>.20</w:t>
      </w:r>
      <w:r w:rsidRPr="00955E19">
        <w:rPr>
          <w:sz w:val="20"/>
          <w:lang w:val="ru-RU"/>
        </w:rPr>
        <w:t>17</w:t>
      </w:r>
      <w:r w:rsidRPr="00955E19">
        <w:rPr>
          <w:sz w:val="20"/>
        </w:rPr>
        <w:t xml:space="preserve"> г. Решението за първоначално увеличение на капитала е взето на основание чл. 5, ал. 3 и чл. 13 от ЗДСИЦ. Решението предвижда първоначално увеличение на капитала на “ГЛЕНМООР КЕПИТАЛ” АДСИЦ от 500 000 лева на 650 000 лева чрез първично публично предлагане на нови 150 000 броя обикновени, безналични акции, с право на глас, с номинална и емисионна стойност от 1 лев всяка една, от същия клас акции като акциите, записани на учредителното събрание.</w:t>
      </w:r>
    </w:p>
    <w:bookmarkEnd w:id="44"/>
    <w:bookmarkEnd w:id="45"/>
    <w:bookmarkEnd w:id="46"/>
    <w:p w14:paraId="76F7BE93" w14:textId="08B6622C" w:rsidR="00E175F2" w:rsidRPr="00955E19" w:rsidRDefault="00E175F2" w:rsidP="00152D36">
      <w:pPr>
        <w:spacing w:after="200"/>
        <w:jc w:val="both"/>
        <w:rPr>
          <w:sz w:val="20"/>
        </w:rPr>
      </w:pPr>
      <w:r w:rsidRPr="00955E19">
        <w:rPr>
          <w:sz w:val="20"/>
        </w:rPr>
        <w:t xml:space="preserve">На свое заседание от </w:t>
      </w:r>
      <w:r w:rsidRPr="00955E19">
        <w:rPr>
          <w:sz w:val="20"/>
          <w:lang w:val="ru-RU"/>
        </w:rPr>
        <w:t>0</w:t>
      </w:r>
      <w:r w:rsidR="00AB6AEF" w:rsidRPr="00955E19">
        <w:rPr>
          <w:sz w:val="20"/>
          <w:lang w:val="ru-RU"/>
        </w:rPr>
        <w:t>8</w:t>
      </w:r>
      <w:r w:rsidRPr="00955E19">
        <w:rPr>
          <w:sz w:val="20"/>
        </w:rPr>
        <w:t>.0</w:t>
      </w:r>
      <w:r w:rsidR="00AB6AEF" w:rsidRPr="00955E19">
        <w:rPr>
          <w:sz w:val="20"/>
          <w:lang w:val="ru-RU"/>
        </w:rPr>
        <w:t>9</w:t>
      </w:r>
      <w:r w:rsidRPr="00955E19">
        <w:rPr>
          <w:sz w:val="20"/>
        </w:rPr>
        <w:t>.201</w:t>
      </w:r>
      <w:r w:rsidRPr="00955E19">
        <w:rPr>
          <w:sz w:val="20"/>
          <w:lang w:val="ru-RU"/>
        </w:rPr>
        <w:t>7</w:t>
      </w:r>
      <w:r w:rsidRPr="00955E19">
        <w:rPr>
          <w:sz w:val="20"/>
        </w:rPr>
        <w:t xml:space="preserve"> г. Съветът на директорите е приел Проспекта за първично публично предлагане на акции на “ГЛЕНМООР КЕПИТАЛ” АДСИЦ.</w:t>
      </w:r>
    </w:p>
    <w:p w14:paraId="195710AE" w14:textId="77777777" w:rsidR="00E175F2" w:rsidRPr="00955E19" w:rsidRDefault="00E175F2" w:rsidP="00152D36">
      <w:pPr>
        <w:spacing w:after="200"/>
        <w:jc w:val="both"/>
        <w:rPr>
          <w:sz w:val="20"/>
        </w:rPr>
      </w:pPr>
      <w:r w:rsidRPr="00955E19">
        <w:rPr>
          <w:sz w:val="20"/>
        </w:rPr>
        <w:t>Проспектът за първично публично предлагане на акции, част от който е настоящият Документ за предлаганите ценни книжа, е потвърден от Комисията за финансов надзор с Решение № ….-ДСИЦ/…….201</w:t>
      </w:r>
      <w:r w:rsidRPr="00955E19">
        <w:rPr>
          <w:sz w:val="20"/>
          <w:lang w:val="ru-RU"/>
        </w:rPr>
        <w:t>7</w:t>
      </w:r>
      <w:r w:rsidRPr="00955E19">
        <w:rPr>
          <w:sz w:val="20"/>
        </w:rPr>
        <w:t xml:space="preserve"> г.</w:t>
      </w:r>
    </w:p>
    <w:p w14:paraId="3C279FAE" w14:textId="77777777" w:rsidR="00E175F2" w:rsidRPr="00955E19" w:rsidRDefault="00E175F2" w:rsidP="00152D36">
      <w:pPr>
        <w:pStyle w:val="Heading2"/>
        <w:spacing w:line="240" w:lineRule="auto"/>
        <w:jc w:val="both"/>
        <w:rPr>
          <w:spacing w:val="20"/>
        </w:rPr>
      </w:pPr>
      <w:bookmarkStart w:id="47" w:name="_Toc212867586"/>
      <w:bookmarkStart w:id="48" w:name="_Toc492995921"/>
      <w:r w:rsidRPr="00955E19">
        <w:rPr>
          <w:spacing w:val="20"/>
        </w:rPr>
        <w:t>4.7. Очаквана дата на издаване на емисията акции от увеличението на капитала</w:t>
      </w:r>
      <w:bookmarkEnd w:id="47"/>
      <w:bookmarkEnd w:id="48"/>
      <w:r w:rsidRPr="00955E19">
        <w:rPr>
          <w:spacing w:val="20"/>
        </w:rPr>
        <w:t xml:space="preserve"> </w:t>
      </w:r>
    </w:p>
    <w:p w14:paraId="5725A017" w14:textId="2EB3D017" w:rsidR="00E175F2" w:rsidRPr="00955E19" w:rsidRDefault="00E175F2" w:rsidP="00152D36">
      <w:pPr>
        <w:spacing w:after="200"/>
        <w:jc w:val="both"/>
        <w:rPr>
          <w:sz w:val="20"/>
        </w:rPr>
      </w:pPr>
      <w:r w:rsidRPr="00955E19">
        <w:rPr>
          <w:sz w:val="20"/>
        </w:rPr>
        <w:t>Увеличението на капитала има действие от датата на вписването му в българския Търговски регистър. Новите акции се издават с регистриране на увеличението на капитала в Централния депозитар, като се очаква това да стане на</w:t>
      </w:r>
      <w:r w:rsidR="009A37CA">
        <w:rPr>
          <w:sz w:val="20"/>
        </w:rPr>
        <w:t xml:space="preserve"> или около </w:t>
      </w:r>
      <w:r w:rsidR="00371C9F">
        <w:rPr>
          <w:sz w:val="20"/>
        </w:rPr>
        <w:t>0</w:t>
      </w:r>
      <w:r w:rsidR="009A37CA">
        <w:rPr>
          <w:sz w:val="20"/>
          <w:lang w:val="en-US"/>
        </w:rPr>
        <w:t>9</w:t>
      </w:r>
      <w:r w:rsidR="009A37CA">
        <w:rPr>
          <w:sz w:val="20"/>
        </w:rPr>
        <w:t>.</w:t>
      </w:r>
      <w:r w:rsidR="00371C9F">
        <w:rPr>
          <w:sz w:val="20"/>
        </w:rPr>
        <w:t>0</w:t>
      </w:r>
      <w:r w:rsidR="009A37CA">
        <w:rPr>
          <w:sz w:val="20"/>
          <w:lang w:val="en-US"/>
        </w:rPr>
        <w:t>2</w:t>
      </w:r>
      <w:r w:rsidRPr="00955E19">
        <w:rPr>
          <w:sz w:val="20"/>
        </w:rPr>
        <w:t>.201</w:t>
      </w:r>
      <w:r w:rsidR="00371C9F">
        <w:rPr>
          <w:sz w:val="20"/>
        </w:rPr>
        <w:t>8</w:t>
      </w:r>
      <w:r w:rsidRPr="00955E19">
        <w:rPr>
          <w:sz w:val="20"/>
        </w:rPr>
        <w:t xml:space="preserve"> г. За по-подробна информация вж. т. Очакван график на предлагането. </w:t>
      </w:r>
    </w:p>
    <w:p w14:paraId="597B6FF1" w14:textId="77777777" w:rsidR="00E175F2" w:rsidRPr="00955E19" w:rsidRDefault="00E175F2" w:rsidP="00152D36">
      <w:pPr>
        <w:pStyle w:val="Heading2"/>
        <w:spacing w:line="240" w:lineRule="auto"/>
        <w:jc w:val="both"/>
        <w:rPr>
          <w:spacing w:val="20"/>
        </w:rPr>
      </w:pPr>
      <w:bookmarkStart w:id="49" w:name="_Toc212867587"/>
      <w:bookmarkStart w:id="50" w:name="_Toc492995922"/>
      <w:r w:rsidRPr="00955E19">
        <w:rPr>
          <w:spacing w:val="20"/>
        </w:rPr>
        <w:t xml:space="preserve">4.8. Ред за прехвърляне и ограничения върху свободната </w:t>
      </w:r>
      <w:proofErr w:type="spellStart"/>
      <w:r w:rsidRPr="00955E19">
        <w:rPr>
          <w:spacing w:val="20"/>
        </w:rPr>
        <w:t>прехвърляемост</w:t>
      </w:r>
      <w:proofErr w:type="spellEnd"/>
      <w:r w:rsidRPr="00955E19">
        <w:rPr>
          <w:spacing w:val="20"/>
        </w:rPr>
        <w:t xml:space="preserve"> на ценните книжа</w:t>
      </w:r>
      <w:bookmarkEnd w:id="49"/>
      <w:bookmarkEnd w:id="50"/>
    </w:p>
    <w:p w14:paraId="6F82455E" w14:textId="77777777" w:rsidR="00E175F2" w:rsidRPr="00955E19" w:rsidRDefault="00E175F2" w:rsidP="00152D36">
      <w:pPr>
        <w:spacing w:after="200"/>
        <w:jc w:val="both"/>
        <w:rPr>
          <w:sz w:val="20"/>
        </w:rPr>
      </w:pPr>
      <w:bookmarkStart w:id="51" w:name="OLE_LINK33"/>
      <w:bookmarkStart w:id="52" w:name="OLE_LINK34"/>
      <w:r w:rsidRPr="00955E19">
        <w:rPr>
          <w:sz w:val="20"/>
        </w:rPr>
        <w:t xml:space="preserve">Издадените от “ГЛЕНМООР КЕПИТАЛ” АДСИЦ акции се прехвърлят свободно, без ограничения, според волята на притежателя им и по реда, предвиден в ЗПФИ, Наредба № 38 на КФН за изискванията към дейността на инвестиционните посредници, Правилникът на „Централен депозитар“ АД (ЦД) и </w:t>
      </w:r>
      <w:r w:rsidRPr="00955E19">
        <w:rPr>
          <w:sz w:val="20"/>
        </w:rPr>
        <w:lastRenderedPageBreak/>
        <w:t>Правилата на БФБ (вж. по-долу). Прехвърлянето на акциите се счита за извършено от момента на регистрация на сделката в Централния депозитар.</w:t>
      </w:r>
    </w:p>
    <w:p w14:paraId="73AC18A9" w14:textId="77777777" w:rsidR="00E175F2" w:rsidRPr="00955E19" w:rsidRDefault="00E175F2" w:rsidP="00152D36">
      <w:pPr>
        <w:spacing w:after="200"/>
        <w:jc w:val="both"/>
        <w:rPr>
          <w:sz w:val="20"/>
        </w:rPr>
      </w:pPr>
      <w:r w:rsidRPr="00955E19">
        <w:rPr>
          <w:sz w:val="20"/>
        </w:rPr>
        <w:t>Търговията с акции на Дружеството на регулиран пазар ще се извършва на БФБ чрез лицензиран инвестиционен посредник, член на БФБ. Търговия с акции от капитала на “ГЛЕНМООР КЕПИТАЛ” АДСИЦ може да се извършва и извън регулиран пазар при спазване на изискванията на приложимата нормативна уредба и Правилника на ЦД.</w:t>
      </w:r>
    </w:p>
    <w:p w14:paraId="2C3B12CB" w14:textId="77777777" w:rsidR="00E175F2" w:rsidRPr="00955E19" w:rsidRDefault="00E175F2" w:rsidP="00152D36">
      <w:pPr>
        <w:spacing w:after="200"/>
        <w:jc w:val="both"/>
        <w:rPr>
          <w:sz w:val="20"/>
        </w:rPr>
      </w:pPr>
      <w:r w:rsidRPr="00955E19">
        <w:rPr>
          <w:sz w:val="20"/>
        </w:rPr>
        <w:t xml:space="preserve">За да закупят или продадат акции на БФБ, инвеститорите следва да подадат съответните нареждания за покупка или продажба до инвестиционния посредник, с който имат сключен договор. След сключване на борсовата сделка инвестиционният посредник извършва необходимите действия за регистрация на сделката в ЦД и за извършване на </w:t>
      </w:r>
      <w:proofErr w:type="spellStart"/>
      <w:r w:rsidRPr="00955E19">
        <w:rPr>
          <w:sz w:val="20"/>
        </w:rPr>
        <w:t>сетълмента</w:t>
      </w:r>
      <w:proofErr w:type="spellEnd"/>
      <w:r w:rsidRPr="00955E19">
        <w:rPr>
          <w:sz w:val="20"/>
        </w:rPr>
        <w:t>, с което акциите се прехвърлят от сметката на продавача в сметката на купувача.</w:t>
      </w:r>
    </w:p>
    <w:p w14:paraId="714CB1E9" w14:textId="77777777" w:rsidR="00E175F2" w:rsidRPr="00955E19" w:rsidRDefault="00E175F2" w:rsidP="00152D36">
      <w:pPr>
        <w:spacing w:after="200"/>
        <w:jc w:val="both"/>
        <w:rPr>
          <w:sz w:val="20"/>
        </w:rPr>
      </w:pPr>
      <w:r w:rsidRPr="00955E19">
        <w:rPr>
          <w:sz w:val="20"/>
        </w:rPr>
        <w:t>Страните по сделки с акции от капитала на Дружеството, предварително сключени пряко между тях, страните по сключен договор за дарение с предмет акции от капитала на Дружеството, както и наследниците на починал акционер, ползват услугите на инвестиционен посредник, действащ като регистрационен агент, относно вписването на прехвърлянето в регистрите на „Централен депозитар“ АД, включително и за издаване на нов удостоверителен документ за регистрация в полза на приобретателя на акциите.</w:t>
      </w:r>
    </w:p>
    <w:p w14:paraId="26523261" w14:textId="77777777" w:rsidR="00E175F2" w:rsidRPr="00955E19" w:rsidRDefault="00E175F2" w:rsidP="00152D36">
      <w:pPr>
        <w:spacing w:after="200"/>
        <w:jc w:val="both"/>
        <w:rPr>
          <w:sz w:val="20"/>
        </w:rPr>
      </w:pPr>
      <w:r w:rsidRPr="00955E19">
        <w:rPr>
          <w:sz w:val="20"/>
        </w:rPr>
        <w:t>Съгласно чл. 35, ал. 1 от Наредба № 38 на КФН, инвестиционните посредници имат задължение да изискват от клиентите си, съответно от техните пълномощници, да декларират дали:</w:t>
      </w:r>
    </w:p>
    <w:p w14:paraId="3A637B18" w14:textId="77777777" w:rsidR="00E175F2" w:rsidRPr="00955E19" w:rsidRDefault="00E175F2" w:rsidP="00152D36">
      <w:pPr>
        <w:spacing w:after="200"/>
        <w:jc w:val="both"/>
        <w:rPr>
          <w:sz w:val="20"/>
        </w:rPr>
      </w:pPr>
      <w:r w:rsidRPr="00955E19">
        <w:rPr>
          <w:sz w:val="20"/>
        </w:rPr>
        <w:t>1. притежават вътрешна информация за финансовите инструменти, за които се отнася нареждането и за техния емитент, ако финансовите инструменти, за които се отнася нареждането или на базата, на които са издадени финансовите инструменти – предмет на нареждането, се търгуват на регулиран пазар;</w:t>
      </w:r>
    </w:p>
    <w:p w14:paraId="157628FB" w14:textId="77777777" w:rsidR="00E175F2" w:rsidRPr="00955E19" w:rsidRDefault="00E175F2" w:rsidP="00152D36">
      <w:pPr>
        <w:spacing w:after="200"/>
        <w:jc w:val="both"/>
        <w:rPr>
          <w:sz w:val="20"/>
        </w:rPr>
      </w:pPr>
      <w:r w:rsidRPr="00955E19">
        <w:rPr>
          <w:sz w:val="20"/>
        </w:rPr>
        <w:t>2. финансовите инструменти – предмет на нареждането за продажба или за замяна, са блокирани в депозитарната институция, в която се съхраняват, дали върху тях е учреден залог или е наложен запор;</w:t>
      </w:r>
    </w:p>
    <w:p w14:paraId="710ECFD1" w14:textId="77777777" w:rsidR="00E175F2" w:rsidRPr="00955E19" w:rsidRDefault="00E175F2" w:rsidP="00152D36">
      <w:pPr>
        <w:spacing w:after="200"/>
        <w:jc w:val="both"/>
        <w:rPr>
          <w:sz w:val="20"/>
        </w:rPr>
      </w:pPr>
      <w:r w:rsidRPr="00955E19">
        <w:rPr>
          <w:sz w:val="20"/>
        </w:rPr>
        <w:t>3. сделката – предмет на нареждането, представлява прикрита покупка или продажба на финансови инструменти.</w:t>
      </w:r>
    </w:p>
    <w:p w14:paraId="60476C53" w14:textId="77777777" w:rsidR="00E175F2" w:rsidRPr="00955E19" w:rsidRDefault="00E175F2" w:rsidP="00152D36">
      <w:pPr>
        <w:spacing w:after="200"/>
        <w:jc w:val="both"/>
        <w:rPr>
          <w:sz w:val="20"/>
        </w:rPr>
      </w:pPr>
      <w:r w:rsidRPr="00955E19">
        <w:rPr>
          <w:sz w:val="20"/>
        </w:rPr>
        <w:t xml:space="preserve">Съответният инвестиционен посредник проверява (освен в случаите, изрично посочени в приложимата нормативна уредба като изключения от това правило) в депозитарната институции дали финансовите инструменти, за които се отнася нареждането за продажба, са налични по </w:t>
      </w:r>
      <w:proofErr w:type="spellStart"/>
      <w:r w:rsidRPr="00955E19">
        <w:rPr>
          <w:sz w:val="20"/>
        </w:rPr>
        <w:t>подсметката</w:t>
      </w:r>
      <w:proofErr w:type="spellEnd"/>
      <w:r w:rsidRPr="00955E19">
        <w:rPr>
          <w:sz w:val="20"/>
        </w:rPr>
        <w:t xml:space="preserve"> на неговия клиент, дали са блокирани и дали върху тях е учреден залог или е наложен запор.</w:t>
      </w:r>
    </w:p>
    <w:p w14:paraId="2F139F78" w14:textId="77777777" w:rsidR="00E175F2" w:rsidRPr="00955E19" w:rsidRDefault="00E175F2" w:rsidP="00152D36">
      <w:pPr>
        <w:spacing w:after="200"/>
        <w:jc w:val="both"/>
        <w:rPr>
          <w:sz w:val="20"/>
        </w:rPr>
      </w:pPr>
      <w:r w:rsidRPr="00955E19">
        <w:rPr>
          <w:sz w:val="20"/>
        </w:rPr>
        <w:t>Съответният инвестиционен посредник няма право да изпълни нареждане на негов клиент, ако клиентът, съответно неговият пълномощник, откаже да подаде декларация по чл. 35, ал. 1 от Наредба № 38, или декларира, че сделката – предмет на нареждането, представлява прикрита покупка или продажба на финансови инструменти. Отказът по изречение първо се удостоверява с отделен документ, подписан от клиента.</w:t>
      </w:r>
    </w:p>
    <w:p w14:paraId="1ED986FA" w14:textId="77777777" w:rsidR="00E175F2" w:rsidRPr="00955E19" w:rsidRDefault="00E175F2" w:rsidP="00152D36">
      <w:pPr>
        <w:spacing w:after="200"/>
        <w:jc w:val="both"/>
        <w:rPr>
          <w:sz w:val="20"/>
        </w:rPr>
      </w:pPr>
      <w:r w:rsidRPr="00955E19">
        <w:rPr>
          <w:sz w:val="20"/>
        </w:rPr>
        <w:t>Съответният инвестиционен посредник няма право да изпълни нареждането, ако е декларирано или ако установи, че финансовите инструменти – предмет на нареждане за продажба, са блокирани в депозитарната институция, както и ако върху тях е учреден залог или е наложен запор.</w:t>
      </w:r>
    </w:p>
    <w:p w14:paraId="1A1BEA22" w14:textId="77777777" w:rsidR="00E175F2" w:rsidRPr="00955E19" w:rsidRDefault="00E175F2" w:rsidP="00152D36">
      <w:pPr>
        <w:spacing w:after="200"/>
        <w:jc w:val="both"/>
        <w:rPr>
          <w:sz w:val="20"/>
        </w:rPr>
      </w:pPr>
      <w:r w:rsidRPr="00955E19">
        <w:rPr>
          <w:sz w:val="20"/>
        </w:rPr>
        <w:t>Тази забрана не се прилага по отношение на заложени финансови инструменти, ако приобретателят е уведомен за учредения залог и е изразил изрично съгласие да придобие заложените финансови инструменти, налице е изрично съгласие на заложния кредитор в предвидените по Закона за особените залози случаи или залогът е учреден върху съвкупност по смисъла на Закона за особените залози.</w:t>
      </w:r>
    </w:p>
    <w:p w14:paraId="3BF1CE81" w14:textId="77777777" w:rsidR="00E175F2" w:rsidRPr="00955E19" w:rsidRDefault="00E175F2" w:rsidP="00152D36">
      <w:pPr>
        <w:spacing w:after="200"/>
        <w:jc w:val="both"/>
        <w:rPr>
          <w:sz w:val="20"/>
        </w:rPr>
      </w:pPr>
      <w:r w:rsidRPr="00955E19">
        <w:rPr>
          <w:sz w:val="20"/>
        </w:rPr>
        <w:t>Съгласно чл. 38, ал. 4 от ЗПФИ инвестиционен посредник, който сключва извън регулиран пазар и многостранна система за търговия сделки с акции, допуснати до търговия на регулиран пазар (в т.ч. и акциите от капитала на “ГЛЕНМООР КЕПИТАЛ” АДСИЦ), е длъжен да оповести публично информация за вида, емисията, броя и единичната цена на финансовите инструменти – предмет на сделката, за валутата на сделката, датата и часа на сключването й, като посочи, че сделката е сключена извън регулиран пазар и многостранна система за търговия.</w:t>
      </w:r>
    </w:p>
    <w:p w14:paraId="468BEE86" w14:textId="77777777" w:rsidR="00E175F2" w:rsidRPr="00955E19" w:rsidRDefault="00E175F2" w:rsidP="00152D36">
      <w:pPr>
        <w:pStyle w:val="Heading2"/>
        <w:spacing w:line="240" w:lineRule="auto"/>
        <w:jc w:val="both"/>
        <w:rPr>
          <w:spacing w:val="20"/>
        </w:rPr>
      </w:pPr>
      <w:bookmarkStart w:id="53" w:name="_Toc212867588"/>
      <w:bookmarkStart w:id="54" w:name="_Toc492995923"/>
      <w:bookmarkEnd w:id="51"/>
      <w:bookmarkEnd w:id="52"/>
      <w:r w:rsidRPr="00955E19">
        <w:rPr>
          <w:spacing w:val="20"/>
        </w:rPr>
        <w:lastRenderedPageBreak/>
        <w:t>4.9. Информация за наличие на предложения за задължително поглъщане/вливане и/или правила за принудително изкупуване или продажба на ценните книжа</w:t>
      </w:r>
      <w:bookmarkEnd w:id="53"/>
      <w:bookmarkEnd w:id="54"/>
    </w:p>
    <w:p w14:paraId="014A6559" w14:textId="77777777" w:rsidR="00E175F2" w:rsidRPr="00955E19" w:rsidRDefault="00E175F2" w:rsidP="00152D36">
      <w:pPr>
        <w:spacing w:after="200"/>
        <w:jc w:val="both"/>
        <w:rPr>
          <w:sz w:val="20"/>
        </w:rPr>
      </w:pPr>
      <w:r w:rsidRPr="00955E19">
        <w:rPr>
          <w:sz w:val="20"/>
        </w:rPr>
        <w:t xml:space="preserve">Към датата на изготвяне на настоящия документ към “ГЛЕНМООР КЕПИТАЛ” АДСИЦ не са отправяни предложения за поглъщане и/или вливане на Дружеството в друго дружество. </w:t>
      </w:r>
    </w:p>
    <w:p w14:paraId="1E1EB291" w14:textId="77777777" w:rsidR="00E175F2" w:rsidRPr="00955E19" w:rsidRDefault="00E175F2" w:rsidP="00152D36">
      <w:pPr>
        <w:spacing w:after="200"/>
        <w:jc w:val="both"/>
        <w:rPr>
          <w:sz w:val="20"/>
        </w:rPr>
      </w:pPr>
      <w:r w:rsidRPr="00955E19">
        <w:rPr>
          <w:sz w:val="20"/>
        </w:rPr>
        <w:t>Притежаваните от акционерите акции от капитала на “ГЛЕНМООР КЕПИТАЛ” АДСИЦ могат да бъдат обект на принудително изкупуване единствено при наличие на хипотезата, предвидена в чл. 157а от ЗППЦК, който дава право на акционер, придобил най-малко 95 % от гласовете в Общото събрание на акционерите на публично дружество (в т.ч. и “ГЛЕНМООР КЕПИТАЛ” АДСИЦ) в резултат на търгово предлагане, принудително да изкупи акциите с право на глас на останалите акционери по определен от закона ред и на база на предложение за изкупуване, което се одобрява от Комисията за финансов надзор.</w:t>
      </w:r>
    </w:p>
    <w:p w14:paraId="1AB5371A" w14:textId="77777777" w:rsidR="00E175F2" w:rsidRPr="00955E19" w:rsidRDefault="00E175F2" w:rsidP="00152D36">
      <w:pPr>
        <w:pStyle w:val="Heading2"/>
        <w:spacing w:line="240" w:lineRule="auto"/>
        <w:jc w:val="both"/>
        <w:rPr>
          <w:spacing w:val="20"/>
        </w:rPr>
      </w:pPr>
      <w:bookmarkStart w:id="55" w:name="_Toc212867589"/>
      <w:bookmarkStart w:id="56" w:name="_Toc492995924"/>
      <w:r w:rsidRPr="00955E19">
        <w:rPr>
          <w:spacing w:val="20"/>
        </w:rPr>
        <w:t>4.10. Информация относно отправени предложения от трети лица за публично изкупуване на контролен пакет от акциите на Емитента  през предходната и текущата финансова година</w:t>
      </w:r>
      <w:bookmarkEnd w:id="55"/>
      <w:bookmarkEnd w:id="56"/>
    </w:p>
    <w:p w14:paraId="350F97EE" w14:textId="77777777" w:rsidR="00E175F2" w:rsidRPr="00955E19" w:rsidRDefault="00E175F2" w:rsidP="00152D36">
      <w:pPr>
        <w:spacing w:after="200"/>
        <w:jc w:val="both"/>
        <w:rPr>
          <w:sz w:val="20"/>
        </w:rPr>
      </w:pPr>
      <w:r w:rsidRPr="00955E19">
        <w:rPr>
          <w:sz w:val="20"/>
        </w:rPr>
        <w:t>Доколкото е известно на Емитента,  през текущата финансова година към акционерите на “ГЛЕНМООР КЕПИТАЛ” АДСИЦ не са били отправяни търгови предложения от трети лица за замяна или закупуване на акции на Дружеството, нито каквито и да е други предложения за изкупуване на контролен пакет от акции на Дружеството.</w:t>
      </w:r>
    </w:p>
    <w:p w14:paraId="32445F7D" w14:textId="77777777" w:rsidR="00E175F2" w:rsidRPr="00955E19" w:rsidRDefault="00E175F2" w:rsidP="00DF431C">
      <w:pPr>
        <w:pStyle w:val="Heading2"/>
        <w:spacing w:before="480" w:line="240" w:lineRule="auto"/>
        <w:rPr>
          <w:spacing w:val="20"/>
        </w:rPr>
      </w:pPr>
      <w:bookmarkStart w:id="57" w:name="_Toc212867590"/>
      <w:bookmarkStart w:id="58" w:name="_Toc492995925"/>
      <w:r w:rsidRPr="00955E19">
        <w:rPr>
          <w:spacing w:val="20"/>
        </w:rPr>
        <w:t>4.11. Данъчно облагане</w:t>
      </w:r>
      <w:bookmarkEnd w:id="57"/>
      <w:bookmarkEnd w:id="58"/>
      <w:r w:rsidRPr="00955E19">
        <w:rPr>
          <w:spacing w:val="20"/>
        </w:rPr>
        <w:t xml:space="preserve"> </w:t>
      </w:r>
    </w:p>
    <w:p w14:paraId="04100E53" w14:textId="77777777" w:rsidR="00E175F2" w:rsidRPr="00955E19" w:rsidRDefault="00E175F2" w:rsidP="00152D36">
      <w:pPr>
        <w:pStyle w:val="BodyText2"/>
        <w:spacing w:before="120" w:after="120"/>
        <w:rPr>
          <w:b/>
          <w:sz w:val="20"/>
        </w:rPr>
      </w:pPr>
      <w:r w:rsidRPr="00955E19">
        <w:rPr>
          <w:b/>
          <w:sz w:val="20"/>
        </w:rPr>
        <w:t>Обща информация</w:t>
      </w:r>
    </w:p>
    <w:p w14:paraId="7702420E" w14:textId="77777777" w:rsidR="00E175F2" w:rsidRPr="00955E19" w:rsidRDefault="00E175F2" w:rsidP="00152D36">
      <w:pPr>
        <w:spacing w:after="200"/>
        <w:jc w:val="both"/>
        <w:rPr>
          <w:sz w:val="20"/>
        </w:rPr>
      </w:pPr>
      <w:r w:rsidRPr="00955E19">
        <w:rPr>
          <w:sz w:val="20"/>
        </w:rPr>
        <w:t>Информацията, изложена в тази част относно определени данъчни аспекти, свързани с акциите на Дружеството и определени данъци, които се дължат в Република България, е приложима по отношение на притежателите на акции на Дружеството, в това число местни и чуждестранни лица за данъчни цели.</w:t>
      </w:r>
    </w:p>
    <w:p w14:paraId="2CAD089D" w14:textId="77777777" w:rsidR="00E175F2" w:rsidRPr="00955E19" w:rsidRDefault="00E175F2" w:rsidP="00152D36">
      <w:pPr>
        <w:spacing w:after="200"/>
        <w:jc w:val="both"/>
        <w:rPr>
          <w:sz w:val="20"/>
        </w:rPr>
      </w:pPr>
      <w:r w:rsidRPr="00955E19">
        <w:rPr>
          <w:b/>
          <w:sz w:val="20"/>
        </w:rPr>
        <w:t>Местни юридически лица</w:t>
      </w:r>
      <w:r w:rsidRPr="00955E19">
        <w:rPr>
          <w:sz w:val="20"/>
        </w:rPr>
        <w:t xml:space="preserve"> са юридическите лица и неперсонифицираните дружества, регистрирани в Република България, както и европейските акционерни дружества (</w:t>
      </w:r>
      <w:proofErr w:type="spellStart"/>
      <w:r w:rsidRPr="00955E19">
        <w:rPr>
          <w:sz w:val="20"/>
        </w:rPr>
        <w:t>Societas</w:t>
      </w:r>
      <w:proofErr w:type="spellEnd"/>
      <w:r w:rsidRPr="00955E19">
        <w:rPr>
          <w:sz w:val="20"/>
        </w:rPr>
        <w:t xml:space="preserve"> </w:t>
      </w:r>
      <w:proofErr w:type="spellStart"/>
      <w:r w:rsidRPr="00955E19">
        <w:rPr>
          <w:sz w:val="20"/>
        </w:rPr>
        <w:t>Europaea</w:t>
      </w:r>
      <w:proofErr w:type="spellEnd"/>
      <w:r w:rsidRPr="00955E19">
        <w:rPr>
          <w:sz w:val="20"/>
        </w:rPr>
        <w:t>), учредени съгласно Регламент (EO) № 2157/2001 година и европейските кооперации (</w:t>
      </w:r>
      <w:proofErr w:type="spellStart"/>
      <w:r w:rsidRPr="00955E19">
        <w:rPr>
          <w:sz w:val="20"/>
        </w:rPr>
        <w:t>European</w:t>
      </w:r>
      <w:proofErr w:type="spellEnd"/>
      <w:r w:rsidRPr="00955E19">
        <w:rPr>
          <w:sz w:val="20"/>
        </w:rPr>
        <w:t xml:space="preserve"> </w:t>
      </w:r>
      <w:proofErr w:type="spellStart"/>
      <w:r w:rsidRPr="00955E19">
        <w:rPr>
          <w:sz w:val="20"/>
        </w:rPr>
        <w:t>Cooperative</w:t>
      </w:r>
      <w:proofErr w:type="spellEnd"/>
      <w:r w:rsidRPr="00955E19">
        <w:rPr>
          <w:sz w:val="20"/>
        </w:rPr>
        <w:t xml:space="preserve"> </w:t>
      </w:r>
      <w:proofErr w:type="spellStart"/>
      <w:r w:rsidRPr="00955E19">
        <w:rPr>
          <w:sz w:val="20"/>
        </w:rPr>
        <w:t>Society</w:t>
      </w:r>
      <w:proofErr w:type="spellEnd"/>
      <w:r w:rsidRPr="00955E19">
        <w:rPr>
          <w:sz w:val="20"/>
        </w:rPr>
        <w:t>), учредени съгласно Регламент (ЕО) № 1435/2003 година, чието седалище е в България и които са вписани в български регистър.</w:t>
      </w:r>
    </w:p>
    <w:p w14:paraId="0530321A" w14:textId="77777777" w:rsidR="00E175F2" w:rsidRPr="00955E19" w:rsidRDefault="00E175F2" w:rsidP="00152D36">
      <w:pPr>
        <w:spacing w:after="200"/>
        <w:jc w:val="both"/>
        <w:rPr>
          <w:sz w:val="20"/>
        </w:rPr>
      </w:pPr>
      <w:r w:rsidRPr="00955E19">
        <w:rPr>
          <w:b/>
          <w:sz w:val="20"/>
        </w:rPr>
        <w:t xml:space="preserve">Местни физически лица </w:t>
      </w:r>
      <w:r w:rsidRPr="00955E19">
        <w:rPr>
          <w:sz w:val="20"/>
        </w:rPr>
        <w:t>са физическите лица, без оглед на гражданството, с постоянен адрес в Република България или които пребивават в Република България повече от 183 дни през всеки 12-месечен период. Местни са също лицата, чийто център на жизнени интереси (който се определя от семейството, собствеността, мястото на осъществяване на трудова, професионална или стопанска дейност или мястото, от което лицето управлява собствеността си) се намира в Република България, както и лица, изпратени в чужбина от Българската държава, нейни органи и/или организации, български предприятия и членовете на техните семейства.</w:t>
      </w:r>
    </w:p>
    <w:p w14:paraId="24FEB25D" w14:textId="77777777" w:rsidR="00E175F2" w:rsidRPr="00955E19" w:rsidRDefault="00E175F2" w:rsidP="00152D36">
      <w:pPr>
        <w:spacing w:after="200"/>
        <w:jc w:val="both"/>
        <w:rPr>
          <w:sz w:val="20"/>
        </w:rPr>
      </w:pPr>
      <w:r w:rsidRPr="00955E19">
        <w:rPr>
          <w:b/>
          <w:sz w:val="20"/>
        </w:rPr>
        <w:t>Чуждестранни лица (юридически и физически)</w:t>
      </w:r>
      <w:r w:rsidRPr="00955E19">
        <w:rPr>
          <w:sz w:val="20"/>
        </w:rPr>
        <w:t xml:space="preserve"> са лицата, които не отговарят на горните дефиниции.</w:t>
      </w:r>
    </w:p>
    <w:p w14:paraId="5A0D65FC" w14:textId="77777777" w:rsidR="00E175F2" w:rsidRPr="00955E19" w:rsidRDefault="00E175F2" w:rsidP="00152D36">
      <w:pPr>
        <w:spacing w:after="200"/>
        <w:jc w:val="both"/>
        <w:rPr>
          <w:b/>
          <w:sz w:val="20"/>
        </w:rPr>
      </w:pPr>
      <w:r w:rsidRPr="00955E19">
        <w:rPr>
          <w:b/>
          <w:sz w:val="20"/>
        </w:rPr>
        <w:t xml:space="preserve">Настоящото изложение не е изчерпателно и има за цел единствено да послужи като общи насоки, поради което не следва да се счита за правен или данъчен съвет към който и да е притежател на акции на Дружеството. Дружеството настоятелно препоръчва на потенциалните инвеститори да се консултират с данъчни и правни консултанти за </w:t>
      </w:r>
      <w:proofErr w:type="spellStart"/>
      <w:r w:rsidRPr="00955E19">
        <w:rPr>
          <w:b/>
          <w:sz w:val="20"/>
        </w:rPr>
        <w:t>относимите</w:t>
      </w:r>
      <w:proofErr w:type="spellEnd"/>
      <w:r w:rsidRPr="00955E19">
        <w:rPr>
          <w:b/>
          <w:sz w:val="20"/>
        </w:rPr>
        <w:t xml:space="preserve"> към тях данъчни последици, включително относно данъчното облагане в България на доходите, свързани с акциите на Дружеството, и данъчния режим на придобиването, собствеността и разпореждането с акции на Дружеството.</w:t>
      </w:r>
    </w:p>
    <w:p w14:paraId="4F0E6A55" w14:textId="77777777" w:rsidR="00E175F2" w:rsidRPr="00955E19" w:rsidRDefault="00E175F2" w:rsidP="00152D36">
      <w:pPr>
        <w:spacing w:after="200"/>
        <w:jc w:val="both"/>
        <w:rPr>
          <w:sz w:val="20"/>
        </w:rPr>
      </w:pPr>
      <w:r w:rsidRPr="00955E19">
        <w:rPr>
          <w:sz w:val="20"/>
        </w:rPr>
        <w:t>Посочената по-долу информация е съобразена с действащата нормативна уредба към датата на приемане на настоящия Документ за предлаганите ценни книжа и Дружеството не носи отговорност за последващи промени в законодателството и нормативната уредба на данъчното облагане на доходите от акции на Дружеството.</w:t>
      </w:r>
    </w:p>
    <w:p w14:paraId="77122D65" w14:textId="77777777" w:rsidR="00E175F2" w:rsidRPr="00955E19" w:rsidRDefault="00E175F2" w:rsidP="00152D36">
      <w:pPr>
        <w:spacing w:after="200"/>
        <w:jc w:val="both"/>
        <w:rPr>
          <w:b/>
          <w:sz w:val="20"/>
        </w:rPr>
      </w:pPr>
      <w:r w:rsidRPr="00955E19">
        <w:rPr>
          <w:b/>
          <w:sz w:val="20"/>
        </w:rPr>
        <w:t>Капиталови печалби</w:t>
      </w:r>
    </w:p>
    <w:p w14:paraId="0F6478D3" w14:textId="77777777" w:rsidR="00E175F2" w:rsidRPr="00955E19" w:rsidRDefault="00E175F2" w:rsidP="00152D36">
      <w:pPr>
        <w:spacing w:after="200"/>
        <w:jc w:val="both"/>
        <w:rPr>
          <w:sz w:val="20"/>
        </w:rPr>
      </w:pPr>
      <w:r w:rsidRPr="00955E19">
        <w:rPr>
          <w:sz w:val="20"/>
        </w:rPr>
        <w:lastRenderedPageBreak/>
        <w:t>Съгласно разпоредбите на Закона за данъците върху доходите на физическите лица (</w:t>
      </w:r>
      <w:r w:rsidRPr="00955E19">
        <w:rPr>
          <w:b/>
          <w:sz w:val="20"/>
        </w:rPr>
        <w:t>ЗДДФЛ</w:t>
      </w:r>
      <w:r w:rsidRPr="00955E19">
        <w:rPr>
          <w:sz w:val="20"/>
        </w:rPr>
        <w:t>), не се облагат получените от български физически лица или от чуждестранни физически лица, установени за данъчни цели в държава – членка на Европейския съюз или в друга държава, принадлежаща към Европейското икономическо пространство, доходи от сделки с акции, извършени на Българска Фондова Борса, както и от сделки, сключени при условията и по реда на търгово предлагане по смисъла на ЗППЦК („</w:t>
      </w:r>
      <w:r w:rsidRPr="00955E19">
        <w:rPr>
          <w:b/>
          <w:sz w:val="20"/>
        </w:rPr>
        <w:t>Разпореждане с Финансови Инструменти</w:t>
      </w:r>
      <w:r w:rsidRPr="00955E19">
        <w:rPr>
          <w:sz w:val="20"/>
        </w:rPr>
        <w:t xml:space="preserve">”) (чл. 13, ал. 1, т. 3 във </w:t>
      </w:r>
      <w:proofErr w:type="spellStart"/>
      <w:r w:rsidRPr="00955E19">
        <w:rPr>
          <w:sz w:val="20"/>
        </w:rPr>
        <w:t>вр</w:t>
      </w:r>
      <w:proofErr w:type="spellEnd"/>
      <w:r w:rsidRPr="00955E19">
        <w:rPr>
          <w:sz w:val="20"/>
        </w:rPr>
        <w:t>. §1, т. 11 от ДР на ЗДДФЛ и чл. 37, ал. 7 ЗДДФЛ).</w:t>
      </w:r>
    </w:p>
    <w:p w14:paraId="1C7BF751" w14:textId="77777777" w:rsidR="00E175F2" w:rsidRPr="00955E19" w:rsidRDefault="00E175F2" w:rsidP="00152D36">
      <w:pPr>
        <w:spacing w:after="200"/>
        <w:jc w:val="both"/>
        <w:rPr>
          <w:sz w:val="20"/>
        </w:rPr>
      </w:pPr>
      <w:r w:rsidRPr="00955E19">
        <w:rPr>
          <w:sz w:val="20"/>
        </w:rPr>
        <w:t>Доходите от сделки с акции на Дружеството (реализираната капиталова печалба), както и изобщо с финансови активи, получени от чуждестранни физически лица от трети държави, извън горепосочените, се облагат с окончателен данък в размер на 10 % върху облагаемия доход (чл. 37, ал. 1, т. 12 и чл. 46, ал. 1 ЗДДФЛ).</w:t>
      </w:r>
    </w:p>
    <w:p w14:paraId="5ACBAEE6" w14:textId="77777777" w:rsidR="00E175F2" w:rsidRPr="00955E19" w:rsidRDefault="00E175F2" w:rsidP="00152D36">
      <w:pPr>
        <w:spacing w:after="200"/>
        <w:jc w:val="both"/>
        <w:rPr>
          <w:sz w:val="20"/>
        </w:rPr>
      </w:pPr>
      <w:r w:rsidRPr="00955E19">
        <w:rPr>
          <w:sz w:val="20"/>
        </w:rPr>
        <w:t xml:space="preserve">С реализираната капиталова печалба от Разпореждане с Финансови Инструменти се намалява счетоводният финансов резултат при определяне на данъчния финансов резултат на българските юридически лица (чл. 44, ал. 1 във </w:t>
      </w:r>
      <w:proofErr w:type="spellStart"/>
      <w:r w:rsidRPr="00955E19">
        <w:rPr>
          <w:sz w:val="20"/>
        </w:rPr>
        <w:t>вр</w:t>
      </w:r>
      <w:proofErr w:type="spellEnd"/>
      <w:r w:rsidRPr="00955E19">
        <w:rPr>
          <w:sz w:val="20"/>
        </w:rPr>
        <w:t>. §1, т. 21 от Допълнителните разпоредби на Закона за корпоративното подоходно облагане („</w:t>
      </w:r>
      <w:r w:rsidRPr="00955E19">
        <w:rPr>
          <w:b/>
          <w:sz w:val="20"/>
        </w:rPr>
        <w:t>ЗКПО</w:t>
      </w:r>
      <w:r w:rsidRPr="00955E19">
        <w:rPr>
          <w:sz w:val="20"/>
        </w:rPr>
        <w:t>”)). Следва да се има предвид обаче, че загубата от Разпореждане с Финансови Инструменти не се признава за разход за целите на данъчното облагане и финансовият резултат се увеличава с нея (чл. 44, ал. 2 ЗКПО).</w:t>
      </w:r>
    </w:p>
    <w:p w14:paraId="53018A8A" w14:textId="77777777" w:rsidR="00E175F2" w:rsidRPr="00955E19" w:rsidRDefault="00E175F2" w:rsidP="00152D36">
      <w:pPr>
        <w:spacing w:after="200"/>
        <w:jc w:val="both"/>
        <w:rPr>
          <w:sz w:val="20"/>
        </w:rPr>
      </w:pPr>
      <w:r w:rsidRPr="00955E19">
        <w:rPr>
          <w:sz w:val="20"/>
        </w:rPr>
        <w:t>Не се облага с данък при източника капиталовата печалба от Разпореждане с Финансови Инструменти, реализирана от чуждестранни юридически лица (чл. 196 ЗКПО).</w:t>
      </w:r>
    </w:p>
    <w:p w14:paraId="7D2CB9EE" w14:textId="77777777" w:rsidR="00E175F2" w:rsidRPr="00955E19" w:rsidRDefault="00E175F2" w:rsidP="00152D36">
      <w:pPr>
        <w:spacing w:after="200"/>
        <w:jc w:val="both"/>
        <w:rPr>
          <w:sz w:val="20"/>
        </w:rPr>
      </w:pPr>
      <w:r w:rsidRPr="00955E19">
        <w:rPr>
          <w:sz w:val="20"/>
        </w:rPr>
        <w:t>Данъчните облекчения по отношение на печалбата от сделки с акции не се прилагат по отношение на сделки, които не са Разпореждане с Финансови Инструменти (например покупко-продажби на акции на Дружеството, сключени на извънборсов пазар извън случая на търгово предлагане, независимо че съгласно борсовия правилник подлежат на регистрация/оповестяване на Борсата). Доходите от продажба на акции на Дружеството при такива сделки, реализирани в България от чуждестранни лица, са обект на данъчно облагане в България. Освен ако не се прилага спогодба за избягване на двойното данъчно облагане, тези доходи се облагат с данък при източника в размер на 10 % върху положителната разлика между продажната цена на акциите на Дружеството и тяхната документално доказана цена на придобиване. Доходът от продажба на акции на Дружеството при такива сделки, реализиран от български лица, подлежи на данъчно облагане в съответствие с общите правила на ЗКПО и ЗДДФЛ.</w:t>
      </w:r>
    </w:p>
    <w:p w14:paraId="37E5CB95" w14:textId="77777777" w:rsidR="00E175F2" w:rsidRPr="00955E19" w:rsidRDefault="00E175F2" w:rsidP="00152D36">
      <w:pPr>
        <w:spacing w:after="200"/>
        <w:jc w:val="both"/>
        <w:rPr>
          <w:b/>
          <w:sz w:val="20"/>
        </w:rPr>
      </w:pPr>
      <w:r w:rsidRPr="00955E19">
        <w:rPr>
          <w:b/>
          <w:sz w:val="20"/>
        </w:rPr>
        <w:t>Дивиденти</w:t>
      </w:r>
    </w:p>
    <w:p w14:paraId="05BFF12B" w14:textId="77777777" w:rsidR="00E175F2" w:rsidRPr="00955E19" w:rsidRDefault="00E175F2" w:rsidP="00152D36">
      <w:pPr>
        <w:spacing w:after="200"/>
        <w:jc w:val="both"/>
        <w:rPr>
          <w:sz w:val="20"/>
        </w:rPr>
      </w:pPr>
      <w:r w:rsidRPr="00955E19">
        <w:rPr>
          <w:sz w:val="20"/>
        </w:rPr>
        <w:t xml:space="preserve">Доходите от дивиденти, разпределяни от Дружеството на български лица (с изключение на български търговски дружества и еднолични търговци) и на чуждестранни лица (с изключение на чуждестранни юридически лица, които за данъчни цели са местни лица на държава членка на Европейския съюз или на държава, която е страна по Споразумението за Европейското икономическо пространство), се облагат с данък в размер на 5 % върху брутния размер на дивидентите (чл. 38, ал. 1 във </w:t>
      </w:r>
      <w:proofErr w:type="spellStart"/>
      <w:r w:rsidRPr="00955E19">
        <w:rPr>
          <w:sz w:val="20"/>
        </w:rPr>
        <w:t>вр</w:t>
      </w:r>
      <w:proofErr w:type="spellEnd"/>
      <w:r w:rsidRPr="00955E19">
        <w:rPr>
          <w:sz w:val="20"/>
        </w:rPr>
        <w:t xml:space="preserve">. чл. 46, ал. 3 ЗДДФЛ и чл. 194, ал. 1 във </w:t>
      </w:r>
      <w:proofErr w:type="spellStart"/>
      <w:r w:rsidRPr="00955E19">
        <w:rPr>
          <w:sz w:val="20"/>
        </w:rPr>
        <w:t>вр</w:t>
      </w:r>
      <w:proofErr w:type="spellEnd"/>
      <w:r w:rsidRPr="00955E19">
        <w:rPr>
          <w:sz w:val="20"/>
        </w:rPr>
        <w:t>. чл. 200, ал. 1 ЗКПО).</w:t>
      </w:r>
    </w:p>
    <w:p w14:paraId="2F93B086" w14:textId="77777777" w:rsidR="00E175F2" w:rsidRPr="00955E19" w:rsidRDefault="00E175F2" w:rsidP="00152D36">
      <w:pPr>
        <w:spacing w:after="200"/>
        <w:jc w:val="both"/>
        <w:rPr>
          <w:sz w:val="20"/>
        </w:rPr>
      </w:pPr>
      <w:r w:rsidRPr="00955E19">
        <w:rPr>
          <w:sz w:val="20"/>
        </w:rPr>
        <w:t xml:space="preserve">Доходите от дивиденти, разпределяни в полза на български търговски дружества и еднолични търговци, за данъчни цели не се признават за приходи и се изключват от данъчния финансов резултат на тази категория български лица (чл. 27, ал. 1, т. 1 ЗКПО), с изключение на начислени приходи в резултат на разпределение на дивиденти от лицензирани дружества със специална инвестиционна цел по Закона за дружествата със специална инвестиционна цел (чл. 27, ал. 2, т. 1 ЗКПО). </w:t>
      </w:r>
    </w:p>
    <w:p w14:paraId="4FE7DD78" w14:textId="77777777" w:rsidR="00E175F2" w:rsidRPr="00955E19" w:rsidRDefault="00E175F2" w:rsidP="00152D36">
      <w:pPr>
        <w:spacing w:after="200"/>
        <w:jc w:val="both"/>
        <w:rPr>
          <w:sz w:val="20"/>
        </w:rPr>
      </w:pPr>
      <w:r w:rsidRPr="00955E19">
        <w:rPr>
          <w:sz w:val="20"/>
        </w:rPr>
        <w:t>Доходите от дивиденти, разпределяни в полза местно юридическо лице, което участва в капитала на дружество като представител на държавата, или в полза на договорен фонд не се облагат с данък при източника в България (чл. 194, ал. 3, т. 1 ЗКПО).</w:t>
      </w:r>
    </w:p>
    <w:p w14:paraId="0D2827CD" w14:textId="77777777" w:rsidR="00E175F2" w:rsidRPr="00955E19" w:rsidRDefault="00E175F2" w:rsidP="00152D36">
      <w:pPr>
        <w:spacing w:after="200"/>
        <w:jc w:val="both"/>
        <w:rPr>
          <w:sz w:val="20"/>
        </w:rPr>
      </w:pPr>
      <w:r w:rsidRPr="00955E19">
        <w:rPr>
          <w:sz w:val="20"/>
        </w:rPr>
        <w:t>Данъчното третиране на доходите от дивиденти, изплатени в полза на чуждестранни юридически лица, които за данъчни цели са местни лица на държава членка на Европейския съюз или на държава, която е страна по Споразумението за Европейското икономическо пространство, следва да бъде уредено в законодателството на съответната държава членка на Европейския съюз или страна по Споразумението за Европейското икономическо пространство. Доходите на тези лица не се облагат с данък при източника в България (чл. 194, ал. 3, т. 3 ЗКПО).</w:t>
      </w:r>
    </w:p>
    <w:p w14:paraId="588BA9D4" w14:textId="77777777" w:rsidR="00E175F2" w:rsidRPr="00955E19" w:rsidRDefault="00E175F2" w:rsidP="00152D36">
      <w:pPr>
        <w:spacing w:after="200"/>
        <w:jc w:val="both"/>
        <w:rPr>
          <w:sz w:val="20"/>
        </w:rPr>
      </w:pPr>
      <w:r w:rsidRPr="00955E19">
        <w:rPr>
          <w:sz w:val="20"/>
        </w:rPr>
        <w:lastRenderedPageBreak/>
        <w:t>Дружеството поема отговорност за удържане на данъци при източника в случаите, когато е налице нормативно изискване за това в приложимите данъчни закони.</w:t>
      </w:r>
    </w:p>
    <w:p w14:paraId="00FF195D" w14:textId="77777777" w:rsidR="00E175F2" w:rsidRPr="00955E19" w:rsidRDefault="00E175F2" w:rsidP="00152D36">
      <w:pPr>
        <w:spacing w:after="200"/>
        <w:jc w:val="both"/>
        <w:rPr>
          <w:b/>
          <w:sz w:val="20"/>
        </w:rPr>
      </w:pPr>
      <w:r w:rsidRPr="00955E19">
        <w:rPr>
          <w:b/>
          <w:sz w:val="20"/>
        </w:rPr>
        <w:t>Данъци и други подобни плащания при прехвърляне</w:t>
      </w:r>
    </w:p>
    <w:p w14:paraId="557CB51D" w14:textId="77777777" w:rsidR="00E175F2" w:rsidRPr="00955E19" w:rsidRDefault="00E175F2" w:rsidP="00152D36">
      <w:pPr>
        <w:spacing w:after="200"/>
        <w:jc w:val="both"/>
        <w:rPr>
          <w:sz w:val="20"/>
        </w:rPr>
      </w:pPr>
      <w:r w:rsidRPr="00955E19">
        <w:rPr>
          <w:sz w:val="20"/>
        </w:rPr>
        <w:t>При прехвърлянето на акции на Дружеството съгласно българския закон не се дължат държавни такси.</w:t>
      </w:r>
      <w:bookmarkStart w:id="59" w:name="_Toc212867591"/>
    </w:p>
    <w:p w14:paraId="2C3CF972" w14:textId="77777777" w:rsidR="00E175F2" w:rsidRPr="00955E19" w:rsidRDefault="00E175F2" w:rsidP="00251571">
      <w:pPr>
        <w:pStyle w:val="Heading1"/>
      </w:pPr>
      <w:bookmarkStart w:id="60" w:name="_Toc492995926"/>
      <w:r w:rsidRPr="00955E19">
        <w:t>5.</w:t>
      </w:r>
      <w:r w:rsidRPr="00955E19">
        <w:tab/>
        <w:t>УСЛОВИЯ НА ПРЕДЛАГАНЕТО</w:t>
      </w:r>
      <w:bookmarkEnd w:id="59"/>
      <w:bookmarkEnd w:id="60"/>
    </w:p>
    <w:p w14:paraId="3A3A5C89" w14:textId="77777777" w:rsidR="00E175F2" w:rsidRPr="00955E19" w:rsidRDefault="00E175F2" w:rsidP="00152D36">
      <w:pPr>
        <w:pStyle w:val="Heading2"/>
        <w:spacing w:line="240" w:lineRule="auto"/>
        <w:jc w:val="both"/>
        <w:rPr>
          <w:spacing w:val="20"/>
        </w:rPr>
      </w:pPr>
      <w:bookmarkStart w:id="61" w:name="_Toc212867592"/>
      <w:bookmarkStart w:id="62" w:name="_Toc492995927"/>
      <w:r w:rsidRPr="00955E19">
        <w:rPr>
          <w:spacing w:val="20"/>
        </w:rPr>
        <w:t>5.1. Условия, статистически данни за предлагането, очакван график и действия, изисквани</w:t>
      </w:r>
      <w:r w:rsidRPr="00955E19">
        <w:rPr>
          <w:spacing w:val="0"/>
        </w:rPr>
        <w:t xml:space="preserve"> </w:t>
      </w:r>
      <w:r w:rsidRPr="00955E19">
        <w:rPr>
          <w:spacing w:val="20"/>
        </w:rPr>
        <w:t>за кандидатстване за предлагането</w:t>
      </w:r>
      <w:bookmarkEnd w:id="61"/>
      <w:bookmarkEnd w:id="62"/>
    </w:p>
    <w:p w14:paraId="6BFCD09A" w14:textId="77777777" w:rsidR="00E175F2" w:rsidRPr="00955E19" w:rsidRDefault="00E175F2" w:rsidP="00994435">
      <w:pPr>
        <w:pStyle w:val="Heading2"/>
        <w:rPr>
          <w:b w:val="0"/>
          <w:spacing w:val="20"/>
        </w:rPr>
      </w:pPr>
      <w:bookmarkStart w:id="63" w:name="_Toc492995928"/>
      <w:r w:rsidRPr="00955E19">
        <w:rPr>
          <w:b w:val="0"/>
          <w:spacing w:val="20"/>
        </w:rPr>
        <w:t>5.1.1. Нормативни условия, на които се подчинява предлагането</w:t>
      </w:r>
      <w:bookmarkEnd w:id="63"/>
    </w:p>
    <w:p w14:paraId="5CDBA62B" w14:textId="77777777" w:rsidR="00E175F2" w:rsidRPr="00955E19" w:rsidRDefault="00E175F2" w:rsidP="00152D36">
      <w:pPr>
        <w:spacing w:after="200"/>
        <w:jc w:val="both"/>
        <w:rPr>
          <w:sz w:val="20"/>
        </w:rPr>
      </w:pPr>
      <w:bookmarkStart w:id="64" w:name="OLE_LINK52"/>
      <w:r w:rsidRPr="00955E19">
        <w:rPr>
          <w:sz w:val="20"/>
        </w:rPr>
        <w:t>Условията, на които е подчинено публичното предлагане на акциите от емисията от увеличението на капитала на “ГЛЕНМООР КЕПИТАЛ” АДСИЦ, са нормативно регламентирани в ЗДСИЦ, ЗППЦК, Наредба № 2 на КФН за проспектите при публично предлагане и допускане до търговия на регулиран пазар на ценни книжа и за разкриването на информация от публичните дружества и другите емитенти на ценни книжа, Наредба № 38 на КФН за изискванията към дейността на инвестиционните посредници, Правилата на „БФБ – София” АД и Правилника на „Централен депозитар” АД.</w:t>
      </w:r>
    </w:p>
    <w:p w14:paraId="7182B422" w14:textId="77777777" w:rsidR="00E175F2" w:rsidRPr="00955E19" w:rsidRDefault="00E175F2" w:rsidP="00994435">
      <w:pPr>
        <w:pStyle w:val="Heading2"/>
        <w:rPr>
          <w:b w:val="0"/>
          <w:spacing w:val="20"/>
        </w:rPr>
      </w:pPr>
      <w:bookmarkStart w:id="65" w:name="_Toc492995929"/>
      <w:bookmarkEnd w:id="64"/>
      <w:r w:rsidRPr="00955E19">
        <w:rPr>
          <w:b w:val="0"/>
          <w:spacing w:val="20"/>
        </w:rPr>
        <w:t>5.1.2. Обща сума на емисията и Издаване на права по смисъла на § 1, т. 3 от ЗППЦК</w:t>
      </w:r>
      <w:bookmarkEnd w:id="65"/>
    </w:p>
    <w:p w14:paraId="3E456780" w14:textId="77777777" w:rsidR="00E175F2" w:rsidRPr="00955E19" w:rsidRDefault="00E175F2" w:rsidP="00152D36">
      <w:pPr>
        <w:spacing w:after="200"/>
        <w:jc w:val="both"/>
        <w:rPr>
          <w:sz w:val="20"/>
        </w:rPr>
      </w:pPr>
      <w:bookmarkStart w:id="66" w:name="OLE_LINK53"/>
      <w:r w:rsidRPr="00955E19">
        <w:rPr>
          <w:sz w:val="20"/>
        </w:rPr>
        <w:t xml:space="preserve">Предмет на публично предлагане са </w:t>
      </w:r>
      <w:r w:rsidRPr="00955E19">
        <w:rPr>
          <w:rStyle w:val="apple-style-span"/>
          <w:sz w:val="20"/>
        </w:rPr>
        <w:t xml:space="preserve">150 000 </w:t>
      </w:r>
      <w:r w:rsidRPr="00955E19">
        <w:rPr>
          <w:sz w:val="20"/>
        </w:rPr>
        <w:t xml:space="preserve">(сто и петдесет хиляди) броя обикновени акции от новата емисия по увеличение на капитала на Дружеството. Всички </w:t>
      </w:r>
      <w:r w:rsidRPr="00955E19">
        <w:rPr>
          <w:rStyle w:val="apple-style-span"/>
          <w:sz w:val="20"/>
        </w:rPr>
        <w:t xml:space="preserve">150 000 </w:t>
      </w:r>
      <w:r w:rsidRPr="00955E19">
        <w:rPr>
          <w:sz w:val="20"/>
        </w:rPr>
        <w:t xml:space="preserve">броя акции се предлагат на инвеститорите за записване. </w:t>
      </w:r>
    </w:p>
    <w:p w14:paraId="07A069C1" w14:textId="77777777" w:rsidR="00E175F2" w:rsidRPr="00955E19" w:rsidRDefault="00E175F2" w:rsidP="006464CE">
      <w:pPr>
        <w:spacing w:after="200"/>
        <w:jc w:val="both"/>
        <w:rPr>
          <w:sz w:val="20"/>
        </w:rPr>
      </w:pPr>
      <w:r w:rsidRPr="00955E19">
        <w:rPr>
          <w:sz w:val="20"/>
        </w:rPr>
        <w:t>Първоначалното увеличаване на капитала на Дружеството се извършва до размера на записаните акции.</w:t>
      </w:r>
    </w:p>
    <w:p w14:paraId="3005B2D5" w14:textId="77777777" w:rsidR="00E175F2" w:rsidRPr="00955E19" w:rsidRDefault="00E175F2" w:rsidP="00152D36">
      <w:pPr>
        <w:spacing w:after="200"/>
        <w:jc w:val="both"/>
        <w:rPr>
          <w:sz w:val="20"/>
        </w:rPr>
      </w:pPr>
      <w:r w:rsidRPr="00955E19">
        <w:rPr>
          <w:sz w:val="20"/>
        </w:rPr>
        <w:t xml:space="preserve">Не е възможно отклонение над горната граница на заявения за набиране капитал. Не се предвижда възможност за намаляване или увеличаване на броя предлагани акции. </w:t>
      </w:r>
    </w:p>
    <w:p w14:paraId="65AA652D" w14:textId="77777777" w:rsidR="00E175F2" w:rsidRPr="00955E19" w:rsidRDefault="00E175F2" w:rsidP="00152D36">
      <w:pPr>
        <w:spacing w:after="200"/>
        <w:jc w:val="both"/>
        <w:rPr>
          <w:sz w:val="20"/>
        </w:rPr>
      </w:pPr>
      <w:r w:rsidRPr="00955E19">
        <w:rPr>
          <w:sz w:val="20"/>
        </w:rPr>
        <w:t>Предлаганите акции са с номинална стойност от 1 (един) лев и емисионна 1 лв. (един</w:t>
      </w:r>
      <w:r w:rsidRPr="00955E19">
        <w:rPr>
          <w:sz w:val="20"/>
          <w:lang w:val="ru-RU"/>
        </w:rPr>
        <w:t xml:space="preserve">) </w:t>
      </w:r>
      <w:r w:rsidRPr="00955E19">
        <w:rPr>
          <w:sz w:val="20"/>
        </w:rPr>
        <w:t>лев.</w:t>
      </w:r>
    </w:p>
    <w:p w14:paraId="54F85A58" w14:textId="77777777" w:rsidR="00E175F2" w:rsidRPr="00955E19" w:rsidRDefault="00E175F2" w:rsidP="00152D36">
      <w:pPr>
        <w:spacing w:after="200"/>
        <w:jc w:val="both"/>
        <w:rPr>
          <w:sz w:val="20"/>
        </w:rPr>
      </w:pPr>
      <w:r w:rsidRPr="00955E19">
        <w:rPr>
          <w:sz w:val="20"/>
        </w:rPr>
        <w:t>На основание чл. 13, ал. 2 от ЗДСИЦ, при първоначалното увеличаване на капитала “ГЛЕНМООР КЕПИТАЛ” АДСИЦ се издават права. Съгласно §1, т.3 от ЗППЦК правата са „ценни книжа, даващи право за записване на определен брой акции във връзка с взето решение за увеличение на капитала на публично дружество”. Във връзка с разпоредбите на ЗДСИЦ и на основание решение на Учредителното събрание на акционерите на “ГЛЕНМООР КЕПИТАЛ” АДСИЦ, срещу всяка акция от увеличението се издава 1 право. Съгласно чл. 13, ал. 3 от ЗДСИЦ при първоначалното увеличение на капитала на дружеството разпоредбите на чл. 112, ал. 1 ЗППЦК и чл. 194 ТЗ не се прилагат, т. е. правата за участие в увеличението на капитала не се издават на съществуващите акционери, а се предлагат изцяло от упълномощения инвестиционен посредник за публична продажба.</w:t>
      </w:r>
    </w:p>
    <w:p w14:paraId="56AECA7E" w14:textId="77777777" w:rsidR="00E175F2" w:rsidRPr="00955E19" w:rsidRDefault="00E175F2" w:rsidP="00152D36">
      <w:pPr>
        <w:spacing w:after="200"/>
        <w:jc w:val="both"/>
        <w:rPr>
          <w:sz w:val="20"/>
        </w:rPr>
      </w:pPr>
      <w:r w:rsidRPr="00955E19">
        <w:rPr>
          <w:sz w:val="20"/>
        </w:rPr>
        <w:t>След приключване на подписката, вписване на увеличения капитал на Дружеството в Търговския регистър и регистрация на новата емисия акции в Централния депозитар, издадените от Дружеството обикновени акции от увеличението на капитала, ще се предлагат за търговия (вторично публично предлагане) на „БФБ-София” АД.</w:t>
      </w:r>
    </w:p>
    <w:p w14:paraId="0A9B2C87" w14:textId="77777777" w:rsidR="00E175F2" w:rsidRPr="00955E19" w:rsidRDefault="00E175F2" w:rsidP="00D83829">
      <w:pPr>
        <w:pStyle w:val="Heading2"/>
        <w:rPr>
          <w:b w:val="0"/>
          <w:spacing w:val="20"/>
        </w:rPr>
      </w:pPr>
      <w:bookmarkStart w:id="67" w:name="_Toc177561262"/>
      <w:bookmarkStart w:id="68" w:name="_Toc177562689"/>
      <w:bookmarkStart w:id="69" w:name="_Toc492995930"/>
      <w:bookmarkEnd w:id="66"/>
      <w:r w:rsidRPr="00955E19">
        <w:rPr>
          <w:b w:val="0"/>
          <w:spacing w:val="20"/>
        </w:rPr>
        <w:t>5.1.3. Условия и срок на първичното публично предлагане на акциите.</w:t>
      </w:r>
      <w:bookmarkEnd w:id="67"/>
      <w:bookmarkEnd w:id="68"/>
      <w:bookmarkEnd w:id="69"/>
    </w:p>
    <w:p w14:paraId="7E07E7F8" w14:textId="77777777" w:rsidR="00E175F2" w:rsidRPr="00955E19" w:rsidRDefault="00E175F2" w:rsidP="00C4209F">
      <w:pPr>
        <w:spacing w:after="200"/>
        <w:jc w:val="both"/>
        <w:rPr>
          <w:sz w:val="20"/>
        </w:rPr>
      </w:pPr>
      <w:bookmarkStart w:id="70" w:name="OLE_LINK54"/>
      <w:bookmarkStart w:id="71" w:name="OLE_LINK55"/>
      <w:r w:rsidRPr="00955E19">
        <w:rPr>
          <w:sz w:val="20"/>
        </w:rPr>
        <w:t>Срещу всяка една нова акция от увеличението “ГЛЕНМООР КЕПИТАЛ” АДСИЦ издава едно право по смисъла на §1, т. 3 от ЗППЦК или общо срещу 150 000 (сто и петдесет хиляди) акции от увеличението на капитала Дружеството издава 150 000 (сто и петдесет хиляди) права, като всяко едно право дава право да се запише една акция от увеличението на капитала с номинална и емисионна стойност 1 (един) лев. Правата се прехвърлят в срока за прехвърляне, определен по-долу в настоящия документ.</w:t>
      </w:r>
    </w:p>
    <w:p w14:paraId="105B0663" w14:textId="77777777" w:rsidR="00E175F2" w:rsidRPr="00955E19" w:rsidRDefault="00E175F2" w:rsidP="00C4209F">
      <w:pPr>
        <w:spacing w:after="200"/>
        <w:jc w:val="both"/>
        <w:rPr>
          <w:sz w:val="20"/>
        </w:rPr>
      </w:pPr>
      <w:r w:rsidRPr="00955E19">
        <w:rPr>
          <w:sz w:val="20"/>
        </w:rPr>
        <w:t>Съотношението между издаваните права и една нова акция е право/акции – 1/1.</w:t>
      </w:r>
    </w:p>
    <w:p w14:paraId="0F10D005" w14:textId="763A2504" w:rsidR="00E175F2" w:rsidRPr="00955E19" w:rsidRDefault="00E175F2" w:rsidP="00C4209F">
      <w:pPr>
        <w:spacing w:after="200"/>
        <w:jc w:val="both"/>
        <w:rPr>
          <w:sz w:val="20"/>
        </w:rPr>
      </w:pPr>
      <w:r w:rsidRPr="00955E19">
        <w:rPr>
          <w:sz w:val="20"/>
        </w:rPr>
        <w:t xml:space="preserve">Цялата емисия права се предлага изцяло от избрания да обслужва увеличението на капитала инвестиционен посредник – ИП „ЪП ТРЕНД” ООД </w:t>
      </w:r>
      <w:r w:rsidRPr="00955E19">
        <w:rPr>
          <w:sz w:val="20"/>
          <w:lang w:val="ru-RU"/>
        </w:rPr>
        <w:t>(</w:t>
      </w:r>
      <w:r w:rsidRPr="00955E19">
        <w:rPr>
          <w:sz w:val="20"/>
        </w:rPr>
        <w:t xml:space="preserve">с предишно наименование „БУЛ ТРЕНД </w:t>
      </w:r>
      <w:r w:rsidRPr="00955E19">
        <w:rPr>
          <w:sz w:val="20"/>
        </w:rPr>
        <w:lastRenderedPageBreak/>
        <w:t>БРОКЕРИДЖ” ООД</w:t>
      </w:r>
      <w:r w:rsidRPr="00955E19">
        <w:rPr>
          <w:sz w:val="20"/>
          <w:lang w:val="ru-RU"/>
        </w:rPr>
        <w:t>)</w:t>
      </w:r>
      <w:r w:rsidRPr="00955E19">
        <w:rPr>
          <w:sz w:val="20"/>
        </w:rPr>
        <w:t>, със седалище и адрес на управление:</w:t>
      </w:r>
      <w:r w:rsidR="00A456B2">
        <w:rPr>
          <w:sz w:val="20"/>
        </w:rPr>
        <w:t xml:space="preserve"> </w:t>
      </w:r>
      <w:r w:rsidR="00A456B2" w:rsidRPr="00A456B2">
        <w:rPr>
          <w:sz w:val="20"/>
        </w:rPr>
        <w:t>гр. София, р-н Лозенец, бул. Никола Й. Вапцаров № 6</w:t>
      </w:r>
      <w:r w:rsidRPr="00955E19">
        <w:rPr>
          <w:sz w:val="20"/>
        </w:rPr>
        <w:t>.</w:t>
      </w:r>
    </w:p>
    <w:p w14:paraId="1309114F" w14:textId="70001020" w:rsidR="00E175F2" w:rsidRPr="00955E19" w:rsidRDefault="00E175F2" w:rsidP="00751547">
      <w:pPr>
        <w:spacing w:after="200"/>
        <w:jc w:val="both"/>
        <w:rPr>
          <w:sz w:val="20"/>
        </w:rPr>
      </w:pPr>
      <w:r w:rsidRPr="00955E19">
        <w:rPr>
          <w:sz w:val="20"/>
        </w:rPr>
        <w:t xml:space="preserve">Инвестиционният посредник извършва публично предлагане на емисията права на регулиран пазар, а именно на основния пазар на „БФБ–София” АД, сегмент за права. Съветът на директорите на “ГЛЕНМООР КЕПИТАЛ” АДСИЦ публикува Съобщение за публичното предлагане, началния и крайния срок за прехвърлянето на права и за записването на акции, регистрационния номер и датата на издаденото от КФН потвърждение, мястото, времето и начина на запознаване с проспекта, както и други данни, определени с наредба на КФН. Съгласно чл. 92а от ЗППЦК съобщението се публикува най-малко в </w:t>
      </w:r>
      <w:r w:rsidR="003B66AE" w:rsidRPr="00955E19">
        <w:rPr>
          <w:sz w:val="20"/>
        </w:rPr>
        <w:t xml:space="preserve">един </w:t>
      </w:r>
      <w:r w:rsidR="00A6375C" w:rsidRPr="00955E19">
        <w:rPr>
          <w:sz w:val="20"/>
        </w:rPr>
        <w:t>централен</w:t>
      </w:r>
      <w:r w:rsidR="003B66AE" w:rsidRPr="00955E19">
        <w:rPr>
          <w:sz w:val="20"/>
        </w:rPr>
        <w:t xml:space="preserve"> </w:t>
      </w:r>
      <w:r w:rsidR="00A6375C" w:rsidRPr="00955E19">
        <w:rPr>
          <w:sz w:val="20"/>
        </w:rPr>
        <w:t>ежедневник</w:t>
      </w:r>
      <w:r w:rsidRPr="00955E19">
        <w:rPr>
          <w:sz w:val="20"/>
        </w:rPr>
        <w:t xml:space="preserve"> (в-к „Капитал </w:t>
      </w:r>
      <w:proofErr w:type="spellStart"/>
      <w:r w:rsidRPr="00955E19">
        <w:rPr>
          <w:sz w:val="20"/>
        </w:rPr>
        <w:t>Daily</w:t>
      </w:r>
      <w:proofErr w:type="spellEnd"/>
      <w:r w:rsidRPr="00955E19">
        <w:rPr>
          <w:sz w:val="20"/>
        </w:rPr>
        <w:t xml:space="preserve">”) </w:t>
      </w:r>
      <w:r w:rsidR="003B66AE" w:rsidRPr="00955E19">
        <w:rPr>
          <w:sz w:val="20"/>
        </w:rPr>
        <w:t xml:space="preserve">и на интернет страницата на “ГЛЕНМООР КЕПИТАЛ” АДСИЦ, както </w:t>
      </w:r>
      <w:r w:rsidRPr="00955E19">
        <w:rPr>
          <w:sz w:val="20"/>
        </w:rPr>
        <w:t xml:space="preserve">и на интернет страницата на инвестиционния посредник “ЪП ТРЕНД” ООД </w:t>
      </w:r>
      <w:r w:rsidRPr="00955E19">
        <w:rPr>
          <w:sz w:val="20"/>
          <w:lang w:val="ru-RU"/>
        </w:rPr>
        <w:t>(</w:t>
      </w:r>
      <w:r w:rsidRPr="00955E19">
        <w:rPr>
          <w:sz w:val="20"/>
        </w:rPr>
        <w:t>с предишно наименование „БУЛ ТРЕНД БРОКЕРИДЖ” ООД</w:t>
      </w:r>
      <w:r w:rsidRPr="00955E19">
        <w:rPr>
          <w:sz w:val="20"/>
          <w:lang w:val="ru-RU"/>
        </w:rPr>
        <w:t>)</w:t>
      </w:r>
      <w:r w:rsidRPr="00955E19">
        <w:rPr>
          <w:sz w:val="20"/>
        </w:rPr>
        <w:t>, участващ в предлагането, най-малко 7 дни преди началния срок на подписката. Датата на публикуване на съобщението се смята за начало на публичното предлагане.</w:t>
      </w:r>
      <w:bookmarkEnd w:id="70"/>
      <w:bookmarkEnd w:id="71"/>
    </w:p>
    <w:p w14:paraId="5DE9ADBC" w14:textId="77777777" w:rsidR="00E175F2" w:rsidRPr="00955E19" w:rsidRDefault="00E175F2" w:rsidP="00152D36">
      <w:pPr>
        <w:spacing w:after="60"/>
        <w:rPr>
          <w:smallCaps/>
          <w:spacing w:val="20"/>
          <w:sz w:val="20"/>
        </w:rPr>
      </w:pPr>
      <w:r w:rsidRPr="00955E19">
        <w:rPr>
          <w:smallCaps/>
          <w:spacing w:val="20"/>
          <w:sz w:val="20"/>
        </w:rPr>
        <w:t>Място и лице за контакт</w:t>
      </w:r>
    </w:p>
    <w:p w14:paraId="68BADB50" w14:textId="77777777" w:rsidR="00E175F2" w:rsidRPr="00955E19" w:rsidRDefault="00E175F2" w:rsidP="00152D36">
      <w:pPr>
        <w:spacing w:after="200"/>
        <w:jc w:val="both"/>
        <w:rPr>
          <w:sz w:val="20"/>
        </w:rPr>
      </w:pPr>
      <w:r w:rsidRPr="00955E19">
        <w:rPr>
          <w:sz w:val="20"/>
        </w:rPr>
        <w:t>Инвеститорите, които проявяват интерес към предлаганите ценни книжа, могат да се обърнат към упълномощения инвестиционен посредник:</w:t>
      </w:r>
    </w:p>
    <w:tbl>
      <w:tblPr>
        <w:tblW w:w="0" w:type="auto"/>
        <w:tblInd w:w="228" w:type="dxa"/>
        <w:tblLook w:val="00A0" w:firstRow="1" w:lastRow="0" w:firstColumn="1" w:lastColumn="0" w:noHBand="0" w:noVBand="0"/>
      </w:tblPr>
      <w:tblGrid>
        <w:gridCol w:w="9000"/>
      </w:tblGrid>
      <w:tr w:rsidR="00E175F2" w:rsidRPr="00955E19" w14:paraId="39607DEE" w14:textId="77777777" w:rsidTr="000214AE">
        <w:trPr>
          <w:trHeight w:val="333"/>
        </w:trPr>
        <w:tc>
          <w:tcPr>
            <w:tcW w:w="9000" w:type="dxa"/>
            <w:vAlign w:val="center"/>
          </w:tcPr>
          <w:p w14:paraId="637C79FB" w14:textId="77777777" w:rsidR="00E175F2" w:rsidRPr="00955E19" w:rsidRDefault="00E175F2" w:rsidP="00955BCE">
            <w:pPr>
              <w:pStyle w:val="PlainText"/>
              <w:rPr>
                <w:rFonts w:ascii="Times New Roman" w:hAnsi="Times New Roman"/>
                <w:b/>
                <w:lang w:val="bg-BG" w:eastAsia="en-US"/>
              </w:rPr>
            </w:pPr>
            <w:r w:rsidRPr="00955E19">
              <w:rPr>
                <w:rFonts w:ascii="Times New Roman" w:hAnsi="Times New Roman"/>
                <w:b/>
                <w:lang w:val="ru-RU" w:eastAsia="en-US"/>
              </w:rPr>
              <w:t>ИП "ЪП ТРЕНД" ООД</w:t>
            </w:r>
            <w:r w:rsidRPr="00955E19">
              <w:rPr>
                <w:rFonts w:ascii="Times New Roman" w:hAnsi="Times New Roman"/>
                <w:b/>
                <w:lang w:val="bg-BG" w:eastAsia="en-US"/>
              </w:rPr>
              <w:t xml:space="preserve"> </w:t>
            </w:r>
            <w:r w:rsidRPr="00955E19">
              <w:rPr>
                <w:rFonts w:ascii="Times New Roman" w:hAnsi="Times New Roman"/>
                <w:lang w:val="bg-BG" w:eastAsia="en-US"/>
              </w:rPr>
              <w:t>(с предишно наименование „БУЛ ТРЕНД БРОКЕРИДЖ” ООД)</w:t>
            </w:r>
          </w:p>
        </w:tc>
      </w:tr>
      <w:tr w:rsidR="00DB351A" w:rsidRPr="00955E19" w14:paraId="3C80A774" w14:textId="77777777" w:rsidTr="000214AE">
        <w:tc>
          <w:tcPr>
            <w:tcW w:w="9000" w:type="dxa"/>
          </w:tcPr>
          <w:p w14:paraId="45CBF4F1" w14:textId="7A5B53A4" w:rsidR="00DB351A" w:rsidRPr="00955E19" w:rsidRDefault="00DB351A" w:rsidP="00DB351A">
            <w:pPr>
              <w:pStyle w:val="PlainText"/>
              <w:rPr>
                <w:rFonts w:ascii="Times New Roman" w:hAnsi="Times New Roman"/>
                <w:lang w:eastAsia="en-US"/>
              </w:rPr>
            </w:pPr>
            <w:proofErr w:type="spellStart"/>
            <w:r w:rsidRPr="00691237">
              <w:rPr>
                <w:rFonts w:ascii="Times New Roman" w:hAnsi="Times New Roman"/>
                <w:b/>
              </w:rPr>
              <w:t>Адрес</w:t>
            </w:r>
            <w:proofErr w:type="spellEnd"/>
            <w:r w:rsidRPr="00691237">
              <w:rPr>
                <w:rFonts w:ascii="Times New Roman" w:hAnsi="Times New Roman"/>
                <w:b/>
              </w:rPr>
              <w:t>:</w:t>
            </w:r>
            <w:r w:rsidRPr="00691237">
              <w:rPr>
                <w:rFonts w:ascii="Times New Roman" w:hAnsi="Times New Roman"/>
              </w:rPr>
              <w:t xml:space="preserve"> </w:t>
            </w:r>
            <w:proofErr w:type="spellStart"/>
            <w:r w:rsidRPr="006177DC">
              <w:rPr>
                <w:rFonts w:ascii="Times New Roman" w:hAnsi="Times New Roman"/>
              </w:rPr>
              <w:t>гр</w:t>
            </w:r>
            <w:proofErr w:type="spellEnd"/>
            <w:r w:rsidRPr="006177DC">
              <w:rPr>
                <w:rFonts w:ascii="Times New Roman" w:hAnsi="Times New Roman"/>
              </w:rPr>
              <w:t xml:space="preserve">. </w:t>
            </w:r>
            <w:proofErr w:type="spellStart"/>
            <w:r w:rsidRPr="006177DC">
              <w:rPr>
                <w:rFonts w:ascii="Times New Roman" w:hAnsi="Times New Roman"/>
              </w:rPr>
              <w:t>София</w:t>
            </w:r>
            <w:proofErr w:type="spellEnd"/>
            <w:r w:rsidRPr="006177DC">
              <w:rPr>
                <w:rFonts w:ascii="Times New Roman" w:hAnsi="Times New Roman"/>
              </w:rPr>
              <w:t xml:space="preserve">, р-н </w:t>
            </w:r>
            <w:proofErr w:type="spellStart"/>
            <w:r w:rsidRPr="006177DC">
              <w:rPr>
                <w:rFonts w:ascii="Times New Roman" w:hAnsi="Times New Roman"/>
              </w:rPr>
              <w:t>Лозенец</w:t>
            </w:r>
            <w:proofErr w:type="spellEnd"/>
            <w:r w:rsidRPr="006177DC">
              <w:rPr>
                <w:rFonts w:ascii="Times New Roman" w:hAnsi="Times New Roman"/>
              </w:rPr>
              <w:t xml:space="preserve">, </w:t>
            </w:r>
            <w:proofErr w:type="spellStart"/>
            <w:r w:rsidRPr="006177DC">
              <w:rPr>
                <w:rFonts w:ascii="Times New Roman" w:hAnsi="Times New Roman"/>
              </w:rPr>
              <w:t>бул</w:t>
            </w:r>
            <w:proofErr w:type="spellEnd"/>
            <w:r w:rsidRPr="006177DC">
              <w:rPr>
                <w:rFonts w:ascii="Times New Roman" w:hAnsi="Times New Roman"/>
              </w:rPr>
              <w:t xml:space="preserve">. </w:t>
            </w:r>
            <w:proofErr w:type="spellStart"/>
            <w:r w:rsidRPr="006177DC">
              <w:rPr>
                <w:rFonts w:ascii="Times New Roman" w:hAnsi="Times New Roman"/>
              </w:rPr>
              <w:t>Никола</w:t>
            </w:r>
            <w:proofErr w:type="spellEnd"/>
            <w:r w:rsidRPr="006177DC">
              <w:rPr>
                <w:rFonts w:ascii="Times New Roman" w:hAnsi="Times New Roman"/>
              </w:rPr>
              <w:t xml:space="preserve"> Й. </w:t>
            </w:r>
            <w:proofErr w:type="spellStart"/>
            <w:r w:rsidRPr="006177DC">
              <w:rPr>
                <w:rFonts w:ascii="Times New Roman" w:hAnsi="Times New Roman"/>
              </w:rPr>
              <w:t>Вапцаров</w:t>
            </w:r>
            <w:proofErr w:type="spellEnd"/>
            <w:r w:rsidRPr="006177DC">
              <w:rPr>
                <w:rFonts w:ascii="Times New Roman" w:hAnsi="Times New Roman"/>
              </w:rPr>
              <w:t xml:space="preserve"> № 6</w:t>
            </w:r>
            <w:r>
              <w:rPr>
                <w:rFonts w:ascii="Times New Roman" w:hAnsi="Times New Roman"/>
              </w:rPr>
              <w:t>;</w:t>
            </w:r>
          </w:p>
        </w:tc>
      </w:tr>
      <w:tr w:rsidR="00E175F2" w:rsidRPr="00955E19" w14:paraId="076BFACA" w14:textId="77777777" w:rsidTr="000214AE">
        <w:tc>
          <w:tcPr>
            <w:tcW w:w="9000" w:type="dxa"/>
          </w:tcPr>
          <w:p w14:paraId="2EA4E82E" w14:textId="77777777" w:rsidR="00E175F2" w:rsidRPr="00955E19" w:rsidRDefault="00E175F2" w:rsidP="00955BCE">
            <w:pPr>
              <w:pStyle w:val="PlainText"/>
              <w:rPr>
                <w:rFonts w:ascii="Times New Roman" w:hAnsi="Times New Roman"/>
                <w:lang w:eastAsia="en-US"/>
              </w:rPr>
            </w:pPr>
            <w:proofErr w:type="spellStart"/>
            <w:r w:rsidRPr="00955E19">
              <w:rPr>
                <w:rFonts w:ascii="Times New Roman" w:hAnsi="Times New Roman"/>
                <w:b/>
                <w:lang w:eastAsia="en-US"/>
              </w:rPr>
              <w:t>Тел</w:t>
            </w:r>
            <w:proofErr w:type="spellEnd"/>
            <w:r w:rsidRPr="00955E19">
              <w:rPr>
                <w:rFonts w:ascii="Times New Roman" w:hAnsi="Times New Roman"/>
                <w:b/>
                <w:lang w:eastAsia="en-US"/>
              </w:rPr>
              <w:t>.:</w:t>
            </w:r>
            <w:r w:rsidRPr="00955E19">
              <w:rPr>
                <w:rFonts w:ascii="Times New Roman" w:hAnsi="Times New Roman"/>
                <w:lang w:eastAsia="en-US"/>
              </w:rPr>
              <w:t xml:space="preserve"> +359 (02) 815 56 65</w:t>
            </w:r>
          </w:p>
        </w:tc>
      </w:tr>
      <w:tr w:rsidR="00E175F2" w:rsidRPr="00955E19" w14:paraId="6D7FD9BF" w14:textId="77777777" w:rsidTr="000214AE">
        <w:tc>
          <w:tcPr>
            <w:tcW w:w="9000" w:type="dxa"/>
          </w:tcPr>
          <w:p w14:paraId="5480D533" w14:textId="77777777" w:rsidR="00E175F2" w:rsidRPr="00955E19" w:rsidRDefault="00E175F2" w:rsidP="00955BCE">
            <w:pPr>
              <w:pStyle w:val="PlainText"/>
              <w:rPr>
                <w:rFonts w:ascii="Times New Roman" w:hAnsi="Times New Roman"/>
                <w:lang w:eastAsia="en-US"/>
              </w:rPr>
            </w:pPr>
            <w:proofErr w:type="spellStart"/>
            <w:r w:rsidRPr="00955E19">
              <w:rPr>
                <w:rFonts w:ascii="Times New Roman" w:hAnsi="Times New Roman"/>
                <w:b/>
                <w:lang w:eastAsia="en-US"/>
              </w:rPr>
              <w:t>Факс</w:t>
            </w:r>
            <w:proofErr w:type="spellEnd"/>
            <w:r w:rsidRPr="00955E19">
              <w:rPr>
                <w:rFonts w:ascii="Times New Roman" w:hAnsi="Times New Roman"/>
                <w:b/>
                <w:lang w:eastAsia="en-US"/>
              </w:rPr>
              <w:t>:</w:t>
            </w:r>
            <w:r w:rsidRPr="00955E19">
              <w:rPr>
                <w:rFonts w:ascii="Times New Roman" w:hAnsi="Times New Roman"/>
                <w:lang w:eastAsia="en-US"/>
              </w:rPr>
              <w:t xml:space="preserve"> +359 (02) 815 56 66</w:t>
            </w:r>
          </w:p>
        </w:tc>
      </w:tr>
      <w:tr w:rsidR="00E175F2" w:rsidRPr="00955E19" w14:paraId="65A44DF4" w14:textId="77777777" w:rsidTr="000214AE">
        <w:tc>
          <w:tcPr>
            <w:tcW w:w="9000" w:type="dxa"/>
          </w:tcPr>
          <w:p w14:paraId="5CD15485" w14:textId="1CA4BBC2" w:rsidR="00E175F2" w:rsidRPr="00955E19" w:rsidRDefault="00E175F2" w:rsidP="00955BCE">
            <w:pPr>
              <w:pStyle w:val="PlainText"/>
              <w:rPr>
                <w:rFonts w:ascii="Times New Roman" w:hAnsi="Times New Roman"/>
                <w:lang w:val="ru-RU" w:eastAsia="en-US"/>
              </w:rPr>
            </w:pPr>
            <w:r w:rsidRPr="00955E19">
              <w:rPr>
                <w:rFonts w:ascii="Times New Roman" w:hAnsi="Times New Roman"/>
                <w:b/>
                <w:lang w:val="ru-RU" w:eastAsia="en-US"/>
              </w:rPr>
              <w:t>Е-</w:t>
            </w:r>
            <w:proofErr w:type="spellStart"/>
            <w:r w:rsidRPr="00955E19">
              <w:rPr>
                <w:rFonts w:ascii="Times New Roman" w:hAnsi="Times New Roman"/>
                <w:b/>
                <w:lang w:val="ru-RU" w:eastAsia="en-US"/>
              </w:rPr>
              <w:t>поща</w:t>
            </w:r>
            <w:proofErr w:type="spellEnd"/>
            <w:r w:rsidRPr="00955E19">
              <w:rPr>
                <w:rFonts w:ascii="Times New Roman" w:hAnsi="Times New Roman"/>
                <w:b/>
                <w:lang w:val="ru-RU" w:eastAsia="en-US"/>
              </w:rPr>
              <w:t>:</w:t>
            </w:r>
            <w:r w:rsidRPr="00955E19">
              <w:rPr>
                <w:rFonts w:ascii="Times New Roman" w:hAnsi="Times New Roman"/>
                <w:lang w:val="ru-RU" w:eastAsia="en-US"/>
              </w:rPr>
              <w:t xml:space="preserve"> </w:t>
            </w:r>
            <w:proofErr w:type="spellStart"/>
            <w:r w:rsidRPr="00955E19">
              <w:rPr>
                <w:rFonts w:ascii="Times New Roman" w:hAnsi="Times New Roman"/>
                <w:lang w:val="en-US" w:eastAsia="en-US"/>
              </w:rPr>
              <w:t>peshev</w:t>
            </w:r>
            <w:proofErr w:type="spellEnd"/>
            <w:r w:rsidRPr="00955E19">
              <w:rPr>
                <w:rFonts w:ascii="Times New Roman" w:hAnsi="Times New Roman"/>
                <w:lang w:val="ru-RU" w:eastAsia="en-US"/>
              </w:rPr>
              <w:t>@</w:t>
            </w:r>
            <w:r w:rsidR="00DB351A">
              <w:rPr>
                <w:rFonts w:ascii="Times New Roman" w:hAnsi="Times New Roman"/>
                <w:lang w:eastAsia="en-US"/>
              </w:rPr>
              <w:t>up</w:t>
            </w:r>
            <w:r w:rsidRPr="00955E19">
              <w:rPr>
                <w:rFonts w:ascii="Times New Roman" w:hAnsi="Times New Roman"/>
                <w:lang w:eastAsia="en-US"/>
              </w:rPr>
              <w:t>trend</w:t>
            </w:r>
            <w:r w:rsidRPr="00955E19">
              <w:rPr>
                <w:rFonts w:ascii="Times New Roman" w:hAnsi="Times New Roman"/>
                <w:lang w:val="ru-RU" w:eastAsia="en-US"/>
              </w:rPr>
              <w:t>.</w:t>
            </w:r>
            <w:proofErr w:type="spellStart"/>
            <w:r w:rsidRPr="00955E19">
              <w:rPr>
                <w:rFonts w:ascii="Times New Roman" w:hAnsi="Times New Roman"/>
                <w:lang w:eastAsia="en-US"/>
              </w:rPr>
              <w:t>bg</w:t>
            </w:r>
            <w:proofErr w:type="spellEnd"/>
          </w:p>
        </w:tc>
      </w:tr>
      <w:tr w:rsidR="00E175F2" w:rsidRPr="00955E19" w14:paraId="607FCDA8" w14:textId="77777777" w:rsidTr="000214AE">
        <w:tc>
          <w:tcPr>
            <w:tcW w:w="9000" w:type="dxa"/>
          </w:tcPr>
          <w:p w14:paraId="6B4F6919" w14:textId="77777777" w:rsidR="00E175F2" w:rsidRPr="00955E19" w:rsidRDefault="00E175F2" w:rsidP="00955BCE">
            <w:pPr>
              <w:pStyle w:val="PlainText"/>
              <w:rPr>
                <w:rFonts w:ascii="Times New Roman" w:hAnsi="Times New Roman"/>
                <w:lang w:val="ru-RU" w:eastAsia="en-US"/>
              </w:rPr>
            </w:pPr>
            <w:r w:rsidRPr="00955E19">
              <w:rPr>
                <w:rFonts w:ascii="Times New Roman" w:hAnsi="Times New Roman"/>
                <w:lang w:val="ru-RU" w:eastAsia="en-US"/>
              </w:rPr>
              <w:t xml:space="preserve">Лице за контакт: </w:t>
            </w:r>
            <w:proofErr w:type="spellStart"/>
            <w:r w:rsidRPr="00955E19">
              <w:rPr>
                <w:rFonts w:ascii="Times New Roman" w:hAnsi="Times New Roman"/>
                <w:lang w:val="ru-RU" w:eastAsia="en-US"/>
              </w:rPr>
              <w:t>Петър</w:t>
            </w:r>
            <w:proofErr w:type="spellEnd"/>
            <w:r w:rsidRPr="00955E19">
              <w:rPr>
                <w:rFonts w:ascii="Times New Roman" w:hAnsi="Times New Roman"/>
                <w:lang w:val="ru-RU" w:eastAsia="en-US"/>
              </w:rPr>
              <w:t xml:space="preserve"> </w:t>
            </w:r>
            <w:proofErr w:type="spellStart"/>
            <w:r w:rsidRPr="00955E19">
              <w:rPr>
                <w:rFonts w:ascii="Times New Roman" w:hAnsi="Times New Roman"/>
                <w:lang w:val="ru-RU" w:eastAsia="en-US"/>
              </w:rPr>
              <w:t>Пешев</w:t>
            </w:r>
            <w:proofErr w:type="spellEnd"/>
          </w:p>
        </w:tc>
      </w:tr>
      <w:tr w:rsidR="00E175F2" w:rsidRPr="00955E19" w14:paraId="2E31A415" w14:textId="77777777" w:rsidTr="000214AE">
        <w:tc>
          <w:tcPr>
            <w:tcW w:w="9000" w:type="dxa"/>
          </w:tcPr>
          <w:p w14:paraId="22017D53" w14:textId="77777777" w:rsidR="00E175F2" w:rsidRPr="00955E19" w:rsidRDefault="00E175F2" w:rsidP="00955BCE">
            <w:pPr>
              <w:pStyle w:val="PlainText"/>
              <w:rPr>
                <w:rFonts w:ascii="Times New Roman" w:hAnsi="Times New Roman"/>
                <w:lang w:val="ru-RU" w:eastAsia="en-US"/>
              </w:rPr>
            </w:pPr>
            <w:proofErr w:type="spellStart"/>
            <w:r w:rsidRPr="00955E19">
              <w:rPr>
                <w:rFonts w:ascii="Times New Roman" w:hAnsi="Times New Roman"/>
                <w:lang w:val="ru-RU" w:eastAsia="en-US"/>
              </w:rPr>
              <w:t>Всеки</w:t>
            </w:r>
            <w:proofErr w:type="spellEnd"/>
            <w:r w:rsidRPr="00955E19">
              <w:rPr>
                <w:rFonts w:ascii="Times New Roman" w:hAnsi="Times New Roman"/>
                <w:lang w:val="ru-RU" w:eastAsia="en-US"/>
              </w:rPr>
              <w:t xml:space="preserve"> </w:t>
            </w:r>
            <w:proofErr w:type="spellStart"/>
            <w:r w:rsidRPr="00955E19">
              <w:rPr>
                <w:rFonts w:ascii="Times New Roman" w:hAnsi="Times New Roman"/>
                <w:lang w:val="ru-RU" w:eastAsia="en-US"/>
              </w:rPr>
              <w:t>работен</w:t>
            </w:r>
            <w:proofErr w:type="spellEnd"/>
            <w:r w:rsidRPr="00955E19">
              <w:rPr>
                <w:rFonts w:ascii="Times New Roman" w:hAnsi="Times New Roman"/>
                <w:lang w:val="ru-RU" w:eastAsia="en-US"/>
              </w:rPr>
              <w:t xml:space="preserve"> </w:t>
            </w:r>
            <w:proofErr w:type="spellStart"/>
            <w:r w:rsidRPr="00955E19">
              <w:rPr>
                <w:rFonts w:ascii="Times New Roman" w:hAnsi="Times New Roman"/>
                <w:lang w:val="ru-RU" w:eastAsia="en-US"/>
              </w:rPr>
              <w:t>ден</w:t>
            </w:r>
            <w:proofErr w:type="spellEnd"/>
            <w:r w:rsidRPr="00955E19">
              <w:rPr>
                <w:rFonts w:ascii="Times New Roman" w:hAnsi="Times New Roman"/>
                <w:lang w:val="ru-RU" w:eastAsia="en-US"/>
              </w:rPr>
              <w:t xml:space="preserve"> от 9,00 до 17,00 часа</w:t>
            </w:r>
          </w:p>
        </w:tc>
      </w:tr>
    </w:tbl>
    <w:p w14:paraId="417085AE" w14:textId="7D4142F2" w:rsidR="00E175F2" w:rsidRPr="00955E19" w:rsidRDefault="00E175F2" w:rsidP="000F1AF2">
      <w:pPr>
        <w:tabs>
          <w:tab w:val="center" w:pos="4513"/>
        </w:tabs>
        <w:jc w:val="both"/>
        <w:rPr>
          <w:sz w:val="20"/>
        </w:rPr>
      </w:pPr>
      <w:r w:rsidRPr="00955E19">
        <w:rPr>
          <w:sz w:val="20"/>
        </w:rPr>
        <w:t xml:space="preserve"> </w:t>
      </w:r>
      <w:r w:rsidR="00DB351A">
        <w:rPr>
          <w:sz w:val="20"/>
        </w:rPr>
        <w:tab/>
      </w:r>
    </w:p>
    <w:p w14:paraId="14C54C11" w14:textId="77777777" w:rsidR="00E175F2" w:rsidRPr="00955E19" w:rsidRDefault="00E175F2" w:rsidP="00152D36">
      <w:pPr>
        <w:jc w:val="both"/>
        <w:rPr>
          <w:sz w:val="20"/>
        </w:rPr>
      </w:pPr>
      <w:bookmarkStart w:id="72" w:name="_Toc174717192"/>
      <w:bookmarkStart w:id="73" w:name="_Toc174720190"/>
      <w:r w:rsidRPr="00955E19">
        <w:rPr>
          <w:sz w:val="20"/>
        </w:rPr>
        <w:t>Инвеститорите, които проявяват интерес към предлаганите ценни книжа, могат да се обърнат и към всеки лицензиран инвестиционен посредник.</w:t>
      </w:r>
    </w:p>
    <w:p w14:paraId="7003D235" w14:textId="77777777" w:rsidR="00E175F2" w:rsidRPr="00955E19" w:rsidRDefault="00E175F2" w:rsidP="00152D36">
      <w:pPr>
        <w:rPr>
          <w:smallCaps/>
          <w:spacing w:val="20"/>
          <w:sz w:val="20"/>
        </w:rPr>
      </w:pPr>
    </w:p>
    <w:p w14:paraId="5DA437A2" w14:textId="77777777" w:rsidR="00E175F2" w:rsidRPr="00955E19" w:rsidRDefault="00E175F2" w:rsidP="00152D36">
      <w:pPr>
        <w:rPr>
          <w:smallCaps/>
          <w:spacing w:val="20"/>
          <w:sz w:val="20"/>
        </w:rPr>
      </w:pPr>
      <w:r w:rsidRPr="00955E19">
        <w:rPr>
          <w:smallCaps/>
          <w:spacing w:val="20"/>
          <w:sz w:val="20"/>
        </w:rPr>
        <w:t>Срок за прехвърляне на правата.</w:t>
      </w:r>
      <w:bookmarkEnd w:id="72"/>
      <w:bookmarkEnd w:id="73"/>
      <w:r w:rsidRPr="00955E19">
        <w:rPr>
          <w:smallCaps/>
          <w:spacing w:val="20"/>
          <w:sz w:val="20"/>
        </w:rPr>
        <w:t xml:space="preserve"> </w:t>
      </w:r>
    </w:p>
    <w:p w14:paraId="7FF72FC5" w14:textId="77777777" w:rsidR="00E175F2" w:rsidRPr="00955E19" w:rsidRDefault="00E175F2" w:rsidP="00152D36">
      <w:pPr>
        <w:rPr>
          <w:smallCaps/>
          <w:spacing w:val="20"/>
          <w:sz w:val="20"/>
        </w:rPr>
      </w:pPr>
    </w:p>
    <w:p w14:paraId="48F08450" w14:textId="77777777" w:rsidR="00E175F2" w:rsidRPr="00955E19" w:rsidRDefault="00E175F2" w:rsidP="00152D36">
      <w:pPr>
        <w:spacing w:after="120"/>
        <w:jc w:val="both"/>
        <w:rPr>
          <w:b/>
          <w:sz w:val="20"/>
        </w:rPr>
      </w:pPr>
      <w:bookmarkStart w:id="74" w:name="OLE_LINK56"/>
      <w:r w:rsidRPr="00955E19">
        <w:rPr>
          <w:b/>
          <w:sz w:val="20"/>
        </w:rPr>
        <w:t>Начална дата за продажба (търговия) на правата и за записване на нови акции</w:t>
      </w:r>
    </w:p>
    <w:p w14:paraId="4E10D2B2" w14:textId="003A2832" w:rsidR="00E175F2" w:rsidRPr="00955E19" w:rsidRDefault="00E175F2" w:rsidP="00152D36">
      <w:pPr>
        <w:spacing w:after="200"/>
        <w:jc w:val="both"/>
        <w:rPr>
          <w:sz w:val="20"/>
        </w:rPr>
      </w:pPr>
      <w:r w:rsidRPr="00955E19">
        <w:rPr>
          <w:sz w:val="20"/>
        </w:rPr>
        <w:t xml:space="preserve">Това е първият работен ден, следващ изтичането на 7 (седем) дни от датата на </w:t>
      </w:r>
      <w:r w:rsidR="003B66AE" w:rsidRPr="00955E19">
        <w:rPr>
          <w:sz w:val="20"/>
        </w:rPr>
        <w:t xml:space="preserve">публикацията </w:t>
      </w:r>
      <w:r w:rsidRPr="00955E19">
        <w:rPr>
          <w:sz w:val="20"/>
        </w:rPr>
        <w:t xml:space="preserve">на съобщението за публичното предлагане по чл. 92а ЗППЦК в </w:t>
      </w:r>
      <w:r w:rsidR="003B66AE" w:rsidRPr="00955E19">
        <w:rPr>
          <w:sz w:val="20"/>
        </w:rPr>
        <w:t xml:space="preserve">един </w:t>
      </w:r>
      <w:r w:rsidRPr="00955E19">
        <w:rPr>
          <w:sz w:val="20"/>
        </w:rPr>
        <w:t>централ</w:t>
      </w:r>
      <w:r w:rsidR="003B66AE" w:rsidRPr="00955E19">
        <w:rPr>
          <w:sz w:val="20"/>
        </w:rPr>
        <w:t>е</w:t>
      </w:r>
      <w:r w:rsidRPr="00955E19">
        <w:rPr>
          <w:sz w:val="20"/>
        </w:rPr>
        <w:t>н ежедневник</w:t>
      </w:r>
      <w:r w:rsidR="003B66AE" w:rsidRPr="00955E19">
        <w:rPr>
          <w:sz w:val="20"/>
        </w:rPr>
        <w:t xml:space="preserve"> </w:t>
      </w:r>
      <w:r w:rsidRPr="00955E19">
        <w:rPr>
          <w:sz w:val="20"/>
        </w:rPr>
        <w:t xml:space="preserve">(в-к „Капитал </w:t>
      </w:r>
      <w:proofErr w:type="spellStart"/>
      <w:r w:rsidRPr="00955E19">
        <w:rPr>
          <w:sz w:val="20"/>
        </w:rPr>
        <w:t>Daily</w:t>
      </w:r>
      <w:proofErr w:type="spellEnd"/>
      <w:r w:rsidRPr="00955E19">
        <w:rPr>
          <w:sz w:val="20"/>
        </w:rPr>
        <w:t xml:space="preserve">”) и на интернет страниците на “ГЛЕНМООР КЕПИТАЛ” АДСИЦ и на упълномощения инвестиционен посредник „ЪП ТРЕНД” ООД, (ако публикациите са в различни дати – първият работен ден, следващ изтичането на 7 дни от най-късната от всички дати). Очаква се началната дата на подписката и на борсовата търговия с права да е на или около </w:t>
      </w:r>
      <w:r w:rsidR="00371C9F">
        <w:rPr>
          <w:sz w:val="20"/>
        </w:rPr>
        <w:t>19.12.2017</w:t>
      </w:r>
      <w:r w:rsidRPr="00955E19">
        <w:rPr>
          <w:sz w:val="20"/>
        </w:rPr>
        <w:t xml:space="preserve"> г.</w:t>
      </w:r>
    </w:p>
    <w:p w14:paraId="766FC423" w14:textId="77777777" w:rsidR="00E175F2" w:rsidRPr="00955E19" w:rsidRDefault="00E175F2" w:rsidP="00152D36">
      <w:pPr>
        <w:spacing w:after="120"/>
        <w:jc w:val="both"/>
        <w:rPr>
          <w:b/>
          <w:sz w:val="20"/>
        </w:rPr>
      </w:pPr>
      <w:r w:rsidRPr="00955E19">
        <w:rPr>
          <w:b/>
          <w:sz w:val="20"/>
        </w:rPr>
        <w:t>Краен срок за продажба на правата</w:t>
      </w:r>
    </w:p>
    <w:p w14:paraId="38C46BE0" w14:textId="6E2284F6" w:rsidR="00E175F2" w:rsidRPr="00955E19" w:rsidRDefault="00E175F2" w:rsidP="00152D36">
      <w:pPr>
        <w:spacing w:after="200"/>
        <w:jc w:val="both"/>
        <w:rPr>
          <w:sz w:val="20"/>
        </w:rPr>
      </w:pPr>
      <w:r w:rsidRPr="00955E19">
        <w:rPr>
          <w:sz w:val="20"/>
        </w:rPr>
        <w:t xml:space="preserve">Крайният срок за прехвърляне на правата съгласно чл. 13, ал. 7 и § 2 от ЗДСИЦ във връзка с чл. 112б, ал. 4 от ЗППЦК е първият работен ден, следващ изтичането на 14 (четиринадесет) дни, считано от началната дата за прехвърляне на правата  (очаквана дата: </w:t>
      </w:r>
      <w:r w:rsidR="00371C9F">
        <w:rPr>
          <w:sz w:val="20"/>
        </w:rPr>
        <w:t>03.01.2018</w:t>
      </w:r>
      <w:r w:rsidRPr="00955E19">
        <w:rPr>
          <w:sz w:val="20"/>
        </w:rPr>
        <w:t xml:space="preserve"> г.). Съгласно Правилата на „Българска фондова борса – София” АД (БФБ) последната дата за търговия с права на борсата е два работни дни преди крайната дата за прехвърляне на права (очаквана последна дата за търговия с права на борсата: </w:t>
      </w:r>
      <w:r w:rsidR="00371C9F">
        <w:rPr>
          <w:sz w:val="20"/>
        </w:rPr>
        <w:t>29.12.2017</w:t>
      </w:r>
      <w:r w:rsidRPr="00955E19">
        <w:rPr>
          <w:sz w:val="20"/>
        </w:rPr>
        <w:t xml:space="preserve"> г.).</w:t>
      </w:r>
    </w:p>
    <w:p w14:paraId="626B3F46" w14:textId="77777777" w:rsidR="00E175F2" w:rsidRPr="00955E19" w:rsidRDefault="00E175F2" w:rsidP="00152D36">
      <w:pPr>
        <w:spacing w:after="120"/>
        <w:jc w:val="both"/>
        <w:rPr>
          <w:b/>
          <w:sz w:val="20"/>
        </w:rPr>
      </w:pPr>
      <w:r w:rsidRPr="00955E19">
        <w:rPr>
          <w:b/>
          <w:sz w:val="20"/>
        </w:rPr>
        <w:t>Място, условия и ред за прехвърляне на правата</w:t>
      </w:r>
    </w:p>
    <w:p w14:paraId="47674489" w14:textId="77777777" w:rsidR="00E175F2" w:rsidRPr="00955E19" w:rsidRDefault="00E175F2" w:rsidP="00210C01">
      <w:pPr>
        <w:spacing w:after="200"/>
        <w:jc w:val="both"/>
        <w:rPr>
          <w:sz w:val="20"/>
        </w:rPr>
      </w:pPr>
      <w:r w:rsidRPr="00955E19">
        <w:rPr>
          <w:sz w:val="20"/>
        </w:rPr>
        <w:t>Прехвърлянето на правата посредством тяхната покупко-продажба (търговията с права) се извършва на пазара на права на „БФБ–София” АД. Правата се предлагат за продажба от упълномощения инвестиционен посредник – „ЪП ТРЕНД” ООД. Права могат да предлагат за продажба и лица, които са закупили права на „БФБ-София” АД, чрез подаване на поръчка за продажба до съответния инвестиционен посредник - член на „БФБ-София” АД, при когото е разкрита сметката за права на това лице. Правата се закупуват от инвеститорите на борсата чрез подаване на поръчка за покупка до инвестиционен посредник, член на борсата. За придобиването на права по други способи се прилагат разпоредбите на Правилника на „Централен депозитар” АД.</w:t>
      </w:r>
    </w:p>
    <w:p w14:paraId="5FBD0905" w14:textId="77777777" w:rsidR="00E175F2" w:rsidRPr="00955E19" w:rsidRDefault="00E175F2" w:rsidP="00210C01">
      <w:pPr>
        <w:spacing w:after="200"/>
        <w:jc w:val="both"/>
        <w:rPr>
          <w:sz w:val="20"/>
        </w:rPr>
      </w:pPr>
      <w:r w:rsidRPr="00955E19">
        <w:rPr>
          <w:sz w:val="20"/>
        </w:rPr>
        <w:lastRenderedPageBreak/>
        <w:t>Сумите, получени от продажбата на правата, постъпват по специална сметка, открита от „Централен депозитар” АД, и не могат да се ползват до вписване на увеличението на капитала на дружеството в търговския регистър при Агенцията по вписванията. В началото на всеки работен ден от подписката „Централен депозитар” АД публично оповестява информация за упражнените до края на предходния работен ден права.</w:t>
      </w:r>
    </w:p>
    <w:bookmarkEnd w:id="74"/>
    <w:p w14:paraId="720FE911" w14:textId="77777777" w:rsidR="00E175F2" w:rsidRPr="00955E19" w:rsidRDefault="00E175F2" w:rsidP="00210C01">
      <w:pPr>
        <w:spacing w:after="120"/>
        <w:jc w:val="both"/>
        <w:rPr>
          <w:b/>
          <w:sz w:val="20"/>
        </w:rPr>
      </w:pPr>
      <w:r w:rsidRPr="00955E19">
        <w:rPr>
          <w:b/>
          <w:sz w:val="20"/>
        </w:rPr>
        <w:t>Начална дата за записване на акции</w:t>
      </w:r>
    </w:p>
    <w:p w14:paraId="676D32BA" w14:textId="4B2AD2FD" w:rsidR="00E175F2" w:rsidRPr="00955E19" w:rsidRDefault="00E175F2" w:rsidP="00210C01">
      <w:pPr>
        <w:spacing w:after="120"/>
        <w:jc w:val="both"/>
        <w:rPr>
          <w:sz w:val="20"/>
        </w:rPr>
      </w:pPr>
      <w:r w:rsidRPr="00955E19">
        <w:rPr>
          <w:sz w:val="20"/>
        </w:rPr>
        <w:t xml:space="preserve">Началната дата съвпада с датата, от която започва предлагането на правата - първият работен ден, следващ изтичането на 7 (седем) дни от датата на </w:t>
      </w:r>
      <w:r w:rsidR="0077009E" w:rsidRPr="00955E19">
        <w:rPr>
          <w:sz w:val="20"/>
        </w:rPr>
        <w:t xml:space="preserve">публикацията </w:t>
      </w:r>
      <w:r w:rsidRPr="00955E19">
        <w:rPr>
          <w:sz w:val="20"/>
        </w:rPr>
        <w:t xml:space="preserve">на съобщението за публичното предлагане по чл. 92а ЗППЦК в </w:t>
      </w:r>
      <w:r w:rsidR="0077009E" w:rsidRPr="00955E19">
        <w:rPr>
          <w:sz w:val="20"/>
        </w:rPr>
        <w:t xml:space="preserve">един </w:t>
      </w:r>
      <w:r w:rsidRPr="00955E19">
        <w:rPr>
          <w:sz w:val="20"/>
        </w:rPr>
        <w:t>централ</w:t>
      </w:r>
      <w:r w:rsidR="0077009E" w:rsidRPr="00955E19">
        <w:rPr>
          <w:sz w:val="20"/>
        </w:rPr>
        <w:t>е</w:t>
      </w:r>
      <w:r w:rsidRPr="00955E19">
        <w:rPr>
          <w:sz w:val="20"/>
        </w:rPr>
        <w:t xml:space="preserve">н ежедневник (в-к „Капитал </w:t>
      </w:r>
      <w:proofErr w:type="spellStart"/>
      <w:r w:rsidRPr="00955E19">
        <w:rPr>
          <w:sz w:val="20"/>
        </w:rPr>
        <w:t>Daily</w:t>
      </w:r>
      <w:proofErr w:type="spellEnd"/>
      <w:r w:rsidRPr="00955E19">
        <w:rPr>
          <w:sz w:val="20"/>
        </w:rPr>
        <w:t>”) и на интернет страниците на “ГЛЕНМООР КЕПИТАЛ” АДСИЦ и на упълномощения инвестиционен посредник „ЪП ТРЕНД” ООД.</w:t>
      </w:r>
    </w:p>
    <w:p w14:paraId="633FE5A8" w14:textId="77777777" w:rsidR="00E175F2" w:rsidRPr="00955E19" w:rsidRDefault="00E175F2" w:rsidP="00210C01">
      <w:pPr>
        <w:spacing w:after="120"/>
        <w:jc w:val="both"/>
        <w:rPr>
          <w:b/>
          <w:sz w:val="20"/>
        </w:rPr>
      </w:pPr>
      <w:r w:rsidRPr="00955E19">
        <w:rPr>
          <w:b/>
          <w:sz w:val="20"/>
        </w:rPr>
        <w:t>Краен срок за записване на акции</w:t>
      </w:r>
    </w:p>
    <w:p w14:paraId="255A40F0" w14:textId="36F1786C" w:rsidR="00E175F2" w:rsidRPr="00955E19" w:rsidRDefault="00E175F2" w:rsidP="00210C01">
      <w:pPr>
        <w:spacing w:after="120"/>
        <w:jc w:val="both"/>
        <w:rPr>
          <w:sz w:val="20"/>
        </w:rPr>
      </w:pPr>
      <w:r w:rsidRPr="00955E19">
        <w:rPr>
          <w:sz w:val="20"/>
        </w:rPr>
        <w:t xml:space="preserve">Крайният срок за записване на акции от притежателите на права съгласно чл. 13, ал. 7 от ЗДСИЦ и чл. 112б, ал. 5 от ЗППЦК е първият работен ден, следващ изтичането на 15 работни дни, след изтичането на срока за прехвърляне на правата (очаквана дата: </w:t>
      </w:r>
      <w:r w:rsidR="00371C9F">
        <w:rPr>
          <w:sz w:val="20"/>
        </w:rPr>
        <w:t>25.01.2018</w:t>
      </w:r>
      <w:r w:rsidRPr="00955E19">
        <w:rPr>
          <w:sz w:val="20"/>
        </w:rPr>
        <w:t xml:space="preserve"> г.).</w:t>
      </w:r>
    </w:p>
    <w:p w14:paraId="127A080A" w14:textId="77777777" w:rsidR="00E175F2" w:rsidRPr="00955E19" w:rsidRDefault="00E175F2" w:rsidP="00210C01">
      <w:pPr>
        <w:spacing w:after="120"/>
        <w:jc w:val="both"/>
        <w:rPr>
          <w:sz w:val="20"/>
        </w:rPr>
      </w:pPr>
      <w:r w:rsidRPr="00955E19">
        <w:rPr>
          <w:sz w:val="20"/>
        </w:rPr>
        <w:t xml:space="preserve">Не се допуска записване на акции преди началния и след крайния срок за записване на акции. </w:t>
      </w:r>
    </w:p>
    <w:p w14:paraId="6E931ABB" w14:textId="77777777" w:rsidR="00E175F2" w:rsidRPr="00955E19" w:rsidRDefault="00E175F2" w:rsidP="00152D36">
      <w:pPr>
        <w:spacing w:after="200"/>
        <w:jc w:val="both"/>
        <w:rPr>
          <w:sz w:val="20"/>
        </w:rPr>
      </w:pPr>
      <w:bookmarkStart w:id="75" w:name="OLE_LINK58"/>
      <w:bookmarkStart w:id="76" w:name="OLE_LINK59"/>
      <w:r w:rsidRPr="00955E19">
        <w:rPr>
          <w:sz w:val="20"/>
        </w:rPr>
        <w:t>В началото на всеки работен ден по време на подписката „Централен депозитар” АД публично оповестява информацията за упражнените да края на предходния ден права.</w:t>
      </w:r>
    </w:p>
    <w:bookmarkEnd w:id="75"/>
    <w:bookmarkEnd w:id="76"/>
    <w:p w14:paraId="1C75737E" w14:textId="77777777" w:rsidR="00E175F2" w:rsidRPr="00955E19" w:rsidRDefault="00E175F2" w:rsidP="00DF431C">
      <w:pPr>
        <w:spacing w:before="360" w:after="120"/>
        <w:jc w:val="both"/>
        <w:rPr>
          <w:sz w:val="20"/>
        </w:rPr>
      </w:pPr>
      <w:r w:rsidRPr="00955E19">
        <w:rPr>
          <w:b/>
          <w:sz w:val="20"/>
        </w:rPr>
        <w:t>Таблица № 5:</w:t>
      </w:r>
      <w:r w:rsidRPr="00955E19">
        <w:rPr>
          <w:sz w:val="20"/>
        </w:rPr>
        <w:t xml:space="preserve"> Очакван график на предлагането: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06"/>
        <w:gridCol w:w="3436"/>
      </w:tblGrid>
      <w:tr w:rsidR="00E175F2" w:rsidRPr="00955E19" w14:paraId="74F7E99A" w14:textId="77777777" w:rsidTr="00D51E6D">
        <w:tc>
          <w:tcPr>
            <w:tcW w:w="3141" w:type="pct"/>
            <w:vAlign w:val="center"/>
          </w:tcPr>
          <w:p w14:paraId="60DC707A" w14:textId="77777777" w:rsidR="00E175F2" w:rsidRPr="00955E19" w:rsidRDefault="00E175F2" w:rsidP="00152D36">
            <w:pPr>
              <w:spacing w:before="60" w:after="60"/>
              <w:rPr>
                <w:sz w:val="20"/>
              </w:rPr>
            </w:pPr>
            <w:r w:rsidRPr="00955E19">
              <w:rPr>
                <w:sz w:val="20"/>
              </w:rPr>
              <w:t xml:space="preserve">Дата на публикуване на Проспекта                            </w:t>
            </w:r>
          </w:p>
        </w:tc>
        <w:tc>
          <w:tcPr>
            <w:tcW w:w="1859" w:type="pct"/>
            <w:vAlign w:val="center"/>
          </w:tcPr>
          <w:p w14:paraId="03D3F202" w14:textId="31F3AC2D" w:rsidR="00E175F2" w:rsidRPr="00955E19" w:rsidRDefault="00371C9F" w:rsidP="00152D36">
            <w:pPr>
              <w:spacing w:before="60" w:after="60"/>
              <w:jc w:val="right"/>
              <w:rPr>
                <w:sz w:val="20"/>
              </w:rPr>
            </w:pPr>
            <w:r>
              <w:rPr>
                <w:sz w:val="20"/>
              </w:rPr>
              <w:t>11.12.2017</w:t>
            </w:r>
            <w:r w:rsidR="00E175F2" w:rsidRPr="00955E19">
              <w:rPr>
                <w:sz w:val="20"/>
              </w:rPr>
              <w:t xml:space="preserve"> г. </w:t>
            </w:r>
          </w:p>
        </w:tc>
      </w:tr>
      <w:tr w:rsidR="00E175F2" w:rsidRPr="00955E19" w14:paraId="2C7CACBD" w14:textId="77777777" w:rsidTr="00D51E6D">
        <w:trPr>
          <w:trHeight w:val="80"/>
        </w:trPr>
        <w:tc>
          <w:tcPr>
            <w:tcW w:w="3141" w:type="pct"/>
            <w:vAlign w:val="center"/>
          </w:tcPr>
          <w:p w14:paraId="65C99F98" w14:textId="3B49694D" w:rsidR="00E175F2" w:rsidRPr="00955E19" w:rsidRDefault="00E175F2" w:rsidP="00152D36">
            <w:pPr>
              <w:spacing w:before="60" w:after="60"/>
              <w:rPr>
                <w:sz w:val="20"/>
              </w:rPr>
            </w:pPr>
            <w:r w:rsidRPr="00955E19">
              <w:rPr>
                <w:sz w:val="20"/>
              </w:rPr>
              <w:t xml:space="preserve">Дата на </w:t>
            </w:r>
            <w:r w:rsidR="0077009E" w:rsidRPr="00955E19">
              <w:rPr>
                <w:sz w:val="20"/>
              </w:rPr>
              <w:t xml:space="preserve">публикацията </w:t>
            </w:r>
            <w:r w:rsidRPr="00955E19">
              <w:rPr>
                <w:sz w:val="20"/>
              </w:rPr>
              <w:t xml:space="preserve">на съобщението за публичното предлагане по чл. 92а ЗППЦК в </w:t>
            </w:r>
            <w:r w:rsidR="0077009E" w:rsidRPr="00955E19">
              <w:rPr>
                <w:sz w:val="20"/>
              </w:rPr>
              <w:t xml:space="preserve">един </w:t>
            </w:r>
            <w:r w:rsidRPr="00955E19">
              <w:rPr>
                <w:sz w:val="20"/>
              </w:rPr>
              <w:t>централ</w:t>
            </w:r>
            <w:r w:rsidR="0077009E" w:rsidRPr="00955E19">
              <w:rPr>
                <w:sz w:val="20"/>
              </w:rPr>
              <w:t>е</w:t>
            </w:r>
            <w:r w:rsidRPr="00955E19">
              <w:rPr>
                <w:sz w:val="20"/>
              </w:rPr>
              <w:t xml:space="preserve">н ежедневник (в-к „Капитал </w:t>
            </w:r>
            <w:proofErr w:type="spellStart"/>
            <w:r w:rsidRPr="00955E19">
              <w:rPr>
                <w:sz w:val="20"/>
              </w:rPr>
              <w:t>Daily</w:t>
            </w:r>
            <w:proofErr w:type="spellEnd"/>
            <w:r w:rsidRPr="00955E19">
              <w:rPr>
                <w:sz w:val="20"/>
              </w:rPr>
              <w:t xml:space="preserve">”) и на интернет страниците на “ГЛЕНМООР КЕПИТАЛ” АДСИЦ и на упълномощения инвестиционен посредник „ЪП ТРЕНД” ООД </w:t>
            </w:r>
          </w:p>
        </w:tc>
        <w:tc>
          <w:tcPr>
            <w:tcW w:w="1859" w:type="pct"/>
            <w:vAlign w:val="center"/>
          </w:tcPr>
          <w:p w14:paraId="02FC84BB" w14:textId="488C8F97" w:rsidR="00E175F2" w:rsidRPr="00955E19" w:rsidRDefault="00371C9F" w:rsidP="00152D36">
            <w:pPr>
              <w:spacing w:before="60" w:after="60"/>
              <w:jc w:val="right"/>
              <w:rPr>
                <w:sz w:val="20"/>
              </w:rPr>
            </w:pPr>
            <w:r>
              <w:rPr>
                <w:sz w:val="20"/>
              </w:rPr>
              <w:t>11.12.2017</w:t>
            </w:r>
            <w:r w:rsidR="00E175F2" w:rsidRPr="00955E19">
              <w:rPr>
                <w:sz w:val="20"/>
              </w:rPr>
              <w:t xml:space="preserve"> г.</w:t>
            </w:r>
          </w:p>
        </w:tc>
      </w:tr>
      <w:tr w:rsidR="00E175F2" w:rsidRPr="00955E19" w14:paraId="5B654D1F" w14:textId="77777777" w:rsidTr="00D51E6D">
        <w:tc>
          <w:tcPr>
            <w:tcW w:w="3141" w:type="pct"/>
            <w:vAlign w:val="center"/>
          </w:tcPr>
          <w:p w14:paraId="45FB87FC" w14:textId="77777777" w:rsidR="00E175F2" w:rsidRPr="00955E19" w:rsidRDefault="00E175F2" w:rsidP="00152D36">
            <w:pPr>
              <w:spacing w:before="60" w:after="60"/>
              <w:rPr>
                <w:sz w:val="20"/>
              </w:rPr>
            </w:pPr>
            <w:r w:rsidRPr="00955E19">
              <w:rPr>
                <w:sz w:val="20"/>
              </w:rPr>
              <w:t xml:space="preserve">Начало на търговията с права на „БФБ –София” АД и на записването на новите акции </w:t>
            </w:r>
          </w:p>
        </w:tc>
        <w:tc>
          <w:tcPr>
            <w:tcW w:w="1859" w:type="pct"/>
            <w:vAlign w:val="center"/>
          </w:tcPr>
          <w:p w14:paraId="5D9C974D" w14:textId="25DCF0F2" w:rsidR="00E175F2" w:rsidRPr="00955E19" w:rsidRDefault="00371C9F" w:rsidP="00152D36">
            <w:pPr>
              <w:spacing w:before="60" w:after="60"/>
              <w:jc w:val="right"/>
              <w:rPr>
                <w:sz w:val="20"/>
              </w:rPr>
            </w:pPr>
            <w:r>
              <w:rPr>
                <w:sz w:val="20"/>
              </w:rPr>
              <w:t>19.12.2017</w:t>
            </w:r>
            <w:r w:rsidR="00E175F2" w:rsidRPr="00955E19">
              <w:rPr>
                <w:sz w:val="20"/>
              </w:rPr>
              <w:t xml:space="preserve"> г.</w:t>
            </w:r>
          </w:p>
        </w:tc>
      </w:tr>
      <w:tr w:rsidR="00E175F2" w:rsidRPr="00955E19" w14:paraId="3399CC64" w14:textId="77777777" w:rsidTr="00D51E6D">
        <w:tc>
          <w:tcPr>
            <w:tcW w:w="3141" w:type="pct"/>
            <w:vAlign w:val="center"/>
          </w:tcPr>
          <w:p w14:paraId="584C8A88" w14:textId="77777777" w:rsidR="00E175F2" w:rsidRPr="00955E19" w:rsidRDefault="00E175F2" w:rsidP="00152D36">
            <w:pPr>
              <w:spacing w:before="60" w:after="60"/>
              <w:rPr>
                <w:sz w:val="20"/>
              </w:rPr>
            </w:pPr>
            <w:r w:rsidRPr="00955E19">
              <w:rPr>
                <w:sz w:val="20"/>
              </w:rPr>
              <w:t xml:space="preserve">Последен ден на търговията с права на „БФБ-София” АД </w:t>
            </w:r>
          </w:p>
        </w:tc>
        <w:tc>
          <w:tcPr>
            <w:tcW w:w="1859" w:type="pct"/>
            <w:vAlign w:val="center"/>
          </w:tcPr>
          <w:p w14:paraId="0B6B6F4E" w14:textId="29B367EE" w:rsidR="00E175F2" w:rsidRPr="00955E19" w:rsidRDefault="00371C9F" w:rsidP="00152D36">
            <w:pPr>
              <w:spacing w:before="60" w:after="60"/>
              <w:jc w:val="right"/>
              <w:rPr>
                <w:sz w:val="20"/>
              </w:rPr>
            </w:pPr>
            <w:r>
              <w:rPr>
                <w:sz w:val="20"/>
              </w:rPr>
              <w:t>29.12.2017</w:t>
            </w:r>
            <w:r w:rsidR="00E175F2" w:rsidRPr="00955E19">
              <w:rPr>
                <w:sz w:val="20"/>
              </w:rPr>
              <w:t xml:space="preserve"> г.</w:t>
            </w:r>
          </w:p>
        </w:tc>
      </w:tr>
      <w:tr w:rsidR="00E175F2" w:rsidRPr="00955E19" w14:paraId="124A8810" w14:textId="77777777" w:rsidTr="00D51E6D">
        <w:tc>
          <w:tcPr>
            <w:tcW w:w="3141" w:type="pct"/>
            <w:vAlign w:val="center"/>
          </w:tcPr>
          <w:p w14:paraId="2E42F5FD" w14:textId="77777777" w:rsidR="00E175F2" w:rsidRPr="00955E19" w:rsidRDefault="00E175F2" w:rsidP="00152D36">
            <w:pPr>
              <w:spacing w:before="60" w:after="60"/>
              <w:rPr>
                <w:sz w:val="20"/>
              </w:rPr>
            </w:pPr>
            <w:r w:rsidRPr="00955E19">
              <w:rPr>
                <w:sz w:val="20"/>
              </w:rPr>
              <w:t>Изтичане на периода за прехвърлянето на правата</w:t>
            </w:r>
          </w:p>
        </w:tc>
        <w:tc>
          <w:tcPr>
            <w:tcW w:w="1859" w:type="pct"/>
            <w:vAlign w:val="center"/>
          </w:tcPr>
          <w:p w14:paraId="59E3C6B2" w14:textId="5E10C00B" w:rsidR="00E175F2" w:rsidRPr="00955E19" w:rsidRDefault="00371C9F" w:rsidP="00152D36">
            <w:pPr>
              <w:spacing w:before="60" w:after="60"/>
              <w:jc w:val="right"/>
              <w:rPr>
                <w:sz w:val="20"/>
              </w:rPr>
            </w:pPr>
            <w:r>
              <w:rPr>
                <w:sz w:val="20"/>
              </w:rPr>
              <w:t>03.01.2018</w:t>
            </w:r>
            <w:r w:rsidR="00E175F2" w:rsidRPr="00955E19">
              <w:rPr>
                <w:sz w:val="20"/>
              </w:rPr>
              <w:t xml:space="preserve"> г.</w:t>
            </w:r>
          </w:p>
        </w:tc>
      </w:tr>
      <w:tr w:rsidR="00E175F2" w:rsidRPr="00955E19" w14:paraId="4BC70F0B" w14:textId="77777777" w:rsidTr="00D51E6D">
        <w:tc>
          <w:tcPr>
            <w:tcW w:w="3141" w:type="pct"/>
            <w:vAlign w:val="center"/>
          </w:tcPr>
          <w:p w14:paraId="505288C8" w14:textId="77777777" w:rsidR="00E175F2" w:rsidRPr="00955E19" w:rsidRDefault="00E175F2" w:rsidP="00152D36">
            <w:pPr>
              <w:spacing w:before="60" w:after="60"/>
              <w:rPr>
                <w:sz w:val="20"/>
              </w:rPr>
            </w:pPr>
            <w:r w:rsidRPr="00955E19">
              <w:rPr>
                <w:sz w:val="20"/>
              </w:rPr>
              <w:t>Крайна дата за записване на акции</w:t>
            </w:r>
          </w:p>
        </w:tc>
        <w:tc>
          <w:tcPr>
            <w:tcW w:w="1859" w:type="pct"/>
            <w:vAlign w:val="center"/>
          </w:tcPr>
          <w:p w14:paraId="095638A0" w14:textId="13733567" w:rsidR="00E175F2" w:rsidRPr="00955E19" w:rsidRDefault="00371C9F" w:rsidP="00152D36">
            <w:pPr>
              <w:spacing w:before="60" w:after="60"/>
              <w:jc w:val="right"/>
              <w:rPr>
                <w:sz w:val="20"/>
              </w:rPr>
            </w:pPr>
            <w:r>
              <w:rPr>
                <w:sz w:val="20"/>
              </w:rPr>
              <w:t>25.01.2018</w:t>
            </w:r>
            <w:r w:rsidR="00E175F2" w:rsidRPr="00955E19">
              <w:rPr>
                <w:sz w:val="20"/>
              </w:rPr>
              <w:t xml:space="preserve"> г.</w:t>
            </w:r>
          </w:p>
        </w:tc>
      </w:tr>
      <w:tr w:rsidR="00E175F2" w:rsidRPr="00955E19" w14:paraId="42EE2128" w14:textId="77777777" w:rsidTr="00D51E6D">
        <w:tc>
          <w:tcPr>
            <w:tcW w:w="3141" w:type="pct"/>
            <w:vAlign w:val="center"/>
          </w:tcPr>
          <w:p w14:paraId="2E98E653" w14:textId="77777777" w:rsidR="00E175F2" w:rsidRPr="00955E19" w:rsidRDefault="00E175F2" w:rsidP="00152D36">
            <w:pPr>
              <w:spacing w:before="60" w:after="60"/>
              <w:jc w:val="both"/>
              <w:rPr>
                <w:sz w:val="20"/>
              </w:rPr>
            </w:pPr>
            <w:r w:rsidRPr="00955E19">
              <w:rPr>
                <w:sz w:val="20"/>
              </w:rPr>
              <w:t>Регистрация на емисията нови акции                                                           и увеличението на капитала в Търговския регистър</w:t>
            </w:r>
          </w:p>
        </w:tc>
        <w:tc>
          <w:tcPr>
            <w:tcW w:w="1859" w:type="pct"/>
            <w:vAlign w:val="center"/>
          </w:tcPr>
          <w:p w14:paraId="3AC8C303" w14:textId="019E67A2" w:rsidR="00E175F2" w:rsidRPr="00955E19" w:rsidRDefault="00371C9F" w:rsidP="00152D36">
            <w:pPr>
              <w:spacing w:before="60" w:after="60"/>
              <w:jc w:val="right"/>
              <w:rPr>
                <w:sz w:val="20"/>
              </w:rPr>
            </w:pPr>
            <w:r>
              <w:rPr>
                <w:sz w:val="20"/>
              </w:rPr>
              <w:t>02.02.2018</w:t>
            </w:r>
            <w:r w:rsidR="00E175F2" w:rsidRPr="00955E19">
              <w:rPr>
                <w:sz w:val="20"/>
              </w:rPr>
              <w:t xml:space="preserve"> г.</w:t>
            </w:r>
          </w:p>
        </w:tc>
      </w:tr>
      <w:tr w:rsidR="00E175F2" w:rsidRPr="00955E19" w14:paraId="7C0847BE" w14:textId="77777777" w:rsidTr="00D51E6D">
        <w:tc>
          <w:tcPr>
            <w:tcW w:w="3141" w:type="pct"/>
            <w:vAlign w:val="center"/>
          </w:tcPr>
          <w:p w14:paraId="447AD7EB" w14:textId="77777777" w:rsidR="00E175F2" w:rsidRPr="00955E19" w:rsidRDefault="00E175F2" w:rsidP="00152D36">
            <w:pPr>
              <w:spacing w:before="60" w:after="60"/>
              <w:rPr>
                <w:sz w:val="20"/>
              </w:rPr>
            </w:pPr>
            <w:r w:rsidRPr="00955E19">
              <w:rPr>
                <w:sz w:val="20"/>
              </w:rPr>
              <w:t xml:space="preserve">Регистриране на новите акции по сметки на инвеститорите в Централния Депозитар </w:t>
            </w:r>
          </w:p>
        </w:tc>
        <w:tc>
          <w:tcPr>
            <w:tcW w:w="1859" w:type="pct"/>
            <w:vAlign w:val="center"/>
          </w:tcPr>
          <w:p w14:paraId="37BA2ACA" w14:textId="24A1AA30" w:rsidR="00E175F2" w:rsidRPr="00955E19" w:rsidRDefault="00371C9F" w:rsidP="00152D36">
            <w:pPr>
              <w:spacing w:before="60" w:after="60"/>
              <w:jc w:val="right"/>
              <w:rPr>
                <w:sz w:val="20"/>
              </w:rPr>
            </w:pPr>
            <w:r>
              <w:rPr>
                <w:sz w:val="20"/>
              </w:rPr>
              <w:t>0</w:t>
            </w:r>
            <w:r w:rsidR="00894215" w:rsidRPr="00955E19">
              <w:rPr>
                <w:sz w:val="20"/>
              </w:rPr>
              <w:t>9.</w:t>
            </w:r>
            <w:r>
              <w:rPr>
                <w:sz w:val="20"/>
              </w:rPr>
              <w:t>0</w:t>
            </w:r>
            <w:r w:rsidR="00894215" w:rsidRPr="00955E19">
              <w:rPr>
                <w:sz w:val="20"/>
              </w:rPr>
              <w:t>2</w:t>
            </w:r>
            <w:r w:rsidR="00E175F2" w:rsidRPr="00955E19">
              <w:rPr>
                <w:sz w:val="20"/>
              </w:rPr>
              <w:t>.201</w:t>
            </w:r>
            <w:r>
              <w:rPr>
                <w:sz w:val="20"/>
              </w:rPr>
              <w:t>8</w:t>
            </w:r>
            <w:r w:rsidR="00E175F2" w:rsidRPr="00955E19">
              <w:rPr>
                <w:sz w:val="20"/>
              </w:rPr>
              <w:t xml:space="preserve"> г.</w:t>
            </w:r>
          </w:p>
        </w:tc>
      </w:tr>
      <w:tr w:rsidR="00E175F2" w:rsidRPr="00955E19" w14:paraId="3AF1E484" w14:textId="77777777" w:rsidTr="00D51E6D">
        <w:tc>
          <w:tcPr>
            <w:tcW w:w="3141" w:type="pct"/>
            <w:vAlign w:val="center"/>
          </w:tcPr>
          <w:p w14:paraId="64B54559" w14:textId="77777777" w:rsidR="00E175F2" w:rsidRPr="00955E19" w:rsidRDefault="00E175F2" w:rsidP="00152D36">
            <w:pPr>
              <w:spacing w:before="60" w:after="60"/>
              <w:rPr>
                <w:sz w:val="20"/>
              </w:rPr>
            </w:pPr>
            <w:r w:rsidRPr="00955E19">
              <w:rPr>
                <w:sz w:val="20"/>
              </w:rPr>
              <w:t>Начало на търговията с новите акции на „БФБ-София” АД</w:t>
            </w:r>
          </w:p>
        </w:tc>
        <w:tc>
          <w:tcPr>
            <w:tcW w:w="1859" w:type="pct"/>
            <w:vAlign w:val="center"/>
          </w:tcPr>
          <w:p w14:paraId="193254F4" w14:textId="690AB1F7" w:rsidR="00E175F2" w:rsidRPr="00955E19" w:rsidRDefault="00371C9F" w:rsidP="00152D36">
            <w:pPr>
              <w:spacing w:before="60" w:after="60"/>
              <w:jc w:val="right"/>
              <w:rPr>
                <w:sz w:val="20"/>
              </w:rPr>
            </w:pPr>
            <w:r>
              <w:rPr>
                <w:sz w:val="20"/>
              </w:rPr>
              <w:t>09.03.2018</w:t>
            </w:r>
            <w:r w:rsidR="00E175F2" w:rsidRPr="00955E19">
              <w:rPr>
                <w:sz w:val="20"/>
              </w:rPr>
              <w:t xml:space="preserve"> г.</w:t>
            </w:r>
          </w:p>
        </w:tc>
      </w:tr>
    </w:tbl>
    <w:p w14:paraId="6CD8678E" w14:textId="77777777" w:rsidR="00E175F2" w:rsidRPr="00955E19" w:rsidRDefault="00E175F2" w:rsidP="00152D36">
      <w:pPr>
        <w:spacing w:after="120"/>
        <w:jc w:val="both"/>
        <w:rPr>
          <w:sz w:val="18"/>
          <w:szCs w:val="18"/>
        </w:rPr>
      </w:pPr>
    </w:p>
    <w:p w14:paraId="450996FD" w14:textId="77777777" w:rsidR="00E175F2" w:rsidRPr="00955E19" w:rsidRDefault="00E175F2" w:rsidP="00152D36">
      <w:pPr>
        <w:spacing w:after="120"/>
        <w:jc w:val="both"/>
        <w:rPr>
          <w:i/>
          <w:sz w:val="20"/>
        </w:rPr>
      </w:pPr>
      <w:r w:rsidRPr="00955E19">
        <w:rPr>
          <w:i/>
          <w:sz w:val="20"/>
        </w:rPr>
        <w:t xml:space="preserve">Определянето на тези дати се основава на допускането, че: (1) сроковете по графика се спазват без забава; и </w:t>
      </w:r>
    </w:p>
    <w:p w14:paraId="1BF25109" w14:textId="77777777" w:rsidR="00E175F2" w:rsidRPr="00955E19" w:rsidRDefault="00E175F2" w:rsidP="00152D36">
      <w:pPr>
        <w:spacing w:after="120"/>
        <w:jc w:val="both"/>
        <w:rPr>
          <w:i/>
          <w:sz w:val="20"/>
        </w:rPr>
      </w:pPr>
      <w:r w:rsidRPr="00955E19">
        <w:rPr>
          <w:i/>
          <w:sz w:val="20"/>
        </w:rPr>
        <w:t xml:space="preserve">(2) процедурите при съответните институции ще протекат в най-кратки срокове съобразно практиката им. Точната дата може да бъде преди или след посочената дата. </w:t>
      </w:r>
    </w:p>
    <w:p w14:paraId="3A1B9A0A" w14:textId="77777777" w:rsidR="00E175F2" w:rsidRPr="00955E19" w:rsidRDefault="00E175F2" w:rsidP="00152D36">
      <w:pPr>
        <w:spacing w:after="120"/>
        <w:rPr>
          <w:smallCaps/>
          <w:spacing w:val="20"/>
          <w:sz w:val="20"/>
        </w:rPr>
      </w:pPr>
    </w:p>
    <w:p w14:paraId="4FF14E52" w14:textId="77777777" w:rsidR="00E175F2" w:rsidRPr="00955E19" w:rsidRDefault="00E175F2" w:rsidP="00152D36">
      <w:pPr>
        <w:spacing w:after="120"/>
        <w:rPr>
          <w:smallCaps/>
          <w:spacing w:val="20"/>
          <w:sz w:val="20"/>
        </w:rPr>
      </w:pPr>
      <w:r w:rsidRPr="00955E19">
        <w:rPr>
          <w:smallCaps/>
          <w:spacing w:val="20"/>
          <w:sz w:val="20"/>
        </w:rPr>
        <w:t>Възможност за удължаване на сроковете за предлагане на правата и акциите</w:t>
      </w:r>
    </w:p>
    <w:p w14:paraId="77566DB6" w14:textId="77777777" w:rsidR="00E175F2" w:rsidRPr="00955E19" w:rsidRDefault="00E175F2" w:rsidP="00152D36">
      <w:pPr>
        <w:spacing w:after="200"/>
        <w:jc w:val="both"/>
        <w:rPr>
          <w:sz w:val="20"/>
        </w:rPr>
      </w:pPr>
      <w:r w:rsidRPr="00955E19">
        <w:rPr>
          <w:sz w:val="20"/>
        </w:rPr>
        <w:t xml:space="preserve">Разпоредбата на чл. 84, ал. 1 и 2 от ЗППЦК предвижда принципната възможност срокът на подписката да бъде удължен еднократно до 60 дни, като се внесат съответните поправки в проспекта и се уведоми КФН, както и като се обяви удължаването на срока по местата на подписката и в средствата за масово осведомяване. В този случай последният ден от удължения срок се смята за краен срок на подписката. </w:t>
      </w:r>
    </w:p>
    <w:p w14:paraId="49BBDBB9" w14:textId="77777777" w:rsidR="00E175F2" w:rsidRPr="00955E19" w:rsidRDefault="00E175F2" w:rsidP="00152D36">
      <w:pPr>
        <w:spacing w:after="120"/>
        <w:rPr>
          <w:smallCaps/>
          <w:spacing w:val="20"/>
          <w:sz w:val="20"/>
        </w:rPr>
      </w:pPr>
      <w:r w:rsidRPr="00955E19">
        <w:rPr>
          <w:smallCaps/>
          <w:spacing w:val="20"/>
          <w:sz w:val="20"/>
        </w:rPr>
        <w:lastRenderedPageBreak/>
        <w:t>Възможност за предсрочно приключване на подписката</w:t>
      </w:r>
    </w:p>
    <w:p w14:paraId="46E924BE" w14:textId="77777777" w:rsidR="00E175F2" w:rsidRPr="00955E19" w:rsidRDefault="00E175F2" w:rsidP="00152D36">
      <w:pPr>
        <w:spacing w:after="200"/>
        <w:jc w:val="both"/>
        <w:rPr>
          <w:sz w:val="20"/>
        </w:rPr>
      </w:pPr>
      <w:r w:rsidRPr="00955E19">
        <w:rPr>
          <w:sz w:val="20"/>
        </w:rPr>
        <w:t>Ако всички акции от тази емисия бъдат записани преди крайния срок на подписката, Дружеството уведомява КФН в срок 3 (три) работни дни (чл. 112б, ал. 12 от ЗППЦК) и предприема необходимите действия за вписване на увеличението на капитала в Търговския регистър, а след това – за регистрация на новата емисия акции в Централния депозитар и БФБ.</w:t>
      </w:r>
    </w:p>
    <w:p w14:paraId="7933735F" w14:textId="77777777" w:rsidR="00E175F2" w:rsidRPr="00955E19" w:rsidRDefault="00E175F2" w:rsidP="00152D36">
      <w:pPr>
        <w:spacing w:after="200"/>
        <w:jc w:val="both"/>
        <w:rPr>
          <w:sz w:val="20"/>
        </w:rPr>
      </w:pPr>
      <w:r w:rsidRPr="00955E19">
        <w:rPr>
          <w:sz w:val="20"/>
        </w:rPr>
        <w:t xml:space="preserve">Ако до крайния срок на подписката не бъдат записани всички акции, но бъде записана и платена най-малко 1 нова акция, капиталът се увеличава до размера на тази акция и новата емисия в този размер се регистрира в „Централен депозитар” АД, КФН и на „БФБ – София” АД. </w:t>
      </w:r>
    </w:p>
    <w:p w14:paraId="45DE085C" w14:textId="77777777" w:rsidR="00E175F2" w:rsidRPr="00955E19" w:rsidRDefault="00E175F2" w:rsidP="00152D36">
      <w:pPr>
        <w:rPr>
          <w:smallCaps/>
          <w:spacing w:val="20"/>
          <w:sz w:val="20"/>
        </w:rPr>
      </w:pPr>
    </w:p>
    <w:p w14:paraId="71F38D35" w14:textId="77777777" w:rsidR="00E175F2" w:rsidRPr="00955E19" w:rsidRDefault="00E175F2" w:rsidP="00152D36">
      <w:pPr>
        <w:spacing w:after="200"/>
        <w:jc w:val="both"/>
        <w:rPr>
          <w:smallCaps/>
          <w:spacing w:val="20"/>
          <w:sz w:val="20"/>
        </w:rPr>
      </w:pPr>
      <w:r w:rsidRPr="00955E19">
        <w:rPr>
          <w:smallCaps/>
          <w:spacing w:val="20"/>
          <w:sz w:val="20"/>
        </w:rPr>
        <w:t>Условия и ред за записване на акциите, включително условия за попълване на формуляри и представяне на документи от инвеститорите</w:t>
      </w:r>
    </w:p>
    <w:p w14:paraId="277D17A7" w14:textId="77777777" w:rsidR="00E175F2" w:rsidRPr="00955E19" w:rsidRDefault="00E175F2" w:rsidP="00152D36">
      <w:pPr>
        <w:numPr>
          <w:ilvl w:val="0"/>
          <w:numId w:val="26"/>
        </w:numPr>
        <w:spacing w:after="200"/>
        <w:jc w:val="both"/>
        <w:rPr>
          <w:b/>
          <w:sz w:val="20"/>
        </w:rPr>
      </w:pPr>
      <w:r w:rsidRPr="00955E19">
        <w:rPr>
          <w:b/>
          <w:sz w:val="20"/>
        </w:rPr>
        <w:t xml:space="preserve">Физически лица: </w:t>
      </w:r>
    </w:p>
    <w:p w14:paraId="05011CA4" w14:textId="77777777" w:rsidR="00E175F2" w:rsidRPr="00955E19" w:rsidRDefault="00E175F2" w:rsidP="00152D36">
      <w:pPr>
        <w:numPr>
          <w:ilvl w:val="0"/>
          <w:numId w:val="24"/>
        </w:numPr>
        <w:spacing w:after="200"/>
        <w:jc w:val="both"/>
        <w:rPr>
          <w:sz w:val="20"/>
        </w:rPr>
      </w:pPr>
      <w:r w:rsidRPr="00955E19">
        <w:rPr>
          <w:sz w:val="20"/>
        </w:rPr>
        <w:t>имената и уникалният клиентски номер на лицето и на неговия пълномощник, а ако такива номера не са присвоени – съответно идентификационни данни по чл. 66 от Наредба № 38 Емитент, ISIN код на емисия и брой на акциите, за които се отнася заявката;</w:t>
      </w:r>
    </w:p>
    <w:p w14:paraId="16B4712F" w14:textId="77777777" w:rsidR="00E175F2" w:rsidRPr="00955E19" w:rsidRDefault="00E175F2" w:rsidP="00152D36">
      <w:pPr>
        <w:numPr>
          <w:ilvl w:val="0"/>
          <w:numId w:val="24"/>
        </w:numPr>
        <w:spacing w:after="200"/>
        <w:jc w:val="both"/>
        <w:rPr>
          <w:sz w:val="20"/>
        </w:rPr>
      </w:pPr>
      <w:r w:rsidRPr="00955E19">
        <w:rPr>
          <w:sz w:val="20"/>
        </w:rPr>
        <w:t>дата, час и място на подаване на заявката;</w:t>
      </w:r>
    </w:p>
    <w:p w14:paraId="2366D4FE" w14:textId="77777777" w:rsidR="00E175F2" w:rsidRPr="00955E19" w:rsidRDefault="00E175F2" w:rsidP="00152D36">
      <w:pPr>
        <w:numPr>
          <w:ilvl w:val="0"/>
          <w:numId w:val="24"/>
        </w:numPr>
        <w:spacing w:after="200"/>
        <w:jc w:val="both"/>
        <w:rPr>
          <w:sz w:val="20"/>
        </w:rPr>
      </w:pPr>
      <w:r w:rsidRPr="00955E19">
        <w:rPr>
          <w:sz w:val="20"/>
        </w:rPr>
        <w:t>обща стойност на поръчката;</w:t>
      </w:r>
    </w:p>
    <w:p w14:paraId="3B05E19A" w14:textId="77777777" w:rsidR="00E175F2" w:rsidRPr="00955E19" w:rsidRDefault="00E175F2" w:rsidP="00152D36">
      <w:pPr>
        <w:numPr>
          <w:ilvl w:val="0"/>
          <w:numId w:val="24"/>
        </w:numPr>
        <w:spacing w:after="200"/>
        <w:jc w:val="both"/>
        <w:rPr>
          <w:sz w:val="20"/>
        </w:rPr>
      </w:pPr>
      <w:r w:rsidRPr="00955E19">
        <w:rPr>
          <w:sz w:val="20"/>
        </w:rPr>
        <w:t>други приложими реквизити съгласно чл. 34, ал. 1 от Наредба № 38;</w:t>
      </w:r>
    </w:p>
    <w:p w14:paraId="6BAC95CD" w14:textId="77777777" w:rsidR="00E175F2" w:rsidRPr="00955E19" w:rsidRDefault="00E175F2" w:rsidP="00152D36">
      <w:pPr>
        <w:numPr>
          <w:ilvl w:val="0"/>
          <w:numId w:val="24"/>
        </w:numPr>
        <w:spacing w:after="200"/>
        <w:jc w:val="both"/>
        <w:rPr>
          <w:sz w:val="20"/>
        </w:rPr>
      </w:pPr>
      <w:r w:rsidRPr="00955E19">
        <w:rPr>
          <w:sz w:val="20"/>
        </w:rPr>
        <w:t>подпис на лицето, което подава заявката.</w:t>
      </w:r>
    </w:p>
    <w:p w14:paraId="56FBD6E7" w14:textId="77777777" w:rsidR="00E175F2" w:rsidRPr="00955E19" w:rsidRDefault="00E175F2" w:rsidP="00152D36">
      <w:pPr>
        <w:numPr>
          <w:ilvl w:val="0"/>
          <w:numId w:val="26"/>
        </w:numPr>
        <w:spacing w:after="200"/>
        <w:jc w:val="both"/>
        <w:rPr>
          <w:b/>
          <w:sz w:val="20"/>
        </w:rPr>
      </w:pPr>
      <w:r w:rsidRPr="00955E19">
        <w:rPr>
          <w:b/>
          <w:sz w:val="20"/>
        </w:rPr>
        <w:t xml:space="preserve">Юридически лица: </w:t>
      </w:r>
    </w:p>
    <w:p w14:paraId="16703875" w14:textId="77777777" w:rsidR="00E175F2" w:rsidRPr="00955E19" w:rsidRDefault="00E175F2" w:rsidP="00152D36">
      <w:pPr>
        <w:numPr>
          <w:ilvl w:val="0"/>
          <w:numId w:val="24"/>
        </w:numPr>
        <w:spacing w:after="200"/>
        <w:jc w:val="both"/>
        <w:rPr>
          <w:sz w:val="20"/>
        </w:rPr>
      </w:pPr>
      <w:r w:rsidRPr="00955E19">
        <w:rPr>
          <w:sz w:val="20"/>
        </w:rPr>
        <w:t>фирма и уникалният клиентски номер на лицето и на неговия пълномощник, а ако такива номера не са присвоени – съответно идентификационни данни по чл. 66 от Наредба № 38;</w:t>
      </w:r>
    </w:p>
    <w:p w14:paraId="6A32A07E" w14:textId="77777777" w:rsidR="00E175F2" w:rsidRPr="00955E19" w:rsidRDefault="00E175F2" w:rsidP="00152D36">
      <w:pPr>
        <w:numPr>
          <w:ilvl w:val="0"/>
          <w:numId w:val="24"/>
        </w:numPr>
        <w:spacing w:after="200"/>
        <w:jc w:val="both"/>
        <w:rPr>
          <w:sz w:val="20"/>
        </w:rPr>
      </w:pPr>
      <w:r w:rsidRPr="00955E19">
        <w:rPr>
          <w:sz w:val="20"/>
        </w:rPr>
        <w:t>данните по точка I по-горе.</w:t>
      </w:r>
    </w:p>
    <w:p w14:paraId="3343E042" w14:textId="77777777" w:rsidR="00E175F2" w:rsidRPr="00955E19" w:rsidRDefault="00E175F2" w:rsidP="00152D36">
      <w:pPr>
        <w:spacing w:after="200"/>
        <w:jc w:val="both"/>
        <w:rPr>
          <w:sz w:val="20"/>
        </w:rPr>
      </w:pPr>
    </w:p>
    <w:p w14:paraId="4DFF1FB0" w14:textId="77777777" w:rsidR="00E175F2" w:rsidRPr="00955E19" w:rsidRDefault="00E175F2" w:rsidP="00152D36">
      <w:pPr>
        <w:numPr>
          <w:ilvl w:val="0"/>
          <w:numId w:val="26"/>
        </w:numPr>
        <w:spacing w:after="200"/>
        <w:jc w:val="both"/>
        <w:rPr>
          <w:sz w:val="20"/>
        </w:rPr>
      </w:pPr>
      <w:r w:rsidRPr="00955E19">
        <w:rPr>
          <w:b/>
          <w:sz w:val="20"/>
        </w:rPr>
        <w:t xml:space="preserve">Чуждестранно физическо/юридическо лице – </w:t>
      </w:r>
      <w:r w:rsidRPr="00955E19">
        <w:rPr>
          <w:sz w:val="20"/>
        </w:rPr>
        <w:t>аналогични идентификационни данни по точка I или точка II по-горе</w:t>
      </w:r>
    </w:p>
    <w:p w14:paraId="4F6F895D" w14:textId="77777777" w:rsidR="00E175F2" w:rsidRPr="00955E19" w:rsidRDefault="00E175F2" w:rsidP="00152D36">
      <w:pPr>
        <w:spacing w:after="200"/>
        <w:jc w:val="both"/>
        <w:rPr>
          <w:sz w:val="20"/>
        </w:rPr>
      </w:pPr>
      <w:r w:rsidRPr="00955E19">
        <w:rPr>
          <w:sz w:val="20"/>
        </w:rPr>
        <w:t xml:space="preserve">Към писмената заявка се прилагат: (а) заверено копие на удостоверение за актуална регистрация на заявителите – юридически лица, издадено в тримесечен срок преди датата на подаване на писмената заявка, освен ако юридическото лице е регистрирано/пререгистрирано в Търговския регистър към Агенцията по вписванията. Ако юридическото лице е регистрирано/пререгистрирано в Търговския регистър към Агенцията по вписванията, се представя само неговият ЕИК; (б) преведени и заверени документи за регистрация на чуждестранни юридически лица – копие от регистрационния акт (или друг идентичен удостоверителен документ) на съответния чужд език, превод на текста на регистрационния акт, съдържащ пълното наименование на юридическото лице; дата на издаване и държава на регистрация; адрес на юридическото лице; имената на лицата, овластени да го представляват, както и копие от документа за самоличност на лицето, което подава заявката (законен представител или пълномощник), заверено от него; (в) оригинал на нотариално заверено изрично пълномощно декларация по чл. 25, ал. 1 от Наредба № 38 за едногодишен срок преди подаване на поръчката, в случай на подаване на нареждането чрез пълномощник. Юридическите лица подават заявки чрез законните си представители, които се легитимират с документ за самоличност, копие от който се прилага към заявката. В допълнение се прилага и копие от регистрацията по БУЛСТАТ, ако има такава, заверена от законния представител. Физическите лица подават заявките лично, като се легитимират с документ за самоличност, заверено копие от който се прилага към заявката. Чуждестранни физически лица прилагат превод на страниците от документа им за самоличност (паспорта), съдържащи информация за пълното име; номер на документа; дата на издаване (ако има такава); националност; адрес (ако има такъв в документа) и обикновено копие на преведените страници на документа за самоличност, съдържащи друга информация, включително снимка на лицето. Заявката може да се подаде и чрез пълномощник, </w:t>
      </w:r>
      <w:r w:rsidRPr="00955E19">
        <w:rPr>
          <w:sz w:val="20"/>
        </w:rPr>
        <w:lastRenderedPageBreak/>
        <w:t xml:space="preserve">който се легитимира с нотариално заверено изрично пълномощно и документите, изброени по-горе в съответствие с упълномощителя (юридическо или физическо лице). </w:t>
      </w:r>
    </w:p>
    <w:p w14:paraId="04F59A3E" w14:textId="77777777" w:rsidR="00E175F2" w:rsidRPr="00955E19" w:rsidRDefault="00E175F2" w:rsidP="00152D36">
      <w:pPr>
        <w:spacing w:after="200"/>
        <w:jc w:val="both"/>
        <w:rPr>
          <w:sz w:val="20"/>
        </w:rPr>
      </w:pPr>
      <w:r w:rsidRPr="00955E19">
        <w:rPr>
          <w:sz w:val="20"/>
        </w:rPr>
        <w:t>Заявките се подават чрез лицензираните инвестиционни посредници всеки работен ден от срока на подписката от 9:00 до 17:00 часа, или в съответното работно време всеки инвестиционен посредник, ако е различно от посоченото, но не по късно от 17:00 часа на последния ден от срока на подписката. При подаване на нареждане до инвестиционен посредник, при който се водят клиентските сметки на лицето, се прилагат съответните разпоредби на Наредба № 38 на КФН. Инвестиционните посредници водят дневници при спазване на изискванията на Наредба № 38  на КФН.</w:t>
      </w:r>
    </w:p>
    <w:p w14:paraId="5D2AEDC0" w14:textId="77777777" w:rsidR="00E175F2" w:rsidRPr="00955E19" w:rsidRDefault="00E175F2" w:rsidP="00152D36">
      <w:pPr>
        <w:spacing w:after="240"/>
        <w:jc w:val="both"/>
        <w:rPr>
          <w:sz w:val="20"/>
        </w:rPr>
      </w:pPr>
      <w:r w:rsidRPr="00955E19">
        <w:rPr>
          <w:sz w:val="20"/>
        </w:rPr>
        <w:t>Записването на акции се счита за действително, само ако е направено от притежател на права до максималния възможен брой акции, и е внесена цялата емисионна стойност на записваните акции в срока и при условията, посочени по-долу. При частично заплащане на емисионната стойност се счита записан съответният брой акции, за които същата е изплатена изцяло.</w:t>
      </w:r>
    </w:p>
    <w:p w14:paraId="52EFC58D" w14:textId="77777777" w:rsidR="00E175F2" w:rsidRPr="00955E19" w:rsidRDefault="00E175F2" w:rsidP="00F83AF3">
      <w:pPr>
        <w:pStyle w:val="Heading2"/>
        <w:jc w:val="both"/>
        <w:rPr>
          <w:b w:val="0"/>
          <w:spacing w:val="20"/>
        </w:rPr>
      </w:pPr>
      <w:bookmarkStart w:id="77" w:name="_Toc492995931"/>
      <w:r w:rsidRPr="00955E19">
        <w:rPr>
          <w:b w:val="0"/>
          <w:spacing w:val="20"/>
        </w:rPr>
        <w:t>5.1.4. Индикация за това, кога и при какви обстоятелства, предлагането може да бъде отменено или временно преустановено и дали отмяната може да бъде направена след като са започнали сделките.</w:t>
      </w:r>
      <w:bookmarkEnd w:id="77"/>
    </w:p>
    <w:p w14:paraId="537A9427" w14:textId="77777777" w:rsidR="00E175F2" w:rsidRPr="00955E19" w:rsidRDefault="00E175F2" w:rsidP="00152D36">
      <w:pPr>
        <w:spacing w:after="200"/>
        <w:jc w:val="both"/>
        <w:rPr>
          <w:sz w:val="20"/>
        </w:rPr>
      </w:pPr>
      <w:r w:rsidRPr="00955E19">
        <w:rPr>
          <w:sz w:val="20"/>
        </w:rPr>
        <w:t>Комисията за финансов надзор, съответно заместник-председателят, може да спре публичното предлагане за не повече от 10 последователни работни дни за всеки отделен случай, както и да забрани публичното предлагане, ако има достатъчно основания да смята, че разпоредбите на ЗППЦК или актовете по прилагането му са нарушени.</w:t>
      </w:r>
    </w:p>
    <w:p w14:paraId="20928585" w14:textId="77777777" w:rsidR="00E175F2" w:rsidRPr="00955E19" w:rsidRDefault="00E175F2" w:rsidP="00152D36">
      <w:pPr>
        <w:spacing w:after="200"/>
        <w:jc w:val="both"/>
        <w:rPr>
          <w:sz w:val="20"/>
        </w:rPr>
      </w:pPr>
      <w:r w:rsidRPr="00955E19">
        <w:rPr>
          <w:sz w:val="20"/>
        </w:rPr>
        <w:t>На основание чл. 118, ал. 1, т. 4 и т. 9 от ЗПФИ, когато установи, че инвестиционен посредник или регулиран пазар, негови служители, лица, които по договор изпълняват ръководни функции, лица, които сключват сделки за сметка на посредника, както и лица, притежаващи квалифицирано участие, са извършили или извършват дейност в нарушение на ЗПФИ, на актовете по прилагането му, на правилника или други одобрени от заместник-председателя на КФН вътрешни актове на регулираните пазари на финансови инструменти, на решения на Комисията за финансов надзор или на заместник-председателя на Комисията за финансов надзор, както и когато се възпрепятства упражняването на контролна дейност от Комисията за финансов надзор или от заместник-председателя на Комисията за финансов надзор или са застрашени интересите на инвеститорите, Комисията за финансов надзор, съответно заместник-председателят на Комисията за финансов надзор, може да спре търговията с определени финансови инструменти или да отстрани от търговия на регулиран пазар или от друга система за търговия финансови инструменти.</w:t>
      </w:r>
    </w:p>
    <w:p w14:paraId="301901A1" w14:textId="77777777" w:rsidR="00E175F2" w:rsidRPr="00955E19" w:rsidRDefault="00E175F2" w:rsidP="00152D36">
      <w:pPr>
        <w:spacing w:after="200"/>
        <w:jc w:val="both"/>
        <w:rPr>
          <w:sz w:val="20"/>
        </w:rPr>
      </w:pPr>
      <w:r w:rsidRPr="00955E19">
        <w:rPr>
          <w:sz w:val="20"/>
        </w:rPr>
        <w:t>В периода между издаване на потвърждение на проспекта и крайния срок на публичното предлагане или започването на търговията на регулиран пазар, Дружеството е длъжно, най-късно до изтичането на следващия работен ден след настъпването, съответно узнаването на съществено ново обстоятелство, значителна грешка или неточност, свързани със съдържащата се в проспекта информация, които могат да повлияят на оценката на предлаганите ценни книжа, да изготви допълнение в проспекта и да го представи в КФН.</w:t>
      </w:r>
    </w:p>
    <w:p w14:paraId="4A604DD0" w14:textId="77777777" w:rsidR="00E175F2" w:rsidRPr="00955E19" w:rsidRDefault="00E175F2" w:rsidP="00152D36">
      <w:pPr>
        <w:spacing w:after="200"/>
        <w:jc w:val="both"/>
        <w:rPr>
          <w:sz w:val="20"/>
        </w:rPr>
      </w:pPr>
      <w:r w:rsidRPr="00955E19">
        <w:rPr>
          <w:sz w:val="20"/>
        </w:rPr>
        <w:t>Комисията за финансов надзор може да откаже да одобри допълнението към проспекта, ако не са спазени изискванията на ЗППЦК и актовете по прилагането му. В този случай КФН може да спре окончателно публичното предлагане по реда на чл. 212 от ЗППЦК.</w:t>
      </w:r>
    </w:p>
    <w:p w14:paraId="6B95F39C" w14:textId="671E1424" w:rsidR="00E175F2" w:rsidRPr="00955E19" w:rsidRDefault="00E175F2" w:rsidP="00152D36">
      <w:pPr>
        <w:spacing w:after="200"/>
        <w:jc w:val="both"/>
        <w:rPr>
          <w:sz w:val="20"/>
        </w:rPr>
      </w:pPr>
      <w:r w:rsidRPr="00955E19">
        <w:rPr>
          <w:sz w:val="20"/>
        </w:rPr>
        <w:t xml:space="preserve">Публичното предлагане може да бъде отменено или спряно, вкл. и след започване на търговията, от Комисията за финансов надзор, съответно от заместник-председателя, ръководещ управление „Надзор на инвестиционната дейност” по реда на чл. </w:t>
      </w:r>
      <w:r w:rsidR="00F35FB1">
        <w:rPr>
          <w:sz w:val="20"/>
        </w:rPr>
        <w:t>20</w:t>
      </w:r>
      <w:r w:rsidRPr="00955E19">
        <w:rPr>
          <w:sz w:val="20"/>
        </w:rPr>
        <w:t xml:space="preserve">, ал. </w:t>
      </w:r>
      <w:r w:rsidR="00F35FB1">
        <w:rPr>
          <w:sz w:val="20"/>
        </w:rPr>
        <w:t>2</w:t>
      </w:r>
      <w:r w:rsidRPr="00955E19">
        <w:rPr>
          <w:sz w:val="20"/>
        </w:rPr>
        <w:t xml:space="preserve">, т. 2 от Закона </w:t>
      </w:r>
      <w:r w:rsidR="00F35FB1" w:rsidRPr="00F35FB1">
        <w:rPr>
          <w:sz w:val="20"/>
        </w:rPr>
        <w:t>за прилагане на мерките срещу пазарните злоупотреби с финансови инструменти</w:t>
      </w:r>
      <w:r w:rsidRPr="00955E19">
        <w:rPr>
          <w:sz w:val="20"/>
        </w:rPr>
        <w:t>. Публичното предлагане може да бъде отменено или спряно след започване на търговията от „Българска фондова борса – София” АД по реда на чл. 91 от Закона за пазарите на финансови инструменти (ЗПФИ).</w:t>
      </w:r>
    </w:p>
    <w:p w14:paraId="72AF99B6" w14:textId="77777777" w:rsidR="00E175F2" w:rsidRPr="00955E19" w:rsidRDefault="00E175F2" w:rsidP="00C80A8A">
      <w:pPr>
        <w:pStyle w:val="Heading2"/>
        <w:rPr>
          <w:b w:val="0"/>
          <w:spacing w:val="20"/>
        </w:rPr>
      </w:pPr>
      <w:bookmarkStart w:id="78" w:name="_Toc492995932"/>
      <w:r w:rsidRPr="00955E19">
        <w:rPr>
          <w:b w:val="0"/>
          <w:spacing w:val="20"/>
        </w:rPr>
        <w:t>5.1.5. Възможност за намаляване/увеличаване на подписката и начин за възстановяване на надплатените от кандидатите суми</w:t>
      </w:r>
      <w:bookmarkEnd w:id="78"/>
    </w:p>
    <w:p w14:paraId="55A8C6A3" w14:textId="77777777" w:rsidR="00E175F2" w:rsidRPr="00955E19" w:rsidRDefault="00E175F2" w:rsidP="00152D36">
      <w:pPr>
        <w:spacing w:after="200"/>
        <w:jc w:val="both"/>
        <w:rPr>
          <w:sz w:val="20"/>
        </w:rPr>
      </w:pPr>
      <w:bookmarkStart w:id="79" w:name="OLE_LINK60"/>
      <w:r w:rsidRPr="00955E19">
        <w:rPr>
          <w:sz w:val="20"/>
        </w:rPr>
        <w:t xml:space="preserve">Броят на предлаганите акции няма да бъде променян. Не се допуска записването на повече акции от предвидените в решението на Съвета на директорите на “ГЛЕНМООР КЕПИТАЛ” АДСИЦ за увеличение на капитала. Капиталът на Дружеството ще бъде увеличен, само ако е записана и платена поне 1 нова акция. </w:t>
      </w:r>
    </w:p>
    <w:p w14:paraId="46D94E3B" w14:textId="5B57BD86" w:rsidR="00E175F2" w:rsidRPr="00955E19" w:rsidRDefault="00E175F2" w:rsidP="00152D36">
      <w:pPr>
        <w:spacing w:after="120"/>
        <w:jc w:val="both"/>
        <w:rPr>
          <w:smallCaps/>
          <w:spacing w:val="20"/>
          <w:sz w:val="20"/>
        </w:rPr>
      </w:pPr>
      <w:r w:rsidRPr="00955E19">
        <w:rPr>
          <w:sz w:val="20"/>
        </w:rPr>
        <w:lastRenderedPageBreak/>
        <w:t xml:space="preserve">Ако подписката приключи неуспешно, Емитентът уведомява КФН по реда на чл. 84, ал. 3 ЗППЦК. Емитентът е длъжен в деня на съобщението по чл. 84, ал. 3 да уведоми банката за резултата от подписката, да публикува на Интернет страниците на Емитента и на инвестиционния посредник, участващ в предлагането, покана до лицата, записали акции, в която да обяви условията и реда за връщане на набраните суми, както и да заяви поканата за оповестяване в търговския регистър и да я публикува в </w:t>
      </w:r>
      <w:r w:rsidR="0077009E" w:rsidRPr="00955E19">
        <w:rPr>
          <w:sz w:val="20"/>
        </w:rPr>
        <w:t xml:space="preserve">един </w:t>
      </w:r>
      <w:r w:rsidRPr="00955E19">
        <w:rPr>
          <w:sz w:val="20"/>
        </w:rPr>
        <w:t>централ</w:t>
      </w:r>
      <w:r w:rsidR="0077009E" w:rsidRPr="00955E19">
        <w:rPr>
          <w:sz w:val="20"/>
        </w:rPr>
        <w:t>е</w:t>
      </w:r>
      <w:r w:rsidRPr="00955E19">
        <w:rPr>
          <w:sz w:val="20"/>
        </w:rPr>
        <w:t>н ежедневник (в-к „Капитал Daily”). Внесените суми, заедно с начислените от банката лихви, ще бъдат възстановени на инвеститорите в срок от 30 дни от уведомлението по чл. 84, ал. 3 ЗППЦК чрез превод по посочена от тях банкова сметка или в брой на адреса на банката. В случай че увеличението на капитала не бъде вписано в Търговския регистър, Дружеството уведомява незабавно КФН, БФБ и Централния депозитар и публикува в посочените ежедневници съобщение в 3-дневен срок от влизане в сила на отказа и възстановява получените суми в 30-дневен срок от уведомлението по същия ред.</w:t>
      </w:r>
      <w:bookmarkEnd w:id="79"/>
    </w:p>
    <w:p w14:paraId="199B004F" w14:textId="77777777" w:rsidR="00E175F2" w:rsidRPr="00955E19" w:rsidRDefault="00E175F2" w:rsidP="00C80A8A">
      <w:pPr>
        <w:pStyle w:val="Heading2"/>
        <w:rPr>
          <w:b w:val="0"/>
          <w:spacing w:val="20"/>
        </w:rPr>
      </w:pPr>
      <w:bookmarkStart w:id="80" w:name="_Toc492995933"/>
      <w:r w:rsidRPr="00955E19">
        <w:rPr>
          <w:b w:val="0"/>
          <w:spacing w:val="20"/>
        </w:rPr>
        <w:t>5.1.6. Минимален и максимален брой акции, които могат да бъдат записани от едно лице</w:t>
      </w:r>
      <w:bookmarkEnd w:id="80"/>
    </w:p>
    <w:p w14:paraId="6A678620" w14:textId="77777777" w:rsidR="00E175F2" w:rsidRPr="00955E19" w:rsidRDefault="00E175F2" w:rsidP="00C80A8A">
      <w:pPr>
        <w:spacing w:before="120" w:after="200"/>
        <w:jc w:val="both"/>
        <w:rPr>
          <w:sz w:val="20"/>
        </w:rPr>
      </w:pPr>
      <w:bookmarkStart w:id="81" w:name="OLE_LINK61"/>
      <w:r w:rsidRPr="00955E19">
        <w:rPr>
          <w:sz w:val="20"/>
        </w:rPr>
        <w:t xml:space="preserve">Всяко лице може да запише най-малко една нова акция и най-много такъв брой, който е равен на придобитите от него права, </w:t>
      </w:r>
      <w:r w:rsidRPr="00955E19">
        <w:rPr>
          <w:b/>
          <w:i/>
          <w:sz w:val="20"/>
        </w:rPr>
        <w:t>като всяко право</w:t>
      </w:r>
      <w:r w:rsidRPr="00955E19">
        <w:rPr>
          <w:sz w:val="20"/>
        </w:rPr>
        <w:t xml:space="preserve"> </w:t>
      </w:r>
      <w:r w:rsidRPr="00955E19">
        <w:rPr>
          <w:b/>
          <w:i/>
          <w:sz w:val="20"/>
        </w:rPr>
        <w:t>дава възможност за записване на една нова акция</w:t>
      </w:r>
      <w:r w:rsidRPr="00955E19">
        <w:rPr>
          <w:sz w:val="20"/>
        </w:rPr>
        <w:t>.</w:t>
      </w:r>
    </w:p>
    <w:p w14:paraId="20917901" w14:textId="77777777" w:rsidR="00E175F2" w:rsidRPr="00955E19" w:rsidRDefault="00E175F2" w:rsidP="00152D36">
      <w:pPr>
        <w:spacing w:after="200"/>
        <w:jc w:val="both"/>
        <w:rPr>
          <w:sz w:val="20"/>
        </w:rPr>
      </w:pPr>
      <w:r w:rsidRPr="00955E19">
        <w:rPr>
          <w:sz w:val="20"/>
        </w:rPr>
        <w:t>Увеличаването на капитала на Дружеството с права по чл. 112, ал. 2 от ЗППЦК изключва възможността за записване на повече от предложените акции и за конкуренция между заявките.</w:t>
      </w:r>
    </w:p>
    <w:p w14:paraId="07DBED1D" w14:textId="77777777" w:rsidR="00E175F2" w:rsidRPr="00955E19" w:rsidRDefault="00E175F2" w:rsidP="00C80A8A">
      <w:pPr>
        <w:pStyle w:val="Heading2"/>
        <w:rPr>
          <w:b w:val="0"/>
          <w:spacing w:val="20"/>
        </w:rPr>
      </w:pPr>
      <w:bookmarkStart w:id="82" w:name="_Toc492995934"/>
      <w:bookmarkEnd w:id="81"/>
      <w:r w:rsidRPr="00955E19">
        <w:rPr>
          <w:b w:val="0"/>
          <w:spacing w:val="20"/>
        </w:rPr>
        <w:t>5.1.7 условия, ред и срок за оттегляне на заявлението (поръчката) за записване на акциите</w:t>
      </w:r>
      <w:bookmarkEnd w:id="82"/>
    </w:p>
    <w:p w14:paraId="1B242B88" w14:textId="77777777" w:rsidR="00E175F2" w:rsidRPr="00955E19" w:rsidRDefault="00E175F2" w:rsidP="00C80A8A">
      <w:pPr>
        <w:spacing w:before="120" w:after="200"/>
        <w:jc w:val="both"/>
        <w:rPr>
          <w:sz w:val="20"/>
        </w:rPr>
      </w:pPr>
      <w:r w:rsidRPr="00955E19">
        <w:rPr>
          <w:sz w:val="20"/>
        </w:rPr>
        <w:t xml:space="preserve">Инвеститорът не може да оттегли заявката си. Той може да се откаже от записаните акции по реда и при условията на чл. 85, ал. 6 във връзка с ал. 2 от ЗППЦК. </w:t>
      </w:r>
    </w:p>
    <w:p w14:paraId="55A6CA82" w14:textId="77777777" w:rsidR="00E175F2" w:rsidRPr="00955E19" w:rsidRDefault="00E175F2" w:rsidP="00C80A8A">
      <w:pPr>
        <w:pStyle w:val="Heading2"/>
        <w:rPr>
          <w:b w:val="0"/>
          <w:spacing w:val="20"/>
        </w:rPr>
      </w:pPr>
      <w:bookmarkStart w:id="83" w:name="_Toc492995935"/>
      <w:r w:rsidRPr="00955E19">
        <w:rPr>
          <w:b w:val="0"/>
          <w:spacing w:val="20"/>
        </w:rPr>
        <w:t>5.1.8.  Начин и срок за плащане на ценните книжа и доставка на ценните книжа</w:t>
      </w:r>
      <w:bookmarkEnd w:id="83"/>
    </w:p>
    <w:p w14:paraId="7AB3CFB7" w14:textId="77777777" w:rsidR="00E175F2" w:rsidRPr="00955E19" w:rsidRDefault="00E175F2" w:rsidP="00C80A8A">
      <w:pPr>
        <w:spacing w:before="120" w:after="200"/>
        <w:jc w:val="both"/>
        <w:rPr>
          <w:sz w:val="20"/>
        </w:rPr>
      </w:pPr>
      <w:bookmarkStart w:id="84" w:name="OLE_LINK62"/>
      <w:bookmarkStart w:id="85" w:name="OLE_LINK63"/>
      <w:bookmarkStart w:id="86" w:name="_Toc174717197"/>
      <w:bookmarkStart w:id="87" w:name="_Toc174720195"/>
      <w:r w:rsidRPr="00955E19">
        <w:rPr>
          <w:sz w:val="20"/>
        </w:rPr>
        <w:t xml:space="preserve">Внасянето на емисионната стойност на записаните акции се извършва по специална набирателна сметка на “ГЛЕНМООР КЕПИТАЛ” АДСИЦ, открита в банката-депозитар ДСК ЕАД, която ще бъде посочена в съобщението по чл. 92а от ЗППЦК. </w:t>
      </w:r>
    </w:p>
    <w:p w14:paraId="5F348E4C" w14:textId="77777777" w:rsidR="00E175F2" w:rsidRPr="00955E19" w:rsidRDefault="00E175F2" w:rsidP="00152D36">
      <w:pPr>
        <w:spacing w:after="200"/>
        <w:jc w:val="both"/>
        <w:rPr>
          <w:sz w:val="20"/>
        </w:rPr>
      </w:pPr>
      <w:r w:rsidRPr="00955E19">
        <w:rPr>
          <w:sz w:val="20"/>
        </w:rPr>
        <w:t>Набирателната сметка трябва да бъде заверена с дължимата сума от лицето, записващо акциите, най-късно до крайния срок за записване на акциите. Банката-депозитар, в която е открита специалната набирателна сметка, блокира сумите, постъпили по специалната набирателна сметка.</w:t>
      </w:r>
    </w:p>
    <w:p w14:paraId="7E43EC52" w14:textId="77777777" w:rsidR="00E175F2" w:rsidRPr="00955E19" w:rsidRDefault="00E175F2" w:rsidP="00152D36">
      <w:pPr>
        <w:spacing w:after="200"/>
        <w:jc w:val="both"/>
        <w:rPr>
          <w:sz w:val="20"/>
        </w:rPr>
      </w:pPr>
      <w:r w:rsidRPr="00955E19">
        <w:rPr>
          <w:sz w:val="20"/>
        </w:rPr>
        <w:t>Съгласно чл. 89, ал. 2 от ЗППЦК набраните парични средства по специалната сметка не могат да се използват преди приключване на подписката и вписване на увеличението на капитала в Търговския регистър.</w:t>
      </w:r>
    </w:p>
    <w:p w14:paraId="0ECE0984" w14:textId="77777777" w:rsidR="00E175F2" w:rsidRPr="00955E19" w:rsidRDefault="00E175F2" w:rsidP="00152D36">
      <w:pPr>
        <w:spacing w:after="200"/>
        <w:jc w:val="both"/>
        <w:rPr>
          <w:sz w:val="20"/>
        </w:rPr>
      </w:pPr>
      <w:r w:rsidRPr="00955E19">
        <w:rPr>
          <w:sz w:val="20"/>
        </w:rPr>
        <w:t>Удостоверителен документ за направените вноски е платежният документ (платежно нареждане или вносна бележка, в която трябва да бъдат посочени името/фирмата на лицето, записващо акции, неговият ЕГН/БУЛСТАТ – за български лица, броят на записаните акции, общият размер на дължимата и извършена вноска). Инвеститорът получава удостоверителния документ от обслужващата банка, чрез която нарежда плащането или внася дължимата сума, и следва да го предаде на упълномощения инвестиционен посредник ИП „ЪП ТРЕНД” ООД</w:t>
      </w:r>
      <w:r w:rsidRPr="00955E19">
        <w:t xml:space="preserve"> </w:t>
      </w:r>
      <w:r w:rsidRPr="00955E19">
        <w:rPr>
          <w:sz w:val="20"/>
        </w:rPr>
        <w:t xml:space="preserve">до крайния срок за записване на акциите. В случай че заявките са подадени при други инвестиционни посредници, те предават на упълномощения инвестиционен посредник платежни документи за направените вноски по записаните акции до крайния срок за записване на акциите. </w:t>
      </w:r>
    </w:p>
    <w:p w14:paraId="114FCD05" w14:textId="77777777" w:rsidR="00E175F2" w:rsidRPr="00955E19" w:rsidRDefault="00E175F2" w:rsidP="00152D36">
      <w:pPr>
        <w:spacing w:after="200"/>
        <w:jc w:val="both"/>
        <w:rPr>
          <w:sz w:val="20"/>
        </w:rPr>
      </w:pPr>
      <w:r w:rsidRPr="00955E19">
        <w:rPr>
          <w:sz w:val="20"/>
        </w:rPr>
        <w:t xml:space="preserve">След вписване на увеличението на капитала в Търговския регистър, Дружеството регистрира емисията акции в Централния депозитар. Централният депозитар ще открие нови или кредитира съществуващи сметки на инвеститорите със записаните от тях и заплатени нови акции. Акциите на лицата по подсметки на инвестиционни посредници в „Централен Депозитар” АД ще бъдат разпределени по съответните подсметки. </w:t>
      </w:r>
    </w:p>
    <w:p w14:paraId="3D78F7E8" w14:textId="77777777" w:rsidR="00E175F2" w:rsidRPr="00955E19" w:rsidRDefault="00E175F2" w:rsidP="00152D36">
      <w:pPr>
        <w:spacing w:after="200"/>
        <w:jc w:val="both"/>
        <w:rPr>
          <w:sz w:val="20"/>
        </w:rPr>
      </w:pPr>
      <w:r w:rsidRPr="00955E19">
        <w:rPr>
          <w:sz w:val="20"/>
        </w:rPr>
        <w:t>При желание, инвеститорите могат да получат удостоверителни документи – депозитарни разписки – за получените от тях нови акции. Издаването на депозитарни разписки се извършва от Централния депозитар чрез съответния инвестиционен посредник по искане на акционера и съгласно Правилника на „Централен депозитар” АД и вътрешните актове на посредника.</w:t>
      </w:r>
      <w:bookmarkEnd w:id="84"/>
      <w:bookmarkEnd w:id="85"/>
      <w:bookmarkEnd w:id="86"/>
      <w:bookmarkEnd w:id="87"/>
    </w:p>
    <w:p w14:paraId="64CB56DF" w14:textId="77777777" w:rsidR="00E175F2" w:rsidRPr="00955E19" w:rsidRDefault="00E175F2" w:rsidP="00C80A8A">
      <w:pPr>
        <w:pStyle w:val="Heading2"/>
        <w:rPr>
          <w:b w:val="0"/>
          <w:spacing w:val="20"/>
        </w:rPr>
      </w:pPr>
      <w:bookmarkStart w:id="88" w:name="_Toc492995936"/>
      <w:r w:rsidRPr="00955E19">
        <w:rPr>
          <w:b w:val="0"/>
          <w:spacing w:val="20"/>
        </w:rPr>
        <w:lastRenderedPageBreak/>
        <w:t>5.1.9. Условия, ред и дата за публично обявяване на резултатите от подписката, съответно от продажбата на акциите</w:t>
      </w:r>
      <w:bookmarkEnd w:id="88"/>
    </w:p>
    <w:p w14:paraId="67D08FD0" w14:textId="77777777" w:rsidR="00E175F2" w:rsidRPr="00955E19" w:rsidRDefault="00E175F2" w:rsidP="00C80A8A">
      <w:pPr>
        <w:spacing w:before="120" w:after="200"/>
        <w:jc w:val="both"/>
        <w:rPr>
          <w:sz w:val="20"/>
        </w:rPr>
      </w:pPr>
      <w:bookmarkStart w:id="89" w:name="OLE_LINK64"/>
      <w:bookmarkStart w:id="90" w:name="OLE_LINK65"/>
      <w:bookmarkStart w:id="91" w:name="OLE_LINK66"/>
      <w:r w:rsidRPr="00955E19">
        <w:rPr>
          <w:sz w:val="20"/>
        </w:rPr>
        <w:t xml:space="preserve">“ГЛЕНМООР КЕПИТАЛ” АДСИЦ уведомява КФН в срок от 3 (три) работни дни от приключване на подписката за нейното провеждане и резултатите от нея, включително за затруднения, спорове и други подобни при търгуването на правата и записването на акциите. </w:t>
      </w:r>
    </w:p>
    <w:p w14:paraId="472A007E" w14:textId="77777777" w:rsidR="00E175F2" w:rsidRPr="00955E19" w:rsidRDefault="00E175F2" w:rsidP="00152D36">
      <w:pPr>
        <w:spacing w:after="200"/>
        <w:jc w:val="both"/>
        <w:rPr>
          <w:sz w:val="20"/>
        </w:rPr>
      </w:pPr>
      <w:r w:rsidRPr="00955E19">
        <w:rPr>
          <w:sz w:val="20"/>
        </w:rPr>
        <w:t>В 7-дневен срок от приключване на първичното публично предлагане на акции, Дружеството ще изпрати уведомление до КФН относно резултата от публичното предлагане, съдържащо информация относно датата на приключване на публичното предлагане; общия брой записани акции; сумата, получена срещу записаните акции; размера на комисионните възнаграждения и други разходи по публичното предлагане, вкл. платените на КФН такси. Към уведомлението Дружеството ще приложи удостоверение от Централния депозитар за регистриране на емисията и банково удостоверение от Банката, удостоверяващо извършените вноски по записаните акции (чл. 24, ал. 1 от Наредбата за проспектите).</w:t>
      </w:r>
    </w:p>
    <w:p w14:paraId="3161CB20" w14:textId="77777777" w:rsidR="00E175F2" w:rsidRPr="00955E19" w:rsidRDefault="00E175F2" w:rsidP="00152D36">
      <w:pPr>
        <w:spacing w:after="200"/>
        <w:jc w:val="both"/>
        <w:rPr>
          <w:sz w:val="20"/>
        </w:rPr>
      </w:pPr>
      <w:r w:rsidRPr="00955E19">
        <w:rPr>
          <w:sz w:val="20"/>
        </w:rPr>
        <w:t>Ако публичното предлагане е приключило успешно, КФН вписва издадената емисия ценни книжа в регистъра по чл. 30, ал. 1, т. 3 от ЗКФН.</w:t>
      </w:r>
    </w:p>
    <w:p w14:paraId="0FBA4CF1" w14:textId="77777777" w:rsidR="00E175F2" w:rsidRPr="00955E19" w:rsidRDefault="00E175F2" w:rsidP="00152D36">
      <w:pPr>
        <w:spacing w:after="120"/>
        <w:jc w:val="both"/>
        <w:rPr>
          <w:sz w:val="20"/>
        </w:rPr>
      </w:pPr>
      <w:r w:rsidRPr="00955E19">
        <w:rPr>
          <w:sz w:val="20"/>
        </w:rPr>
        <w:t xml:space="preserve">В случай че бъде постановен отказ за вписване в Търговския регистър на увеличението на капитала на “ГЛЕНМООР КЕПИТАЛ” АДСИЦ, последното уведомява КФН в 7 (седем)-дневен срок от постановяването на отказа. </w:t>
      </w:r>
      <w:bookmarkEnd w:id="89"/>
      <w:bookmarkEnd w:id="90"/>
      <w:bookmarkEnd w:id="91"/>
    </w:p>
    <w:p w14:paraId="79266382" w14:textId="77777777" w:rsidR="00E175F2" w:rsidRPr="00955E19" w:rsidRDefault="00E175F2" w:rsidP="00C80A8A">
      <w:pPr>
        <w:pStyle w:val="Heading2"/>
        <w:rPr>
          <w:b w:val="0"/>
          <w:spacing w:val="20"/>
        </w:rPr>
      </w:pPr>
      <w:bookmarkStart w:id="92" w:name="_Toc492995937"/>
      <w:r w:rsidRPr="00955E19">
        <w:rPr>
          <w:b w:val="0"/>
          <w:spacing w:val="20"/>
        </w:rPr>
        <w:t>5.1.10. Ред за упражняване на правото на предпочитателно закупуване на предлаганите ценни книжа (ред за упражняване на правата за записване на ценните книжа по смисъла на § 1, т. 3 ЗППЦК); ред, който се прилага при неупражняване на това право.</w:t>
      </w:r>
      <w:bookmarkEnd w:id="92"/>
    </w:p>
    <w:p w14:paraId="50C467A3" w14:textId="77777777" w:rsidR="00E175F2" w:rsidRPr="00955E19" w:rsidRDefault="00E175F2" w:rsidP="00C80A8A">
      <w:pPr>
        <w:spacing w:before="120" w:after="200"/>
        <w:jc w:val="both"/>
        <w:rPr>
          <w:sz w:val="20"/>
        </w:rPr>
      </w:pPr>
      <w:bookmarkStart w:id="93" w:name="OLE_LINK69"/>
      <w:r w:rsidRPr="00955E19">
        <w:rPr>
          <w:sz w:val="20"/>
        </w:rPr>
        <w:t xml:space="preserve">При първоначално увеличаване на капитала на дружество със специална инвестиционна цел се издават права по смисъла на § 1, т. 3 от ЗППЦК. Срещу всяка акция от увеличението се издава едно право. Съгласно изискванията на чл. 13, ал. 3 от ЗДСИЦ при първоначалното увеличаване на капитала не се прилагат разпоредбите на чл. 112, ал. 1 от ЗППЦК и чл. 194 от Търговския закон. </w:t>
      </w:r>
    </w:p>
    <w:p w14:paraId="19C8CA55" w14:textId="77777777" w:rsidR="00E175F2" w:rsidRPr="00955E19" w:rsidRDefault="00E175F2" w:rsidP="00675457">
      <w:pPr>
        <w:pStyle w:val="Heading2"/>
      </w:pPr>
      <w:bookmarkStart w:id="94" w:name="_Toc212867593"/>
      <w:bookmarkStart w:id="95" w:name="_Toc492995938"/>
      <w:bookmarkEnd w:id="93"/>
      <w:r w:rsidRPr="00955E19">
        <w:t>5.2. План за пласиране разпределение на ценните книжа</w:t>
      </w:r>
      <w:bookmarkEnd w:id="94"/>
      <w:bookmarkEnd w:id="95"/>
    </w:p>
    <w:p w14:paraId="4706EADB" w14:textId="77777777" w:rsidR="00E175F2" w:rsidRPr="00955E19" w:rsidRDefault="00E175F2" w:rsidP="00152D36">
      <w:pPr>
        <w:pStyle w:val="Heading2"/>
        <w:spacing w:line="240" w:lineRule="auto"/>
        <w:rPr>
          <w:b w:val="0"/>
          <w:spacing w:val="20"/>
        </w:rPr>
      </w:pPr>
      <w:bookmarkStart w:id="96" w:name="_Toc492995939"/>
      <w:r w:rsidRPr="00955E19">
        <w:rPr>
          <w:b w:val="0"/>
          <w:spacing w:val="20"/>
        </w:rPr>
        <w:t>5.2.1. Категории потенциални инвеститори, на които се предлагат ценните книжа</w:t>
      </w:r>
      <w:bookmarkEnd w:id="96"/>
    </w:p>
    <w:p w14:paraId="6F6CB470" w14:textId="77777777" w:rsidR="00E175F2" w:rsidRPr="00955E19" w:rsidRDefault="00E175F2" w:rsidP="00152D36">
      <w:pPr>
        <w:spacing w:after="200"/>
        <w:jc w:val="both"/>
        <w:rPr>
          <w:sz w:val="20"/>
        </w:rPr>
      </w:pPr>
      <w:r w:rsidRPr="00955E19">
        <w:rPr>
          <w:sz w:val="20"/>
        </w:rPr>
        <w:t xml:space="preserve">Новите акции ще бъдат предложени публично единствено в Република България. Адресати на предлаганите нови акции са всички местни и чуждестранни лица, освен в случаите, когато това ще представлява нарушение на приложимите закони. Чуждестранни инвеститори, които не са местни лица и възнамеряват да запишат нови акции, трябва да се запознаят с приложимите закони в техните юрисдикции. </w:t>
      </w:r>
    </w:p>
    <w:p w14:paraId="38532792" w14:textId="77777777" w:rsidR="00E175F2" w:rsidRPr="00955E19" w:rsidRDefault="00E175F2" w:rsidP="00152D36">
      <w:pPr>
        <w:spacing w:after="200"/>
        <w:jc w:val="both"/>
        <w:rPr>
          <w:sz w:val="20"/>
        </w:rPr>
      </w:pPr>
      <w:r w:rsidRPr="00955E19">
        <w:rPr>
          <w:sz w:val="20"/>
        </w:rPr>
        <w:t>Всички инвеститори могат при равни условия да участват в увеличаването на капитала на Дружеството, като закупят права в срока за тяхното прехвърляне/търговия на права и ги упражнят, като запишат акции срещу тях в рамките на определените срокове. Срещу всяко 1 право може да бъде записана 1 нова акция на “ГЛЕНМООР КЕПИТАЛ” АДСИЦ по емисионна стойност от 1 лев за акция.</w:t>
      </w:r>
    </w:p>
    <w:p w14:paraId="6921E1AE" w14:textId="77777777" w:rsidR="00E175F2" w:rsidRPr="00955E19" w:rsidRDefault="00E175F2" w:rsidP="00152D36">
      <w:pPr>
        <w:pStyle w:val="Heading2"/>
        <w:spacing w:line="240" w:lineRule="auto"/>
        <w:rPr>
          <w:b w:val="0"/>
          <w:spacing w:val="20"/>
        </w:rPr>
      </w:pPr>
      <w:bookmarkStart w:id="97" w:name="_Toc492995940"/>
      <w:r w:rsidRPr="00955E19">
        <w:rPr>
          <w:b w:val="0"/>
          <w:spacing w:val="20"/>
        </w:rPr>
        <w:t>5.2.2. Посочване, дали основните акционерите или членовете на Съвета на директорите на Емитента възнамеряват да придобият от предлаганите акции или дали някое лице възнамерява да придобие повече от 5 на сто от предлаганите акции, доколкото такава информация е известна на Емитента</w:t>
      </w:r>
      <w:bookmarkEnd w:id="97"/>
    </w:p>
    <w:p w14:paraId="53DBC1A7" w14:textId="77777777" w:rsidR="00E175F2" w:rsidRPr="00955E19" w:rsidRDefault="00E175F2" w:rsidP="00152D36">
      <w:pPr>
        <w:spacing w:after="200"/>
        <w:jc w:val="both"/>
        <w:rPr>
          <w:sz w:val="20"/>
        </w:rPr>
      </w:pPr>
      <w:r w:rsidRPr="00955E19">
        <w:rPr>
          <w:sz w:val="20"/>
        </w:rPr>
        <w:t>Емитентът няма информация, дали членове на Съвета на директорите на Дружеството и основните акционери (виж т. „Основни акционери” от Регистрационния документ)</w:t>
      </w:r>
      <w:r w:rsidRPr="00955E19" w:rsidDel="00B821B9">
        <w:rPr>
          <w:sz w:val="20"/>
        </w:rPr>
        <w:t xml:space="preserve"> </w:t>
      </w:r>
      <w:r w:rsidRPr="00955E19">
        <w:rPr>
          <w:sz w:val="20"/>
        </w:rPr>
        <w:t xml:space="preserve">възнамеряват да придобият от предлаганите акции от увеличението на капитала, като упражнят притежаваните от тях права. </w:t>
      </w:r>
    </w:p>
    <w:p w14:paraId="30A0FDA8" w14:textId="77777777" w:rsidR="00E175F2" w:rsidRPr="00955E19" w:rsidRDefault="00E175F2" w:rsidP="00152D36">
      <w:pPr>
        <w:spacing w:after="200"/>
        <w:jc w:val="both"/>
        <w:rPr>
          <w:sz w:val="20"/>
        </w:rPr>
      </w:pPr>
      <w:r w:rsidRPr="00955E19">
        <w:rPr>
          <w:sz w:val="20"/>
        </w:rPr>
        <w:t xml:space="preserve">Емитентът не разполага с информация, дали някое лице възнамерява да придобие повече от 5 на сто от предлаганите акции. </w:t>
      </w:r>
    </w:p>
    <w:p w14:paraId="2B2FF5A4" w14:textId="77777777" w:rsidR="00E175F2" w:rsidRPr="00955E19" w:rsidRDefault="00E175F2" w:rsidP="00152D36">
      <w:pPr>
        <w:pStyle w:val="Heading2"/>
        <w:spacing w:line="240" w:lineRule="auto"/>
        <w:jc w:val="both"/>
        <w:rPr>
          <w:b w:val="0"/>
          <w:spacing w:val="20"/>
        </w:rPr>
      </w:pPr>
      <w:bookmarkStart w:id="98" w:name="_Toc492995941"/>
      <w:r w:rsidRPr="00955E19">
        <w:rPr>
          <w:b w:val="0"/>
          <w:spacing w:val="20"/>
        </w:rPr>
        <w:lastRenderedPageBreak/>
        <w:t>5.2.3. Оповестяване на предварително разпределение и основания за привилегировано предлагане на акции на определена група инвеститори</w:t>
      </w:r>
      <w:bookmarkEnd w:id="98"/>
    </w:p>
    <w:p w14:paraId="69EF65B9" w14:textId="77777777" w:rsidR="00E175F2" w:rsidRPr="00955E19" w:rsidRDefault="00E175F2" w:rsidP="00152D36">
      <w:pPr>
        <w:spacing w:after="200"/>
        <w:jc w:val="both"/>
        <w:rPr>
          <w:sz w:val="20"/>
        </w:rPr>
      </w:pPr>
      <w:r w:rsidRPr="00955E19">
        <w:rPr>
          <w:sz w:val="20"/>
        </w:rPr>
        <w:t xml:space="preserve">Емитентът и ИП „ЪП ТРЕНД” ООД не са и не възнамеряват да определят съотношения, траншове и/или количества нови акции, които да бъдат разпределени между отделни категории инвеститори. </w:t>
      </w:r>
    </w:p>
    <w:p w14:paraId="201E5F8C" w14:textId="77777777" w:rsidR="00E175F2" w:rsidRPr="00955E19" w:rsidRDefault="00E175F2" w:rsidP="00152D36">
      <w:pPr>
        <w:spacing w:after="200"/>
        <w:jc w:val="both"/>
        <w:rPr>
          <w:sz w:val="20"/>
        </w:rPr>
      </w:pPr>
      <w:r w:rsidRPr="00955E19">
        <w:rPr>
          <w:sz w:val="20"/>
        </w:rPr>
        <w:t>Не са налице основания за привилегировано предлагане на акциите на определени групи инвеститори (в това число настоящи акционери, извън правото им на предпочитателно придобиване на новите акции), членове на Съвета на директорите на Емитента, настоящи или бивши служители на Емитента или на негови дъщерни дружества.</w:t>
      </w:r>
    </w:p>
    <w:p w14:paraId="48444292" w14:textId="77777777" w:rsidR="00E175F2" w:rsidRPr="00955E19" w:rsidRDefault="00E175F2" w:rsidP="00152D36">
      <w:pPr>
        <w:pStyle w:val="Heading2"/>
        <w:spacing w:line="240" w:lineRule="auto"/>
        <w:jc w:val="both"/>
        <w:rPr>
          <w:b w:val="0"/>
          <w:spacing w:val="20"/>
        </w:rPr>
      </w:pPr>
      <w:bookmarkStart w:id="99" w:name="_Toc492995942"/>
      <w:r w:rsidRPr="00955E19">
        <w:rPr>
          <w:b w:val="0"/>
          <w:spacing w:val="20"/>
        </w:rPr>
        <w:t>5.2.4. Процес за уведомяване на кандидатите за разпределяната сума и индикация дали търговията може да започне преди да бъде направено уведомлението.</w:t>
      </w:r>
      <w:bookmarkEnd w:id="99"/>
    </w:p>
    <w:p w14:paraId="7DBAA42A" w14:textId="77777777" w:rsidR="00E175F2" w:rsidRPr="00955E19" w:rsidRDefault="00E175F2" w:rsidP="00152D36">
      <w:pPr>
        <w:jc w:val="both"/>
        <w:rPr>
          <w:sz w:val="20"/>
        </w:rPr>
      </w:pPr>
      <w:r w:rsidRPr="00955E19">
        <w:rPr>
          <w:sz w:val="20"/>
        </w:rPr>
        <w:t>Емитентът и ИП „ЪП ТРЕНД” ООД не възнамеряват да извършват предварително разпределение и съответно не се предвижда процес за уведомяване на кандидатите за разпределяната сума.</w:t>
      </w:r>
    </w:p>
    <w:p w14:paraId="7C38EA3F" w14:textId="77777777" w:rsidR="00E175F2" w:rsidRPr="00955E19" w:rsidRDefault="00E175F2" w:rsidP="00152D36">
      <w:pPr>
        <w:pStyle w:val="Heading2"/>
        <w:spacing w:line="240" w:lineRule="auto"/>
        <w:rPr>
          <w:b w:val="0"/>
          <w:spacing w:val="20"/>
        </w:rPr>
      </w:pPr>
      <w:bookmarkStart w:id="100" w:name="_Toc492995943"/>
      <w:r w:rsidRPr="00955E19">
        <w:rPr>
          <w:b w:val="0"/>
          <w:spacing w:val="20"/>
        </w:rPr>
        <w:t>5.2.5. Записване, превишаващо размера на подписката и опция “green shoe” за превишаване на подписката</w:t>
      </w:r>
      <w:bookmarkEnd w:id="100"/>
      <w:r w:rsidRPr="00955E19">
        <w:rPr>
          <w:b w:val="0"/>
          <w:spacing w:val="20"/>
        </w:rPr>
        <w:t xml:space="preserve"> </w:t>
      </w:r>
    </w:p>
    <w:p w14:paraId="2E7F70FE" w14:textId="77777777" w:rsidR="00E175F2" w:rsidRPr="00955E19" w:rsidRDefault="00E175F2" w:rsidP="00152D36">
      <w:pPr>
        <w:spacing w:after="200"/>
        <w:jc w:val="both"/>
        <w:rPr>
          <w:sz w:val="20"/>
        </w:rPr>
      </w:pPr>
      <w:r w:rsidRPr="00955E19">
        <w:rPr>
          <w:sz w:val="20"/>
        </w:rPr>
        <w:t xml:space="preserve">В рамките на предлагането не е възможно и не се предвижда издаване и/или предлагане на допълнителен брой извън предложените 150 000  нови акции. </w:t>
      </w:r>
    </w:p>
    <w:p w14:paraId="6A1E8EB9" w14:textId="77777777" w:rsidR="00E175F2" w:rsidRPr="00955E19" w:rsidRDefault="00E175F2" w:rsidP="00675457">
      <w:pPr>
        <w:pStyle w:val="Heading2"/>
      </w:pPr>
      <w:bookmarkStart w:id="101" w:name="_Toc212867595"/>
      <w:bookmarkStart w:id="102" w:name="_Toc492995944"/>
      <w:r w:rsidRPr="00955E19">
        <w:t xml:space="preserve">5.3. </w:t>
      </w:r>
      <w:bookmarkEnd w:id="101"/>
      <w:r w:rsidRPr="00955E19">
        <w:t>Ценообразуване</w:t>
      </w:r>
      <w:bookmarkEnd w:id="102"/>
    </w:p>
    <w:p w14:paraId="31562FDE" w14:textId="77777777" w:rsidR="00E175F2" w:rsidRPr="00955E19" w:rsidRDefault="00E175F2" w:rsidP="00152D36">
      <w:pPr>
        <w:pStyle w:val="Heading2"/>
        <w:spacing w:line="240" w:lineRule="auto"/>
        <w:rPr>
          <w:b w:val="0"/>
          <w:spacing w:val="20"/>
        </w:rPr>
      </w:pPr>
      <w:bookmarkStart w:id="103" w:name="_Toc492995945"/>
      <w:r w:rsidRPr="00955E19">
        <w:rPr>
          <w:b w:val="0"/>
          <w:spacing w:val="20"/>
        </w:rPr>
        <w:t>5.3.1. Цена, на която ще се предлагат акциите</w:t>
      </w:r>
      <w:bookmarkEnd w:id="103"/>
      <w:r w:rsidRPr="00955E19">
        <w:rPr>
          <w:b w:val="0"/>
          <w:spacing w:val="20"/>
        </w:rPr>
        <w:t xml:space="preserve"> </w:t>
      </w:r>
    </w:p>
    <w:p w14:paraId="52771743" w14:textId="77777777" w:rsidR="00E175F2" w:rsidRPr="00955E19" w:rsidRDefault="00E175F2" w:rsidP="00152D36">
      <w:pPr>
        <w:spacing w:after="200"/>
        <w:jc w:val="both"/>
        <w:rPr>
          <w:sz w:val="20"/>
        </w:rPr>
      </w:pPr>
      <w:r w:rsidRPr="00955E19">
        <w:rPr>
          <w:sz w:val="20"/>
        </w:rPr>
        <w:t xml:space="preserve">Акциите се предлагат по емисионна стойност от 1 лев (един лев) за акция. </w:t>
      </w:r>
    </w:p>
    <w:p w14:paraId="3DC44759" w14:textId="77777777" w:rsidR="00E175F2" w:rsidRPr="00955E19" w:rsidRDefault="00E175F2" w:rsidP="009F2645">
      <w:pPr>
        <w:spacing w:after="200"/>
        <w:jc w:val="both"/>
        <w:rPr>
          <w:sz w:val="20"/>
        </w:rPr>
      </w:pPr>
      <w:r w:rsidRPr="00955E19">
        <w:rPr>
          <w:sz w:val="20"/>
        </w:rPr>
        <w:t>Емисионната стойност (1 лв. на акция) е определена въз основа на  решение на Учредителното събрание на “ГЛЕНМООР КЕПИТАЛ” АДСИЦ от 07.03.2017 г. Решението за първоначално увеличение на капитала е взето на основание чл. 5, ал. 3 и чл. 13 от ЗДСИЦ. Решението предвижда първоначално увеличение на капитала на “ГЛЕНМООР КЕПИТАЛ” АДСИЦ от 500 000 лева на 650 000 лева чрез първично публично предлагане на нови 150 000 броя обикновени, безналични акции, с право на глас, с номинална и емисионна стойност от 1 лев всяка една, от същия клас акции като акциите, записани на учредителното събрание.</w:t>
      </w:r>
    </w:p>
    <w:p w14:paraId="2DF1EB4A" w14:textId="77777777" w:rsidR="00E175F2" w:rsidRPr="00955E19" w:rsidRDefault="00E175F2" w:rsidP="00152D36">
      <w:pPr>
        <w:spacing w:after="200"/>
        <w:jc w:val="both"/>
        <w:rPr>
          <w:sz w:val="20"/>
        </w:rPr>
      </w:pPr>
      <w:bookmarkStart w:id="104" w:name="OLE_LINK47"/>
      <w:bookmarkStart w:id="105" w:name="OLE_LINK48"/>
      <w:r w:rsidRPr="00955E19">
        <w:rPr>
          <w:sz w:val="20"/>
        </w:rPr>
        <w:t>Инвеститорите поемат за своя сметка разходите за такси и комисиони на инвестиционния посредник, разплащателните институции, „Българска фондова борса – София” АД, „Централен депозитар” АД, свързани със закупуването на правата и записването на акциите на “ГЛЕНМООР КЕПИТАЛ” АДСИЦ.</w:t>
      </w:r>
      <w:bookmarkEnd w:id="104"/>
      <w:bookmarkEnd w:id="105"/>
    </w:p>
    <w:p w14:paraId="34DC3413" w14:textId="77777777" w:rsidR="00E175F2" w:rsidRPr="00955E19" w:rsidRDefault="00E175F2" w:rsidP="00152D36">
      <w:pPr>
        <w:pStyle w:val="Heading2"/>
        <w:spacing w:line="240" w:lineRule="auto"/>
        <w:rPr>
          <w:b w:val="0"/>
          <w:spacing w:val="20"/>
        </w:rPr>
      </w:pPr>
      <w:bookmarkStart w:id="106" w:name="_Toc492995946"/>
      <w:r w:rsidRPr="00955E19">
        <w:rPr>
          <w:b w:val="0"/>
          <w:spacing w:val="20"/>
        </w:rPr>
        <w:t>5.3.2. Процедура по оповестяване на цената на предлагане</w:t>
      </w:r>
      <w:bookmarkEnd w:id="106"/>
    </w:p>
    <w:p w14:paraId="7EC68D99" w14:textId="38AB9C06" w:rsidR="00E175F2" w:rsidRPr="00955E19" w:rsidRDefault="00E175F2" w:rsidP="00152D36">
      <w:pPr>
        <w:spacing w:after="200"/>
        <w:jc w:val="both"/>
        <w:rPr>
          <w:sz w:val="20"/>
        </w:rPr>
      </w:pPr>
      <w:r w:rsidRPr="00955E19">
        <w:rPr>
          <w:sz w:val="20"/>
        </w:rPr>
        <w:t xml:space="preserve">След потвърждаването на настоящия проспект за публично предлагане на акции от КФН, Съветът на директорите на “ГЛЕНМООР КЕПИТАЛ” АДСИЦ публикува съобщение за публичното предлагане, началния и крайния срок за прехвърлянето на права и за записването на акции, регистрационния номер и датата на издаденото от КФН потвърждение на проспекта за публично предлагане на акции, мястото, времето и начина на запознаване с проспекта, както и други данни, определени с наредба на КФН. Съобразно чл. 92а, ал. 2 от ЗППЦК съобщението се публикува най-малко в </w:t>
      </w:r>
      <w:r w:rsidR="0077009E" w:rsidRPr="00955E19">
        <w:rPr>
          <w:sz w:val="20"/>
        </w:rPr>
        <w:t xml:space="preserve">един </w:t>
      </w:r>
      <w:r w:rsidRPr="00955E19">
        <w:rPr>
          <w:sz w:val="20"/>
        </w:rPr>
        <w:t>централ</w:t>
      </w:r>
      <w:r w:rsidR="0077009E" w:rsidRPr="00955E19">
        <w:rPr>
          <w:sz w:val="20"/>
        </w:rPr>
        <w:t>е</w:t>
      </w:r>
      <w:r w:rsidRPr="00955E19">
        <w:rPr>
          <w:sz w:val="20"/>
        </w:rPr>
        <w:t>н ежедневник (в-к „Капитал Daily”) и на интернет страниците на “ГЛЕНМООР КЕПИТАЛ” АДСИЦ и на упълномощения инвестиционен посредник „ЪП ТРЕНД” ООД, най-малко 7 (седем) дни преди началния срок за прехвърляне на правата и записването на акциите.</w:t>
      </w:r>
    </w:p>
    <w:p w14:paraId="2233187A" w14:textId="77777777" w:rsidR="00E175F2" w:rsidRPr="00955E19" w:rsidRDefault="00E175F2" w:rsidP="00152D36">
      <w:pPr>
        <w:pStyle w:val="Heading2"/>
        <w:spacing w:line="240" w:lineRule="auto"/>
        <w:rPr>
          <w:b w:val="0"/>
          <w:spacing w:val="20"/>
        </w:rPr>
      </w:pPr>
      <w:bookmarkStart w:id="107" w:name="_Toc492995947"/>
      <w:r w:rsidRPr="00955E19">
        <w:rPr>
          <w:b w:val="0"/>
          <w:spacing w:val="20"/>
        </w:rPr>
        <w:t>5.3.3. Права на държателите на акциите за закупуване на ценните книжа</w:t>
      </w:r>
      <w:bookmarkEnd w:id="107"/>
    </w:p>
    <w:p w14:paraId="1D3EB765" w14:textId="77777777" w:rsidR="00E175F2" w:rsidRPr="00955E19" w:rsidRDefault="00E175F2" w:rsidP="0074521E">
      <w:pPr>
        <w:spacing w:after="200"/>
        <w:jc w:val="both"/>
        <w:rPr>
          <w:sz w:val="20"/>
        </w:rPr>
      </w:pPr>
      <w:r w:rsidRPr="00955E19">
        <w:rPr>
          <w:sz w:val="20"/>
        </w:rPr>
        <w:t>Съгласно чл. 13, ал. 3 от ЗДСИЦ при първоначалното увеличение на капитала на дружеството разпоредбите на чл. 112, ал. 1 ЗППЦК и чл. 194 ТЗ не се прилагат, т. е. правата за участие в увеличението на капитала не се издават на съществуващите акционери, а се предлагат изцяло от упълномощения инвестиционен посредник за публична продажба.</w:t>
      </w:r>
    </w:p>
    <w:p w14:paraId="0A0E6494" w14:textId="77777777" w:rsidR="00E175F2" w:rsidRPr="00955E19" w:rsidRDefault="00E175F2" w:rsidP="00152D36">
      <w:pPr>
        <w:pStyle w:val="Heading2"/>
        <w:spacing w:line="240" w:lineRule="auto"/>
        <w:jc w:val="both"/>
        <w:rPr>
          <w:b w:val="0"/>
          <w:spacing w:val="20"/>
        </w:rPr>
      </w:pPr>
      <w:bookmarkStart w:id="108" w:name="_Toc492995948"/>
      <w:r w:rsidRPr="00955E19">
        <w:rPr>
          <w:b w:val="0"/>
          <w:spacing w:val="20"/>
        </w:rPr>
        <w:t xml:space="preserve">5.3.4. Несъответствие между цената на публичното предлагане и ефективните касови разходи за членовете на административните, управителните или надзорни органи или висшето ръководство или свързани лица, за ценните </w:t>
      </w:r>
      <w:r w:rsidRPr="00955E19">
        <w:rPr>
          <w:b w:val="0"/>
          <w:spacing w:val="20"/>
        </w:rPr>
        <w:lastRenderedPageBreak/>
        <w:t>книжа, придобити от тях в сделки през последната година, или които те имат право да придобият</w:t>
      </w:r>
      <w:bookmarkEnd w:id="108"/>
    </w:p>
    <w:p w14:paraId="65352ECC" w14:textId="77777777" w:rsidR="00E175F2" w:rsidRPr="00955E19" w:rsidRDefault="00E175F2" w:rsidP="00152D36">
      <w:pPr>
        <w:spacing w:after="200"/>
        <w:jc w:val="both"/>
        <w:rPr>
          <w:sz w:val="20"/>
        </w:rPr>
      </w:pPr>
      <w:r w:rsidRPr="00955E19">
        <w:rPr>
          <w:sz w:val="20"/>
        </w:rPr>
        <w:t>Акциите от капитала на “ГЛЕНМООР КЕПИТАЛ” АДСИЦ, които са придобити от Членовете на Съвета на директорите “ГЛЕНМООР КЕПИТАЛ” АДСИЦ в сделки през последната година преди датата на настоящия Документ за предлаганите ценни книжа, са както следва:</w:t>
      </w:r>
    </w:p>
    <w:tbl>
      <w:tblPr>
        <w:tblW w:w="7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1418"/>
        <w:gridCol w:w="1240"/>
        <w:gridCol w:w="1286"/>
        <w:gridCol w:w="993"/>
      </w:tblGrid>
      <w:tr w:rsidR="00E175F2" w:rsidRPr="00955E19" w14:paraId="5E11E1CC" w14:textId="77777777" w:rsidTr="00223ED2">
        <w:trPr>
          <w:trHeight w:val="210"/>
        </w:trPr>
        <w:tc>
          <w:tcPr>
            <w:tcW w:w="2972" w:type="dxa"/>
            <w:noWrap/>
          </w:tcPr>
          <w:p w14:paraId="44512851" w14:textId="77777777" w:rsidR="00E175F2" w:rsidRPr="00955E19" w:rsidRDefault="00E175F2" w:rsidP="00B46033">
            <w:pPr>
              <w:spacing w:after="120"/>
              <w:jc w:val="center"/>
              <w:rPr>
                <w:b/>
                <w:color w:val="000000"/>
                <w:sz w:val="20"/>
              </w:rPr>
            </w:pPr>
            <w:r w:rsidRPr="00955E19">
              <w:rPr>
                <w:b/>
                <w:sz w:val="20"/>
              </w:rPr>
              <w:t>Член на съвета на директорите</w:t>
            </w:r>
          </w:p>
        </w:tc>
        <w:tc>
          <w:tcPr>
            <w:tcW w:w="1418" w:type="dxa"/>
            <w:noWrap/>
          </w:tcPr>
          <w:p w14:paraId="78848DF4" w14:textId="77777777" w:rsidR="00E175F2" w:rsidRPr="00955E19" w:rsidRDefault="00E175F2" w:rsidP="00B46033">
            <w:pPr>
              <w:spacing w:after="120"/>
              <w:jc w:val="center"/>
              <w:rPr>
                <w:b/>
                <w:color w:val="000000"/>
                <w:sz w:val="20"/>
              </w:rPr>
            </w:pPr>
            <w:r w:rsidRPr="00955E19">
              <w:rPr>
                <w:b/>
                <w:sz w:val="20"/>
              </w:rPr>
              <w:t>Дата</w:t>
            </w:r>
          </w:p>
        </w:tc>
        <w:tc>
          <w:tcPr>
            <w:tcW w:w="1240" w:type="dxa"/>
            <w:noWrap/>
          </w:tcPr>
          <w:p w14:paraId="1046C460" w14:textId="77777777" w:rsidR="00E175F2" w:rsidRPr="00955E19" w:rsidRDefault="00E175F2" w:rsidP="00B46033">
            <w:pPr>
              <w:spacing w:after="120"/>
              <w:jc w:val="center"/>
              <w:rPr>
                <w:b/>
                <w:color w:val="000000"/>
                <w:sz w:val="20"/>
              </w:rPr>
            </w:pPr>
            <w:r w:rsidRPr="00955E19">
              <w:rPr>
                <w:b/>
                <w:sz w:val="20"/>
              </w:rPr>
              <w:t>Вид сделка</w:t>
            </w:r>
          </w:p>
        </w:tc>
        <w:tc>
          <w:tcPr>
            <w:tcW w:w="1286" w:type="dxa"/>
            <w:noWrap/>
          </w:tcPr>
          <w:p w14:paraId="05E85EBC" w14:textId="77777777" w:rsidR="00E175F2" w:rsidRPr="00955E19" w:rsidRDefault="00E175F2" w:rsidP="00B46033">
            <w:pPr>
              <w:spacing w:after="120"/>
              <w:jc w:val="center"/>
              <w:rPr>
                <w:b/>
                <w:color w:val="000000"/>
                <w:sz w:val="20"/>
              </w:rPr>
            </w:pPr>
            <w:r w:rsidRPr="00955E19">
              <w:rPr>
                <w:b/>
                <w:sz w:val="20"/>
              </w:rPr>
              <w:t>Количество</w:t>
            </w:r>
          </w:p>
        </w:tc>
        <w:tc>
          <w:tcPr>
            <w:tcW w:w="993" w:type="dxa"/>
            <w:noWrap/>
          </w:tcPr>
          <w:p w14:paraId="3E870D31" w14:textId="77777777" w:rsidR="00E175F2" w:rsidRPr="00955E19" w:rsidRDefault="00E175F2" w:rsidP="00B46033">
            <w:pPr>
              <w:spacing w:after="120"/>
              <w:jc w:val="center"/>
              <w:rPr>
                <w:b/>
                <w:color w:val="000000"/>
                <w:sz w:val="20"/>
              </w:rPr>
            </w:pPr>
            <w:r w:rsidRPr="00955E19">
              <w:rPr>
                <w:b/>
                <w:sz w:val="20"/>
              </w:rPr>
              <w:t>Ед. цена</w:t>
            </w:r>
          </w:p>
        </w:tc>
      </w:tr>
      <w:tr w:rsidR="00E175F2" w:rsidRPr="00955E19" w14:paraId="4927F03D" w14:textId="77777777" w:rsidTr="00223ED2">
        <w:trPr>
          <w:trHeight w:val="210"/>
        </w:trPr>
        <w:tc>
          <w:tcPr>
            <w:tcW w:w="2972" w:type="dxa"/>
            <w:noWrap/>
            <w:vAlign w:val="bottom"/>
          </w:tcPr>
          <w:p w14:paraId="6F103682" w14:textId="77777777" w:rsidR="00E175F2" w:rsidRPr="00955E19" w:rsidRDefault="00E175F2" w:rsidP="00B46033">
            <w:pPr>
              <w:spacing w:after="120"/>
              <w:rPr>
                <w:color w:val="000000"/>
                <w:sz w:val="20"/>
              </w:rPr>
            </w:pPr>
            <w:r w:rsidRPr="00955E19">
              <w:rPr>
                <w:color w:val="000000"/>
                <w:sz w:val="20"/>
              </w:rPr>
              <w:t>Гергана Атанасова Маринова</w:t>
            </w:r>
          </w:p>
        </w:tc>
        <w:tc>
          <w:tcPr>
            <w:tcW w:w="1418" w:type="dxa"/>
            <w:noWrap/>
            <w:vAlign w:val="bottom"/>
          </w:tcPr>
          <w:p w14:paraId="5C080C8A" w14:textId="77777777" w:rsidR="00E175F2" w:rsidRPr="00955E19" w:rsidRDefault="00E175F2" w:rsidP="00B46033">
            <w:pPr>
              <w:spacing w:after="120"/>
              <w:rPr>
                <w:color w:val="000000"/>
                <w:sz w:val="20"/>
              </w:rPr>
            </w:pPr>
            <w:r w:rsidRPr="00955E19">
              <w:rPr>
                <w:color w:val="000000"/>
                <w:sz w:val="20"/>
              </w:rPr>
              <w:t>07.03.2017</w:t>
            </w:r>
          </w:p>
        </w:tc>
        <w:tc>
          <w:tcPr>
            <w:tcW w:w="1240" w:type="dxa"/>
            <w:noWrap/>
            <w:vAlign w:val="bottom"/>
          </w:tcPr>
          <w:p w14:paraId="3BD5F8F4" w14:textId="77777777" w:rsidR="00E175F2" w:rsidRPr="00955E19" w:rsidRDefault="00E175F2" w:rsidP="00B46033">
            <w:pPr>
              <w:spacing w:after="120"/>
              <w:rPr>
                <w:color w:val="000000"/>
                <w:sz w:val="20"/>
              </w:rPr>
            </w:pPr>
            <w:r w:rsidRPr="00955E19">
              <w:rPr>
                <w:color w:val="000000"/>
                <w:sz w:val="20"/>
              </w:rPr>
              <w:t>записва при учредяване</w:t>
            </w:r>
          </w:p>
        </w:tc>
        <w:tc>
          <w:tcPr>
            <w:tcW w:w="1286" w:type="dxa"/>
            <w:noWrap/>
            <w:vAlign w:val="bottom"/>
          </w:tcPr>
          <w:p w14:paraId="1ABC74EC" w14:textId="77777777" w:rsidR="00E175F2" w:rsidRPr="00955E19" w:rsidRDefault="00E175F2" w:rsidP="00B46033">
            <w:pPr>
              <w:spacing w:after="120"/>
              <w:jc w:val="right"/>
              <w:rPr>
                <w:color w:val="000000"/>
                <w:sz w:val="20"/>
              </w:rPr>
            </w:pPr>
            <w:r w:rsidRPr="00955E19">
              <w:rPr>
                <w:color w:val="000000"/>
                <w:sz w:val="20"/>
              </w:rPr>
              <w:t>20000</w:t>
            </w:r>
          </w:p>
        </w:tc>
        <w:tc>
          <w:tcPr>
            <w:tcW w:w="993" w:type="dxa"/>
            <w:noWrap/>
            <w:vAlign w:val="bottom"/>
          </w:tcPr>
          <w:p w14:paraId="4ADE31C3" w14:textId="77777777" w:rsidR="00E175F2" w:rsidRPr="00955E19" w:rsidRDefault="00E175F2" w:rsidP="00B46033">
            <w:pPr>
              <w:spacing w:after="120"/>
              <w:jc w:val="right"/>
              <w:rPr>
                <w:color w:val="000000"/>
                <w:sz w:val="20"/>
              </w:rPr>
            </w:pPr>
            <w:r w:rsidRPr="00955E19">
              <w:rPr>
                <w:color w:val="000000"/>
                <w:sz w:val="20"/>
              </w:rPr>
              <w:t>1,00</w:t>
            </w:r>
          </w:p>
        </w:tc>
      </w:tr>
    </w:tbl>
    <w:p w14:paraId="4837898F" w14:textId="77777777" w:rsidR="00382CA4" w:rsidRPr="00955E19" w:rsidRDefault="00382CA4" w:rsidP="00152D36">
      <w:pPr>
        <w:spacing w:after="200"/>
        <w:jc w:val="both"/>
        <w:rPr>
          <w:sz w:val="20"/>
        </w:rPr>
      </w:pPr>
      <w:bookmarkStart w:id="109" w:name="OLE_LINK74"/>
      <w:bookmarkStart w:id="110" w:name="OLE_LINK75"/>
    </w:p>
    <w:p w14:paraId="7F201411" w14:textId="559A3DAB" w:rsidR="00382CA4" w:rsidRPr="00955E19" w:rsidRDefault="00382CA4" w:rsidP="00152D36">
      <w:pPr>
        <w:spacing w:after="200"/>
        <w:jc w:val="both"/>
        <w:rPr>
          <w:sz w:val="20"/>
        </w:rPr>
      </w:pPr>
      <w:r w:rsidRPr="00955E19">
        <w:rPr>
          <w:sz w:val="20"/>
        </w:rPr>
        <w:t>Валентина Николаева Димитрова е свързано лице с „Интерреклама” ЕООД, ЕИК 103863874, на което е Едноличен собственик на капитала. „Интерреклама” ЕООД, ЕИК 103863874, притежава 110 000 акции от капитала на “ГЛЕНМООР КЕПИТАЛ” АДСИЦ, представляващи 22 % от капитала на дружеството. Акциите са записани при учредяване на “ГЛЕНМООР КЕПИТАЛ” АДСИЦ.</w:t>
      </w:r>
    </w:p>
    <w:p w14:paraId="1C382B4E" w14:textId="179D8F9B" w:rsidR="00E175F2" w:rsidRPr="00955E19" w:rsidRDefault="00E175F2" w:rsidP="00152D36">
      <w:pPr>
        <w:spacing w:after="200"/>
        <w:jc w:val="both"/>
        <w:rPr>
          <w:sz w:val="20"/>
        </w:rPr>
      </w:pPr>
      <w:r w:rsidRPr="00955E19">
        <w:rPr>
          <w:sz w:val="20"/>
        </w:rPr>
        <w:t>Няма издаване на</w:t>
      </w:r>
      <w:r w:rsidR="00382CA4" w:rsidRPr="00955E19">
        <w:rPr>
          <w:sz w:val="20"/>
        </w:rPr>
        <w:t xml:space="preserve"> други</w:t>
      </w:r>
      <w:r w:rsidRPr="00955E19">
        <w:rPr>
          <w:sz w:val="20"/>
        </w:rPr>
        <w:t xml:space="preserve"> акции</w:t>
      </w:r>
      <w:r w:rsidR="00382CA4" w:rsidRPr="00955E19">
        <w:rPr>
          <w:sz w:val="20"/>
        </w:rPr>
        <w:t>, освен посочените,</w:t>
      </w:r>
      <w:r w:rsidRPr="00955E19">
        <w:rPr>
          <w:sz w:val="20"/>
        </w:rPr>
        <w:t xml:space="preserve"> на членовете на Съвета на директорите или свързани с тях лица от датата на регистрация на Дружеството в Търговския регистър до датата на настоящия Документ за предлаганите ценни книжа или опции, с които те имат правото да придобият акции в бъдеще.</w:t>
      </w:r>
    </w:p>
    <w:p w14:paraId="31E20C54" w14:textId="77777777" w:rsidR="00E175F2" w:rsidRPr="00955E19" w:rsidRDefault="00E175F2" w:rsidP="00152D36">
      <w:pPr>
        <w:spacing w:after="200"/>
        <w:jc w:val="both"/>
        <w:rPr>
          <w:sz w:val="20"/>
        </w:rPr>
      </w:pPr>
      <w:r w:rsidRPr="00955E19">
        <w:rPr>
          <w:sz w:val="20"/>
        </w:rPr>
        <w:t xml:space="preserve">Членовете на Съвета на директорите нямат право да придобиват ценни книжа от предстоящата емисия при различни от обявената емисионна стойност на акция условия на публичното предлагане. </w:t>
      </w:r>
    </w:p>
    <w:p w14:paraId="47FFC6CF" w14:textId="77777777" w:rsidR="00E175F2" w:rsidRPr="00955E19" w:rsidRDefault="00E175F2" w:rsidP="00152D36">
      <w:pPr>
        <w:spacing w:after="200"/>
        <w:jc w:val="both"/>
        <w:rPr>
          <w:sz w:val="20"/>
        </w:rPr>
      </w:pPr>
      <w:r w:rsidRPr="00955E19">
        <w:rPr>
          <w:sz w:val="20"/>
        </w:rPr>
        <w:t>Дружеството може да издава допълнителни обикновени акции при последващи увеличения на капитала. Съгласно българското законодателство Дружеството е длъжно да предложи тези обикновени акции на настоящите акционери съгласно правото им да придобият част от новите акции, съответстващи на дела им в капитала преди увеличението. Независимо от това, настоящите акционери могат да изберат да не участват в бъдещо емитиране на обикновени акции.</w:t>
      </w:r>
    </w:p>
    <w:p w14:paraId="3A7ADA4D" w14:textId="77777777" w:rsidR="00E175F2" w:rsidRPr="00955E19" w:rsidRDefault="00E175F2" w:rsidP="00675457">
      <w:pPr>
        <w:pStyle w:val="Heading2"/>
      </w:pPr>
      <w:bookmarkStart w:id="111" w:name="_Toc212867596"/>
      <w:bookmarkStart w:id="112" w:name="_Toc492995949"/>
      <w:bookmarkEnd w:id="109"/>
      <w:bookmarkEnd w:id="110"/>
      <w:r w:rsidRPr="00955E19">
        <w:t xml:space="preserve">5.4. </w:t>
      </w:r>
      <w:bookmarkEnd w:id="111"/>
      <w:r w:rsidRPr="00955E19">
        <w:t>ПЛАСИРАНЕ И ПОЕМАНЕ</w:t>
      </w:r>
      <w:bookmarkEnd w:id="112"/>
    </w:p>
    <w:p w14:paraId="1615936B" w14:textId="77777777" w:rsidR="00E175F2" w:rsidRPr="00955E19" w:rsidRDefault="00E175F2" w:rsidP="00152D36">
      <w:pPr>
        <w:pStyle w:val="Heading2"/>
        <w:spacing w:line="240" w:lineRule="auto"/>
        <w:jc w:val="both"/>
        <w:rPr>
          <w:b w:val="0"/>
          <w:spacing w:val="20"/>
        </w:rPr>
      </w:pPr>
      <w:bookmarkStart w:id="113" w:name="_Toc492995950"/>
      <w:r w:rsidRPr="00955E19">
        <w:rPr>
          <w:b w:val="0"/>
          <w:spacing w:val="20"/>
        </w:rPr>
        <w:t>5.4.1. Име и адрес на инвестиционния посредник, избран да обслужва увеличаването на капитала</w:t>
      </w:r>
      <w:bookmarkEnd w:id="113"/>
    </w:p>
    <w:p w14:paraId="54C5225F" w14:textId="07F79BB9" w:rsidR="00E175F2" w:rsidRPr="00955E19" w:rsidRDefault="00E175F2" w:rsidP="00152D36">
      <w:pPr>
        <w:spacing w:after="200"/>
        <w:jc w:val="both"/>
        <w:rPr>
          <w:sz w:val="20"/>
        </w:rPr>
      </w:pPr>
      <w:r w:rsidRPr="00955E19">
        <w:rPr>
          <w:sz w:val="20"/>
        </w:rPr>
        <w:t xml:space="preserve">Избраният да обслужва увеличението на капитала е инвестиционен посредник „ЪП ТРЕНД” ООД, със седалище и адрес на управление: </w:t>
      </w:r>
      <w:r w:rsidR="00A456B2" w:rsidRPr="00A456B2">
        <w:rPr>
          <w:sz w:val="20"/>
        </w:rPr>
        <w:t>Адрес: гр. София, р-н Лозен</w:t>
      </w:r>
      <w:r w:rsidR="00A456B2">
        <w:rPr>
          <w:sz w:val="20"/>
        </w:rPr>
        <w:t xml:space="preserve">ец, бул. Никола Й. Вапцаров № 6 </w:t>
      </w:r>
      <w:r w:rsidRPr="00955E19">
        <w:rPr>
          <w:sz w:val="20"/>
        </w:rPr>
        <w:t>– лицензиран инвестиционен посредник по смисъла на закона и отговарящ на изискванията на чл. 112б, ал. 1 от ЗППЦК, упълномощен от Съвета на директорите на “ГЛЕНМООР КЕПИТАЛ” АДСИЦ да обслужва увеличението на капитала.</w:t>
      </w:r>
    </w:p>
    <w:p w14:paraId="29C480B0" w14:textId="77777777" w:rsidR="00E175F2" w:rsidRPr="00955E19" w:rsidRDefault="00E175F2" w:rsidP="00152D36">
      <w:pPr>
        <w:spacing w:after="200"/>
        <w:jc w:val="both"/>
        <w:rPr>
          <w:sz w:val="20"/>
        </w:rPr>
      </w:pPr>
      <w:r w:rsidRPr="00955E19">
        <w:rPr>
          <w:sz w:val="20"/>
        </w:rPr>
        <w:t>ИП „ЪП ТРЕНД” ООД се е задължил да извърши необходимите действия във връзка с увеличението на капитала на Дружеството, включително като предложи, от името и за сметка на Дружеството, на акционерите на Дружеството и на институционални, и широк кръг инвеститори на територията на България, закупили права на регулирания пазар, да запишат акции от увеличението на капитала на Дружеството и заплатят емисионната им стойност.</w:t>
      </w:r>
    </w:p>
    <w:p w14:paraId="7289A22C" w14:textId="77777777" w:rsidR="00E175F2" w:rsidRPr="00955E19" w:rsidRDefault="00E175F2" w:rsidP="00152D36">
      <w:pPr>
        <w:spacing w:after="200"/>
        <w:jc w:val="both"/>
        <w:rPr>
          <w:sz w:val="20"/>
        </w:rPr>
      </w:pPr>
      <w:r w:rsidRPr="00955E19">
        <w:rPr>
          <w:sz w:val="20"/>
        </w:rPr>
        <w:t>ИП „ЪП ТРЕНД” ООД се е задължил да положи най-големи усилия за пласиране на настоящата емисия акции, но не се е задължил да закупи права и да запише част от общия брой предлагани акции, които не са записани от инвеститорите.</w:t>
      </w:r>
    </w:p>
    <w:p w14:paraId="251F61B4" w14:textId="77777777" w:rsidR="00E175F2" w:rsidRPr="00955E19" w:rsidRDefault="00E175F2" w:rsidP="00152D36">
      <w:pPr>
        <w:pStyle w:val="Heading2"/>
        <w:spacing w:line="240" w:lineRule="auto"/>
        <w:rPr>
          <w:b w:val="0"/>
          <w:spacing w:val="20"/>
        </w:rPr>
      </w:pPr>
      <w:bookmarkStart w:id="114" w:name="_Toc492995951"/>
      <w:r w:rsidRPr="00955E19">
        <w:rPr>
          <w:b w:val="0"/>
          <w:spacing w:val="20"/>
        </w:rPr>
        <w:t>5.4.2. Име и адрес на агенти по плащанията и депозитарни агенти.</w:t>
      </w:r>
      <w:bookmarkEnd w:id="114"/>
    </w:p>
    <w:p w14:paraId="3FF409A3" w14:textId="77777777" w:rsidR="00E175F2" w:rsidRPr="00955E19" w:rsidRDefault="00E175F2" w:rsidP="00152D36">
      <w:pPr>
        <w:spacing w:after="200"/>
        <w:jc w:val="both"/>
        <w:rPr>
          <w:sz w:val="20"/>
        </w:rPr>
      </w:pPr>
      <w:r w:rsidRPr="00955E19">
        <w:rPr>
          <w:sz w:val="20"/>
        </w:rPr>
        <w:t>Банката, в която ще се открие специалната набирателна сметка, по която ще се внася емисионната стойност на записваните акции, ще бъде посочена в Съобщението за публично предлагане по чл. 92а, ал. 1 от ЗППЦК.</w:t>
      </w:r>
    </w:p>
    <w:p w14:paraId="1022847D" w14:textId="77777777" w:rsidR="00E175F2" w:rsidRPr="00955E19" w:rsidRDefault="00E175F2" w:rsidP="00152D36">
      <w:pPr>
        <w:spacing w:after="200"/>
        <w:jc w:val="both"/>
        <w:rPr>
          <w:sz w:val="20"/>
        </w:rPr>
      </w:pPr>
      <w:r w:rsidRPr="00955E19">
        <w:rPr>
          <w:sz w:val="20"/>
        </w:rPr>
        <w:t>Депозитарна институция относно предлаганите акции и свързаните с тях права е „Централен депозитар” АД, със седалище и адрес на управление: гр. София, ул. „Три уши” № 10, ет. 4.</w:t>
      </w:r>
    </w:p>
    <w:p w14:paraId="174173D3" w14:textId="77777777" w:rsidR="00E175F2" w:rsidRPr="00955E19" w:rsidRDefault="00E175F2" w:rsidP="00152D36">
      <w:pPr>
        <w:pStyle w:val="Heading2"/>
        <w:spacing w:line="240" w:lineRule="auto"/>
        <w:rPr>
          <w:b w:val="0"/>
          <w:spacing w:val="20"/>
        </w:rPr>
      </w:pPr>
      <w:bookmarkStart w:id="115" w:name="_Toc492995952"/>
      <w:r w:rsidRPr="00955E19">
        <w:rPr>
          <w:b w:val="0"/>
          <w:spacing w:val="20"/>
        </w:rPr>
        <w:lastRenderedPageBreak/>
        <w:t>5.4.3. Име и адрес на субектите, съгласяващи се да поемат емисията</w:t>
      </w:r>
      <w:bookmarkEnd w:id="115"/>
    </w:p>
    <w:p w14:paraId="450512E9" w14:textId="77777777" w:rsidR="00E175F2" w:rsidRPr="00955E19" w:rsidRDefault="00E175F2" w:rsidP="00152D36">
      <w:pPr>
        <w:spacing w:after="200"/>
        <w:jc w:val="both"/>
        <w:rPr>
          <w:sz w:val="20"/>
        </w:rPr>
      </w:pPr>
      <w:r w:rsidRPr="00955E19">
        <w:rPr>
          <w:sz w:val="20"/>
        </w:rPr>
        <w:t>Не се предвижда поемане или учредяване на гаранция за предлаганата емисия акции. Не съществува план за разпространение или за дистрибуция на акциите между различни инвестиционни посредници.</w:t>
      </w:r>
    </w:p>
    <w:p w14:paraId="6EB34364" w14:textId="77777777" w:rsidR="00E175F2" w:rsidRPr="00955E19" w:rsidRDefault="00E175F2" w:rsidP="00251571">
      <w:pPr>
        <w:pStyle w:val="Heading1"/>
      </w:pPr>
      <w:bookmarkStart w:id="116" w:name="_Toc212867597"/>
      <w:bookmarkStart w:id="117" w:name="_Toc492995953"/>
      <w:r w:rsidRPr="00955E19">
        <w:t>6.</w:t>
      </w:r>
      <w:r w:rsidRPr="00955E19">
        <w:tab/>
        <w:t>ДОПУСКАНЕ ЗА ТЪРГОВИЯ НА РЕГУЛИРАН ПАЗАР</w:t>
      </w:r>
      <w:bookmarkEnd w:id="116"/>
      <w:bookmarkEnd w:id="117"/>
    </w:p>
    <w:p w14:paraId="6E2D4FDB" w14:textId="77777777" w:rsidR="00E175F2" w:rsidRPr="00955E19" w:rsidRDefault="00E175F2" w:rsidP="00152D36">
      <w:pPr>
        <w:pStyle w:val="Heading2"/>
        <w:spacing w:line="240" w:lineRule="auto"/>
        <w:rPr>
          <w:spacing w:val="20"/>
        </w:rPr>
      </w:pPr>
      <w:bookmarkStart w:id="118" w:name="_Toc212867598"/>
      <w:bookmarkStart w:id="119" w:name="_Toc492995954"/>
      <w:r w:rsidRPr="00955E19">
        <w:rPr>
          <w:spacing w:val="20"/>
        </w:rPr>
        <w:t>6.1. Регулиран пазар, на който Емитентът възнамерява да подаде заявление за приемане на емисията за търговия</w:t>
      </w:r>
      <w:bookmarkEnd w:id="118"/>
      <w:bookmarkEnd w:id="119"/>
    </w:p>
    <w:p w14:paraId="5B5D8090" w14:textId="0BA7154F" w:rsidR="00E175F2" w:rsidRPr="00955E19" w:rsidRDefault="00E175F2" w:rsidP="00152D36">
      <w:pPr>
        <w:spacing w:after="200"/>
        <w:jc w:val="both"/>
        <w:rPr>
          <w:sz w:val="20"/>
        </w:rPr>
      </w:pPr>
      <w:bookmarkStart w:id="120" w:name="OLE_LINK35"/>
      <w:bookmarkStart w:id="121" w:name="OLE_LINK36"/>
      <w:bookmarkStart w:id="122" w:name="OLE_LINK37"/>
      <w:r w:rsidRPr="00955E19">
        <w:rPr>
          <w:sz w:val="20"/>
        </w:rPr>
        <w:t xml:space="preserve">След приключване на публичното предлагане на акциите и в 7-дневен срок от вписването на увеличението на капитала в Търговския регистър, Дружеството ще подаде заявление до KФН за вписване на издадената емисия акции в регистъра по чл. 30, ал. 1, т. 3 от ЗКФН. След решението на КФН за вписване на емисията в регистъра, Дружеството ще подаде заявление за регистриране на емисията акции за търговия на „БФБ – София” АД. Търговията с акциите може да започне на определената от Съвета на директорите на БФБ дата, след регистрация на емисията нови акции на Емитента. Очаква се търговията с нови акции да започне на или около </w:t>
      </w:r>
      <w:r w:rsidR="00371C9F">
        <w:rPr>
          <w:sz w:val="20"/>
        </w:rPr>
        <w:t>09.03.2018</w:t>
      </w:r>
      <w:r w:rsidRPr="00955E19">
        <w:rPr>
          <w:sz w:val="20"/>
        </w:rPr>
        <w:t xml:space="preserve"> г.</w:t>
      </w:r>
    </w:p>
    <w:p w14:paraId="2D1A05D5" w14:textId="77777777" w:rsidR="00E175F2" w:rsidRPr="00955E19" w:rsidRDefault="00E175F2" w:rsidP="00152D36">
      <w:pPr>
        <w:spacing w:after="200"/>
        <w:jc w:val="both"/>
        <w:rPr>
          <w:sz w:val="20"/>
        </w:rPr>
      </w:pPr>
      <w:r w:rsidRPr="00955E19">
        <w:rPr>
          <w:sz w:val="20"/>
        </w:rPr>
        <w:t>Сделките с акции, издадени от публично дружество, регистрирано в България, са детайлно уредени в Закона за публичното предлагане на ценни книжа и наредбите по прилагането му, в Правилата на БФБ и Правилника на Централния депозитар. От 1 ноември 2007 г. ЗППЦК се измени с влизането в сила и на Закона за пазарите на финансови инструменти от 2007 г., въвеждащ изискванията на Директива 2004/39/ЕИО за пазарите на финансови инструменти, като в частност отпада условието сделки с акции на публични дружества да се извършват задължително на регулиран пазар на ценни книжа.</w:t>
      </w:r>
    </w:p>
    <w:p w14:paraId="5A5E76F9" w14:textId="77777777" w:rsidR="00E175F2" w:rsidRPr="00955E19" w:rsidRDefault="00E175F2" w:rsidP="00152D36">
      <w:pPr>
        <w:pStyle w:val="Heading2"/>
        <w:spacing w:before="360" w:line="240" w:lineRule="auto"/>
        <w:jc w:val="both"/>
        <w:rPr>
          <w:spacing w:val="20"/>
        </w:rPr>
      </w:pPr>
      <w:bookmarkStart w:id="123" w:name="_Toc322432169"/>
      <w:bookmarkStart w:id="124" w:name="_Toc492995955"/>
      <w:bookmarkEnd w:id="120"/>
      <w:bookmarkEnd w:id="121"/>
      <w:bookmarkEnd w:id="122"/>
      <w:r w:rsidRPr="00955E19">
        <w:rPr>
          <w:spacing w:val="20"/>
        </w:rPr>
        <w:t>6.2. Регулирани пазари или равностойни пазари, на които ценни книжа от същия клас на ценните книжа, които ще бъдат предлагани, вече са допуснати до търговия.</w:t>
      </w:r>
      <w:bookmarkEnd w:id="123"/>
      <w:bookmarkEnd w:id="124"/>
    </w:p>
    <w:p w14:paraId="750709F1" w14:textId="77777777" w:rsidR="00E175F2" w:rsidRPr="00955E19" w:rsidRDefault="00E175F2" w:rsidP="00152D36">
      <w:pPr>
        <w:spacing w:after="200"/>
        <w:jc w:val="both"/>
        <w:rPr>
          <w:sz w:val="20"/>
        </w:rPr>
      </w:pPr>
      <w:r w:rsidRPr="00955E19">
        <w:rPr>
          <w:sz w:val="20"/>
        </w:rPr>
        <w:t>Към настоящия момент няма ценни книжа с Емитент “ГЛЕНМООР КЕПИТАЛ” АДСИЦ, от същия клас, като предлаганите с този Проспект обикновени акции, които вече да са допуснати до търговия на Регулирания пазар.</w:t>
      </w:r>
    </w:p>
    <w:p w14:paraId="2A155A70" w14:textId="77777777" w:rsidR="00E175F2" w:rsidRPr="00955E19" w:rsidRDefault="00E175F2" w:rsidP="00152D36">
      <w:pPr>
        <w:pStyle w:val="Heading2"/>
        <w:spacing w:before="360" w:line="240" w:lineRule="auto"/>
        <w:rPr>
          <w:spacing w:val="20"/>
        </w:rPr>
      </w:pPr>
      <w:bookmarkStart w:id="125" w:name="_Toc212867599"/>
      <w:bookmarkStart w:id="126" w:name="_Toc492995956"/>
      <w:r w:rsidRPr="00955E19">
        <w:rPr>
          <w:spacing w:val="20"/>
        </w:rPr>
        <w:t>6.3. Информация за друга публична или частна подписка за ценни книжа от същия или от друг клас, която се организира едновременно с издаването на акциите, за които ще се иска приемане на регулиран пазар</w:t>
      </w:r>
      <w:bookmarkEnd w:id="125"/>
      <w:bookmarkEnd w:id="126"/>
      <w:r w:rsidRPr="00955E19">
        <w:rPr>
          <w:spacing w:val="20"/>
        </w:rPr>
        <w:t xml:space="preserve"> </w:t>
      </w:r>
    </w:p>
    <w:p w14:paraId="103B4625" w14:textId="77777777" w:rsidR="00E175F2" w:rsidRPr="00955E19" w:rsidRDefault="00E175F2" w:rsidP="00152D36">
      <w:pPr>
        <w:spacing w:after="200"/>
        <w:jc w:val="both"/>
        <w:rPr>
          <w:sz w:val="20"/>
        </w:rPr>
      </w:pPr>
      <w:r w:rsidRPr="00955E19">
        <w:rPr>
          <w:sz w:val="20"/>
        </w:rPr>
        <w:t>Няма друга публична или частна подписка за ценни книжа от същия или от друг клас, която да се организира едновременно с издаването на акциите, които се предлагат с настоящия документ за предлаганите акции и за които ще се иска приемане на „БФБ – София” АД.</w:t>
      </w:r>
    </w:p>
    <w:p w14:paraId="4CFEA98B" w14:textId="77777777" w:rsidR="00E175F2" w:rsidRPr="00955E19" w:rsidRDefault="00E175F2" w:rsidP="00152D36">
      <w:pPr>
        <w:pStyle w:val="Heading2"/>
        <w:spacing w:before="360" w:line="240" w:lineRule="auto"/>
        <w:rPr>
          <w:spacing w:val="20"/>
        </w:rPr>
      </w:pPr>
      <w:bookmarkStart w:id="127" w:name="_Toc212867600"/>
      <w:bookmarkStart w:id="128" w:name="_Toc492995957"/>
      <w:r w:rsidRPr="00955E19">
        <w:rPr>
          <w:spacing w:val="20"/>
        </w:rPr>
        <w:t>6.4. субектите, които имат твърд ангажимент да действат като посредници на вторичния пазар, предоставяйки ликвидност чрез цените на търсенето и предлагането</w:t>
      </w:r>
      <w:bookmarkEnd w:id="127"/>
      <w:bookmarkEnd w:id="128"/>
    </w:p>
    <w:p w14:paraId="60BB2ADC" w14:textId="77777777" w:rsidR="00E175F2" w:rsidRPr="00955E19" w:rsidRDefault="00E175F2" w:rsidP="00152D36">
      <w:pPr>
        <w:spacing w:after="200"/>
        <w:jc w:val="both"/>
        <w:rPr>
          <w:sz w:val="20"/>
        </w:rPr>
      </w:pPr>
      <w:r w:rsidRPr="00955E19">
        <w:rPr>
          <w:sz w:val="20"/>
        </w:rPr>
        <w:t>Емитентът не е ангажирал инвестиционни посредници, които да поемат задължение да осигуряват ликвидност на емисията чрез котировки купува и продава.</w:t>
      </w:r>
    </w:p>
    <w:p w14:paraId="0768334F" w14:textId="77777777" w:rsidR="00E175F2" w:rsidRPr="00955E19" w:rsidRDefault="00E175F2" w:rsidP="00152D36">
      <w:pPr>
        <w:pStyle w:val="Heading2"/>
        <w:spacing w:before="360" w:line="240" w:lineRule="auto"/>
        <w:rPr>
          <w:spacing w:val="20"/>
        </w:rPr>
      </w:pPr>
      <w:bookmarkStart w:id="129" w:name="_Toc322432172"/>
      <w:bookmarkStart w:id="130" w:name="_Toc492995958"/>
      <w:r w:rsidRPr="00955E19">
        <w:rPr>
          <w:spacing w:val="20"/>
        </w:rPr>
        <w:t>6.5. Стабилизация</w:t>
      </w:r>
      <w:bookmarkEnd w:id="129"/>
      <w:bookmarkEnd w:id="130"/>
    </w:p>
    <w:p w14:paraId="43851B11" w14:textId="77777777" w:rsidR="00E175F2" w:rsidRPr="00955E19" w:rsidRDefault="00E175F2" w:rsidP="00152D36">
      <w:pPr>
        <w:spacing w:after="200"/>
        <w:jc w:val="both"/>
        <w:rPr>
          <w:sz w:val="20"/>
        </w:rPr>
      </w:pPr>
      <w:r w:rsidRPr="00955E19">
        <w:rPr>
          <w:sz w:val="20"/>
        </w:rPr>
        <w:t>Емитентът не е дал опция за превишаване размера на настоящото публично предлагане и не се предвиждат действия за ценово стабилизиране във връзка с настоящото публично предлагане.</w:t>
      </w:r>
    </w:p>
    <w:p w14:paraId="646C2BF2" w14:textId="77777777" w:rsidR="00E175F2" w:rsidRPr="00955E19" w:rsidRDefault="00E175F2" w:rsidP="00251571">
      <w:pPr>
        <w:pStyle w:val="Heading1"/>
      </w:pPr>
      <w:bookmarkStart w:id="131" w:name="_Toc212867601"/>
      <w:bookmarkStart w:id="132" w:name="_Toc492995959"/>
      <w:r w:rsidRPr="00955E19">
        <w:t>7.</w:t>
      </w:r>
      <w:r w:rsidRPr="00955E19">
        <w:tab/>
        <w:t>ПРИТЕЖАТЕЛИ НА ЦЕННИ КНИЖА – ПРОДАВАЧИ ПРИ ПУБЛИЧНОТО ПРЕДЛАГАНЕ</w:t>
      </w:r>
      <w:bookmarkEnd w:id="131"/>
      <w:bookmarkEnd w:id="132"/>
      <w:r w:rsidRPr="00955E19">
        <w:t xml:space="preserve"> </w:t>
      </w:r>
    </w:p>
    <w:p w14:paraId="24DEDBC6" w14:textId="77777777" w:rsidR="00E175F2" w:rsidRPr="00955E19" w:rsidRDefault="00E175F2" w:rsidP="00152D36">
      <w:pPr>
        <w:pStyle w:val="Heading2"/>
        <w:spacing w:before="360" w:line="240" w:lineRule="auto"/>
        <w:rPr>
          <w:spacing w:val="20"/>
        </w:rPr>
      </w:pPr>
      <w:bookmarkStart w:id="133" w:name="_Toc492995960"/>
      <w:r w:rsidRPr="00955E19">
        <w:rPr>
          <w:spacing w:val="20"/>
        </w:rPr>
        <w:t>7.1. субект, предлагащ за продажба ценните книжа</w:t>
      </w:r>
      <w:bookmarkEnd w:id="133"/>
    </w:p>
    <w:p w14:paraId="14A2143F" w14:textId="3FFA8160" w:rsidR="00E175F2" w:rsidRPr="00955E19" w:rsidRDefault="00E175F2" w:rsidP="00152D36">
      <w:pPr>
        <w:spacing w:after="200"/>
        <w:jc w:val="both"/>
        <w:rPr>
          <w:sz w:val="20"/>
        </w:rPr>
      </w:pPr>
      <w:bookmarkStart w:id="134" w:name="OLE_LINK73"/>
      <w:r w:rsidRPr="00955E19">
        <w:rPr>
          <w:sz w:val="20"/>
        </w:rPr>
        <w:t xml:space="preserve">Акциите от увеличението на капитала на “ГЛЕНМООР КЕПИТАЛ” АДСИЦ се предлагат за записване от Инвестиционен посредник „ЪП ТРЕНД” ООД, със седалище и адрес на управление: </w:t>
      </w:r>
      <w:r w:rsidR="00A456B2" w:rsidRPr="00A456B2">
        <w:rPr>
          <w:sz w:val="20"/>
        </w:rPr>
        <w:t>Адрес: гр. София, р-н Лозен</w:t>
      </w:r>
      <w:r w:rsidR="00A456B2">
        <w:rPr>
          <w:sz w:val="20"/>
        </w:rPr>
        <w:t>ец, бул. Никола Й. Вапцаров № 6</w:t>
      </w:r>
      <w:r w:rsidRPr="00955E19">
        <w:rPr>
          <w:sz w:val="20"/>
        </w:rPr>
        <w:t xml:space="preserve">. </w:t>
      </w:r>
    </w:p>
    <w:p w14:paraId="28EF7C25" w14:textId="77777777" w:rsidR="00E175F2" w:rsidRPr="00955E19" w:rsidRDefault="00E175F2" w:rsidP="00152D36">
      <w:pPr>
        <w:spacing w:after="200"/>
        <w:jc w:val="both"/>
        <w:rPr>
          <w:sz w:val="20"/>
        </w:rPr>
      </w:pPr>
      <w:r w:rsidRPr="00955E19">
        <w:rPr>
          <w:sz w:val="20"/>
        </w:rPr>
        <w:lastRenderedPageBreak/>
        <w:t>Правата могат да се предлагат за продажба и от лицата, придобили права чрез покупка на вторичния пазар.</w:t>
      </w:r>
    </w:p>
    <w:p w14:paraId="067A6752" w14:textId="77777777" w:rsidR="00E175F2" w:rsidRPr="00955E19" w:rsidRDefault="00E175F2" w:rsidP="00152D36">
      <w:pPr>
        <w:pStyle w:val="Heading2"/>
        <w:spacing w:before="360" w:line="240" w:lineRule="auto"/>
        <w:rPr>
          <w:spacing w:val="20"/>
        </w:rPr>
      </w:pPr>
      <w:bookmarkStart w:id="135" w:name="_Toc492995961"/>
      <w:r w:rsidRPr="00955E19">
        <w:rPr>
          <w:spacing w:val="20"/>
        </w:rPr>
        <w:t>7.2. Брой и клас на ценните книжа, които се предлагат от държателите</w:t>
      </w:r>
      <w:bookmarkEnd w:id="135"/>
    </w:p>
    <w:p w14:paraId="20DA5A08" w14:textId="08420AA8" w:rsidR="00E175F2" w:rsidRPr="00955E19" w:rsidRDefault="00E175F2" w:rsidP="00152D36">
      <w:pPr>
        <w:jc w:val="both"/>
      </w:pPr>
      <w:r w:rsidRPr="00955E19">
        <w:rPr>
          <w:sz w:val="20"/>
        </w:rPr>
        <w:t xml:space="preserve">Акциите от увеличението на капитала на “ГЛЕНМООР КЕПИТАЛ” АДСИЦ не се предлагат за записване от държатели/собственици на ценни книжа, а се предлагат за записване от Инвестиционен посредник „ЪП ТРЕНД” ООД, със седалище и адрес на управление: </w:t>
      </w:r>
      <w:r w:rsidR="00A456B2" w:rsidRPr="00A456B2">
        <w:rPr>
          <w:sz w:val="20"/>
        </w:rPr>
        <w:t>Адрес: гр. София, р-н Лозен</w:t>
      </w:r>
      <w:r w:rsidR="00A456B2">
        <w:rPr>
          <w:sz w:val="20"/>
        </w:rPr>
        <w:t>ец, бул. Никола Й. Вапцаров № 6</w:t>
      </w:r>
      <w:r w:rsidRPr="00955E19">
        <w:rPr>
          <w:sz w:val="20"/>
        </w:rPr>
        <w:t>.</w:t>
      </w:r>
    </w:p>
    <w:p w14:paraId="73BCA2F2" w14:textId="77777777" w:rsidR="00E175F2" w:rsidRPr="00955E19" w:rsidRDefault="00E175F2" w:rsidP="00152D36">
      <w:pPr>
        <w:pStyle w:val="Heading2"/>
        <w:spacing w:before="360" w:line="240" w:lineRule="auto"/>
        <w:rPr>
          <w:spacing w:val="20"/>
        </w:rPr>
      </w:pPr>
      <w:bookmarkStart w:id="136" w:name="_Toc492995962"/>
      <w:r w:rsidRPr="00955E19">
        <w:rPr>
          <w:spacing w:val="20"/>
        </w:rPr>
        <w:t>7.3. Споразумения за замразяване на капитала</w:t>
      </w:r>
      <w:bookmarkEnd w:id="136"/>
    </w:p>
    <w:p w14:paraId="26C4070A" w14:textId="77777777" w:rsidR="00E175F2" w:rsidRPr="00955E19" w:rsidRDefault="00E175F2" w:rsidP="00152D36">
      <w:pPr>
        <w:spacing w:after="200"/>
        <w:jc w:val="both"/>
        <w:rPr>
          <w:sz w:val="20"/>
        </w:rPr>
      </w:pPr>
      <w:r w:rsidRPr="00955E19">
        <w:rPr>
          <w:sz w:val="20"/>
        </w:rPr>
        <w:t>Не са налице споразумения за замразяване на капитала.</w:t>
      </w:r>
    </w:p>
    <w:p w14:paraId="494EDE7A" w14:textId="77777777" w:rsidR="00E175F2" w:rsidRPr="00955E19" w:rsidRDefault="00E175F2" w:rsidP="00251571">
      <w:pPr>
        <w:pStyle w:val="Heading1"/>
        <w:rPr>
          <w:iCs/>
        </w:rPr>
      </w:pPr>
      <w:bookmarkStart w:id="137" w:name="_Toc212867602"/>
      <w:bookmarkStart w:id="138" w:name="_Toc492995963"/>
      <w:bookmarkEnd w:id="134"/>
      <w:r w:rsidRPr="00955E19">
        <w:t>8.</w:t>
      </w:r>
      <w:r w:rsidRPr="00955E19">
        <w:tab/>
        <w:t>РАЗХОДИ НА ЕМИТЕНТА ПО ПУБЛИЧНОТО ПРЕДЛАГАНЕ</w:t>
      </w:r>
      <w:bookmarkEnd w:id="137"/>
      <w:bookmarkEnd w:id="138"/>
      <w:r w:rsidRPr="00955E19">
        <w:t xml:space="preserve"> </w:t>
      </w:r>
      <w:bookmarkStart w:id="139" w:name="OLE_LINK44"/>
      <w:bookmarkStart w:id="140" w:name="OLE_LINK45"/>
      <w:bookmarkStart w:id="141" w:name="OLE_LINK46"/>
    </w:p>
    <w:p w14:paraId="71B9D1F9" w14:textId="77777777" w:rsidR="00E175F2" w:rsidRPr="00955E19" w:rsidRDefault="00E175F2" w:rsidP="00152D36">
      <w:pPr>
        <w:pStyle w:val="Heading2"/>
        <w:spacing w:line="240" w:lineRule="auto"/>
        <w:rPr>
          <w:spacing w:val="20"/>
        </w:rPr>
      </w:pPr>
      <w:bookmarkStart w:id="142" w:name="_Toc492995964"/>
      <w:r w:rsidRPr="00955E19">
        <w:rPr>
          <w:spacing w:val="20"/>
        </w:rPr>
        <w:t>8.1. Общи нетни постъпления и приблизителна стойност на общите разходи на емитента</w:t>
      </w:r>
      <w:bookmarkEnd w:id="142"/>
      <w:r w:rsidRPr="00955E19">
        <w:rPr>
          <w:spacing w:val="20"/>
        </w:rPr>
        <w:t xml:space="preserve"> </w:t>
      </w:r>
    </w:p>
    <w:p w14:paraId="00B92DA1" w14:textId="01E423B1" w:rsidR="00E175F2" w:rsidRPr="00955E19" w:rsidRDefault="00E175F2" w:rsidP="00787538">
      <w:pPr>
        <w:spacing w:after="120"/>
        <w:jc w:val="both"/>
        <w:rPr>
          <w:color w:val="000000"/>
          <w:sz w:val="20"/>
          <w:lang w:eastAsia="bg-BG"/>
        </w:rPr>
      </w:pPr>
      <w:r w:rsidRPr="00955E19">
        <w:rPr>
          <w:sz w:val="20"/>
        </w:rPr>
        <w:t xml:space="preserve">Очакваната нетна сума от предлагането, при условие, че бъде записан целият размер на предлаганата емисия акции, след приспадане на разходите по неговото извършване, е в размер на </w:t>
      </w:r>
      <w:r w:rsidR="005069FF" w:rsidRPr="00955E19">
        <w:rPr>
          <w:color w:val="000000"/>
          <w:sz w:val="20"/>
          <w:lang w:eastAsia="bg-BG"/>
        </w:rPr>
        <w:t>125 588</w:t>
      </w:r>
      <w:r w:rsidRPr="00955E19">
        <w:rPr>
          <w:color w:val="000000"/>
          <w:sz w:val="20"/>
          <w:lang w:eastAsia="bg-BG"/>
        </w:rPr>
        <w:t xml:space="preserve"> </w:t>
      </w:r>
      <w:r w:rsidRPr="00955E19">
        <w:rPr>
          <w:sz w:val="20"/>
        </w:rPr>
        <w:t>лева.</w:t>
      </w:r>
    </w:p>
    <w:p w14:paraId="5B1829D1" w14:textId="0A48EFEA" w:rsidR="00E175F2" w:rsidRPr="00955E19" w:rsidRDefault="00E175F2" w:rsidP="00152D36">
      <w:pPr>
        <w:spacing w:after="200"/>
        <w:jc w:val="both"/>
        <w:rPr>
          <w:sz w:val="20"/>
        </w:rPr>
      </w:pPr>
      <w:r w:rsidRPr="00955E19">
        <w:rPr>
          <w:sz w:val="20"/>
        </w:rPr>
        <w:t xml:space="preserve">За изпълнението на задълженията си по предлагане и обслужване на емисията ценни книжа ИП „ЪП ТРЕНД” OOД, гр. София, получава от “ГЛЕНМООР КЕПИТАЛ” АДСИЦ възнаграждение в размер на </w:t>
      </w:r>
      <w:r w:rsidR="005B5922" w:rsidRPr="00955E19">
        <w:rPr>
          <w:sz w:val="20"/>
        </w:rPr>
        <w:t>21 6</w:t>
      </w:r>
      <w:r w:rsidRPr="00955E19">
        <w:rPr>
          <w:sz w:val="20"/>
        </w:rPr>
        <w:t>00 лева с включен ДДС, платимо по сметка на ИП „ЪП ТРЕНД” OOД. Печалбата, ако има такава, от продажбата на правата, е за емитента. Разходите на Инвестиционния посредник, ако има такива, се приспадат.</w:t>
      </w:r>
    </w:p>
    <w:p w14:paraId="490916D6" w14:textId="77777777" w:rsidR="00E175F2" w:rsidRPr="00955E19" w:rsidRDefault="00E175F2" w:rsidP="00152D36">
      <w:pPr>
        <w:spacing w:after="200"/>
        <w:jc w:val="both"/>
        <w:rPr>
          <w:sz w:val="20"/>
        </w:rPr>
      </w:pPr>
      <w:r w:rsidRPr="00955E19">
        <w:rPr>
          <w:sz w:val="20"/>
        </w:rPr>
        <w:t xml:space="preserve">В следващата таблица са посочени по статии основните разходи, пряко свързани с публичното предлагане на ценните книжа и не са включени разходите, които се отнасят до цялостната дейност на Дружеството. </w:t>
      </w:r>
    </w:p>
    <w:p w14:paraId="7CBDE1DC" w14:textId="77777777" w:rsidR="00E175F2" w:rsidRPr="00955E19" w:rsidRDefault="00E175F2" w:rsidP="00152D36">
      <w:pPr>
        <w:spacing w:after="200"/>
        <w:jc w:val="both"/>
        <w:rPr>
          <w:sz w:val="20"/>
        </w:rPr>
      </w:pPr>
      <w:r w:rsidRPr="00955E19">
        <w:rPr>
          <w:sz w:val="20"/>
        </w:rPr>
        <w:t>Всички посочени по-долу разходи са за сметка на Дружеството. Посочени са тези разходи, които се очаква да възникнат във връзка с увеличението на капитала.</w:t>
      </w:r>
    </w:p>
    <w:p w14:paraId="1B8EB820" w14:textId="77777777" w:rsidR="00E175F2" w:rsidRPr="00955E19" w:rsidRDefault="00E175F2" w:rsidP="00152D36">
      <w:pPr>
        <w:spacing w:after="200"/>
        <w:jc w:val="both"/>
        <w:rPr>
          <w:sz w:val="20"/>
        </w:rPr>
      </w:pPr>
      <w:r w:rsidRPr="00955E19">
        <w:rPr>
          <w:b/>
          <w:sz w:val="20"/>
        </w:rPr>
        <w:t>Таблица № 7.</w:t>
      </w:r>
      <w:r w:rsidRPr="00955E19">
        <w:rPr>
          <w:sz w:val="20"/>
        </w:rPr>
        <w:t xml:space="preserve"> Разходи по предлагането </w:t>
      </w:r>
    </w:p>
    <w:tbl>
      <w:tblPr>
        <w:tblW w:w="5000" w:type="pct"/>
        <w:tblCellMar>
          <w:left w:w="30" w:type="dxa"/>
          <w:right w:w="30" w:type="dxa"/>
        </w:tblCellMar>
        <w:tblLook w:val="0000" w:firstRow="0" w:lastRow="0" w:firstColumn="0" w:lastColumn="0" w:noHBand="0" w:noVBand="0"/>
      </w:tblPr>
      <w:tblGrid>
        <w:gridCol w:w="7578"/>
        <w:gridCol w:w="1508"/>
      </w:tblGrid>
      <w:tr w:rsidR="00E175F2" w:rsidRPr="00955E19" w14:paraId="190AB73B" w14:textId="77777777" w:rsidTr="004C41BC">
        <w:trPr>
          <w:trHeight w:val="306"/>
        </w:trPr>
        <w:tc>
          <w:tcPr>
            <w:tcW w:w="4170" w:type="pct"/>
            <w:tcBorders>
              <w:top w:val="single" w:sz="4" w:space="0" w:color="auto"/>
              <w:left w:val="single" w:sz="4" w:space="0" w:color="auto"/>
              <w:bottom w:val="single" w:sz="4" w:space="0" w:color="auto"/>
              <w:right w:val="dotted" w:sz="2" w:space="0" w:color="auto"/>
            </w:tcBorders>
            <w:vAlign w:val="center"/>
          </w:tcPr>
          <w:p w14:paraId="4D3A5933" w14:textId="77777777" w:rsidR="00E175F2" w:rsidRPr="00955E19" w:rsidRDefault="00E175F2" w:rsidP="00146B47">
            <w:pPr>
              <w:rPr>
                <w:b/>
                <w:smallCaps/>
                <w:snapToGrid w:val="0"/>
                <w:spacing w:val="20"/>
                <w:sz w:val="20"/>
              </w:rPr>
            </w:pPr>
            <w:r w:rsidRPr="00955E19">
              <w:rPr>
                <w:b/>
                <w:smallCaps/>
                <w:snapToGrid w:val="0"/>
                <w:spacing w:val="20"/>
                <w:sz w:val="20"/>
              </w:rPr>
              <w:t>Разходи за външни услуги</w:t>
            </w:r>
          </w:p>
        </w:tc>
        <w:tc>
          <w:tcPr>
            <w:tcW w:w="830" w:type="pct"/>
            <w:tcBorders>
              <w:top w:val="single" w:sz="4" w:space="0" w:color="auto"/>
              <w:left w:val="dotted" w:sz="2" w:space="0" w:color="auto"/>
              <w:bottom w:val="single" w:sz="4" w:space="0" w:color="auto"/>
              <w:right w:val="single" w:sz="4" w:space="0" w:color="auto"/>
            </w:tcBorders>
            <w:vAlign w:val="center"/>
          </w:tcPr>
          <w:p w14:paraId="527CCE7F" w14:textId="77777777" w:rsidR="00E175F2" w:rsidRPr="00955E19" w:rsidRDefault="00E175F2" w:rsidP="00146B47">
            <w:pPr>
              <w:rPr>
                <w:smallCaps/>
                <w:snapToGrid w:val="0"/>
                <w:spacing w:val="20"/>
                <w:sz w:val="20"/>
              </w:rPr>
            </w:pPr>
          </w:p>
        </w:tc>
      </w:tr>
      <w:tr w:rsidR="00E175F2" w:rsidRPr="00955E19" w14:paraId="6D310174" w14:textId="77777777" w:rsidTr="004C41BC">
        <w:trPr>
          <w:trHeight w:val="512"/>
        </w:trPr>
        <w:tc>
          <w:tcPr>
            <w:tcW w:w="4170" w:type="pct"/>
            <w:tcBorders>
              <w:top w:val="single" w:sz="4" w:space="0" w:color="auto"/>
              <w:left w:val="single" w:sz="4" w:space="0" w:color="auto"/>
              <w:bottom w:val="dotted" w:sz="2" w:space="0" w:color="auto"/>
              <w:right w:val="dotted" w:sz="2" w:space="0" w:color="auto"/>
            </w:tcBorders>
            <w:vAlign w:val="center"/>
          </w:tcPr>
          <w:p w14:paraId="4B2404C9" w14:textId="77777777" w:rsidR="00E175F2" w:rsidRPr="00955E19" w:rsidRDefault="00E175F2" w:rsidP="00146B47">
            <w:pPr>
              <w:rPr>
                <w:snapToGrid w:val="0"/>
                <w:sz w:val="20"/>
              </w:rPr>
            </w:pPr>
            <w:r w:rsidRPr="00955E19">
              <w:rPr>
                <w:snapToGrid w:val="0"/>
                <w:sz w:val="20"/>
              </w:rPr>
              <w:t xml:space="preserve">Възнаграждение на упълномощения инвестиционен посредник </w:t>
            </w:r>
          </w:p>
        </w:tc>
        <w:tc>
          <w:tcPr>
            <w:tcW w:w="830" w:type="pct"/>
            <w:tcBorders>
              <w:top w:val="single" w:sz="4" w:space="0" w:color="auto"/>
              <w:left w:val="dotted" w:sz="2" w:space="0" w:color="auto"/>
              <w:bottom w:val="dotted" w:sz="2" w:space="0" w:color="auto"/>
              <w:right w:val="single" w:sz="4" w:space="0" w:color="auto"/>
            </w:tcBorders>
            <w:vAlign w:val="center"/>
          </w:tcPr>
          <w:p w14:paraId="3FD86F42" w14:textId="5A62547E" w:rsidR="00E175F2" w:rsidRPr="00955E19" w:rsidRDefault="005B5922" w:rsidP="005B5922">
            <w:pPr>
              <w:jc w:val="right"/>
              <w:rPr>
                <w:snapToGrid w:val="0"/>
                <w:sz w:val="20"/>
              </w:rPr>
            </w:pPr>
            <w:r w:rsidRPr="00955E19">
              <w:rPr>
                <w:snapToGrid w:val="0"/>
                <w:sz w:val="20"/>
              </w:rPr>
              <w:t>21 600</w:t>
            </w:r>
            <w:r w:rsidR="00E175F2" w:rsidRPr="00955E19">
              <w:rPr>
                <w:snapToGrid w:val="0"/>
                <w:sz w:val="20"/>
              </w:rPr>
              <w:t xml:space="preserve"> лв.</w:t>
            </w:r>
          </w:p>
        </w:tc>
      </w:tr>
      <w:tr w:rsidR="00E175F2" w:rsidRPr="00955E19" w14:paraId="516F7DFC" w14:textId="77777777" w:rsidTr="004C41BC">
        <w:trPr>
          <w:trHeight w:val="512"/>
        </w:trPr>
        <w:tc>
          <w:tcPr>
            <w:tcW w:w="4170" w:type="pct"/>
            <w:tcBorders>
              <w:top w:val="dotted" w:sz="2" w:space="0" w:color="auto"/>
              <w:left w:val="single" w:sz="4" w:space="0" w:color="auto"/>
              <w:bottom w:val="dotted" w:sz="2" w:space="0" w:color="auto"/>
              <w:right w:val="dotted" w:sz="2" w:space="0" w:color="auto"/>
            </w:tcBorders>
            <w:vAlign w:val="center"/>
          </w:tcPr>
          <w:p w14:paraId="0C11AE1D" w14:textId="3455A2EA" w:rsidR="00E175F2" w:rsidRPr="00955E19" w:rsidRDefault="00E175F2" w:rsidP="00146B47">
            <w:pPr>
              <w:pStyle w:val="Default"/>
              <w:autoSpaceDE/>
              <w:autoSpaceDN/>
              <w:adjustRightInd/>
              <w:rPr>
                <w:snapToGrid w:val="0"/>
                <w:color w:val="auto"/>
                <w:sz w:val="20"/>
                <w:szCs w:val="20"/>
                <w:lang w:val="bg-BG"/>
              </w:rPr>
            </w:pPr>
            <w:r w:rsidRPr="00955E19">
              <w:rPr>
                <w:snapToGrid w:val="0"/>
                <w:color w:val="auto"/>
                <w:sz w:val="20"/>
                <w:szCs w:val="20"/>
                <w:lang w:val="bg-BG"/>
              </w:rPr>
              <w:t xml:space="preserve">Публикация на съобщение за увеличение на капитала в </w:t>
            </w:r>
            <w:r w:rsidR="0077009E" w:rsidRPr="00955E19">
              <w:rPr>
                <w:snapToGrid w:val="0"/>
                <w:color w:val="auto"/>
                <w:sz w:val="20"/>
                <w:szCs w:val="20"/>
                <w:lang w:val="bg-BG"/>
              </w:rPr>
              <w:t xml:space="preserve">един </w:t>
            </w:r>
            <w:r w:rsidRPr="00955E19">
              <w:rPr>
                <w:snapToGrid w:val="0"/>
                <w:color w:val="auto"/>
                <w:sz w:val="20"/>
                <w:szCs w:val="20"/>
                <w:lang w:val="bg-BG"/>
              </w:rPr>
              <w:t>централ</w:t>
            </w:r>
            <w:r w:rsidR="0077009E" w:rsidRPr="00955E19">
              <w:rPr>
                <w:snapToGrid w:val="0"/>
                <w:color w:val="auto"/>
                <w:sz w:val="20"/>
                <w:szCs w:val="20"/>
                <w:lang w:val="bg-BG"/>
              </w:rPr>
              <w:t>е</w:t>
            </w:r>
            <w:r w:rsidRPr="00955E19">
              <w:rPr>
                <w:snapToGrid w:val="0"/>
                <w:color w:val="auto"/>
                <w:sz w:val="20"/>
                <w:szCs w:val="20"/>
                <w:lang w:val="bg-BG"/>
              </w:rPr>
              <w:t>н ежедневник</w:t>
            </w:r>
            <w:r w:rsidR="0077009E" w:rsidRPr="00955E19">
              <w:rPr>
                <w:snapToGrid w:val="0"/>
                <w:color w:val="auto"/>
                <w:sz w:val="20"/>
                <w:szCs w:val="20"/>
                <w:lang w:val="bg-BG"/>
              </w:rPr>
              <w:t xml:space="preserve"> </w:t>
            </w:r>
            <w:r w:rsidRPr="00955E19">
              <w:rPr>
                <w:snapToGrid w:val="0"/>
                <w:color w:val="auto"/>
                <w:sz w:val="20"/>
                <w:szCs w:val="20"/>
                <w:lang w:val="bg-BG"/>
              </w:rPr>
              <w:t>(прогнозна стойност)</w:t>
            </w:r>
          </w:p>
        </w:tc>
        <w:tc>
          <w:tcPr>
            <w:tcW w:w="830" w:type="pct"/>
            <w:tcBorders>
              <w:top w:val="dotted" w:sz="2" w:space="0" w:color="auto"/>
              <w:left w:val="dotted" w:sz="2" w:space="0" w:color="auto"/>
              <w:bottom w:val="dotted" w:sz="2" w:space="0" w:color="auto"/>
              <w:right w:val="single" w:sz="4" w:space="0" w:color="auto"/>
            </w:tcBorders>
            <w:vAlign w:val="center"/>
          </w:tcPr>
          <w:p w14:paraId="1D514277" w14:textId="5457BBC8" w:rsidR="00E175F2" w:rsidRPr="00955E19" w:rsidRDefault="00E175F2" w:rsidP="00146B47">
            <w:pPr>
              <w:jc w:val="right"/>
              <w:rPr>
                <w:snapToGrid w:val="0"/>
                <w:sz w:val="20"/>
              </w:rPr>
            </w:pPr>
            <w:r w:rsidRPr="00955E19">
              <w:rPr>
                <w:snapToGrid w:val="0"/>
                <w:sz w:val="20"/>
              </w:rPr>
              <w:t>1 2</w:t>
            </w:r>
            <w:r w:rsidR="0077009E" w:rsidRPr="00955E19">
              <w:rPr>
                <w:snapToGrid w:val="0"/>
                <w:sz w:val="20"/>
              </w:rPr>
              <w:t>4</w:t>
            </w:r>
            <w:r w:rsidRPr="00955E19">
              <w:rPr>
                <w:snapToGrid w:val="0"/>
                <w:sz w:val="20"/>
              </w:rPr>
              <w:t>0 лв.</w:t>
            </w:r>
          </w:p>
        </w:tc>
      </w:tr>
      <w:tr w:rsidR="00E175F2" w:rsidRPr="00955E19" w14:paraId="13D79232" w14:textId="77777777" w:rsidTr="004C41BC">
        <w:trPr>
          <w:trHeight w:val="256"/>
        </w:trPr>
        <w:tc>
          <w:tcPr>
            <w:tcW w:w="4170" w:type="pct"/>
            <w:tcBorders>
              <w:top w:val="single" w:sz="4" w:space="0" w:color="auto"/>
              <w:left w:val="single" w:sz="4" w:space="0" w:color="auto"/>
              <w:bottom w:val="single" w:sz="4" w:space="0" w:color="auto"/>
              <w:right w:val="dotted" w:sz="2" w:space="0" w:color="auto"/>
            </w:tcBorders>
            <w:vAlign w:val="center"/>
          </w:tcPr>
          <w:p w14:paraId="017FD73A" w14:textId="77777777" w:rsidR="00E175F2" w:rsidRPr="00955E19" w:rsidRDefault="00E175F2" w:rsidP="00146B47">
            <w:pPr>
              <w:rPr>
                <w:b/>
                <w:smallCaps/>
                <w:snapToGrid w:val="0"/>
                <w:spacing w:val="20"/>
                <w:sz w:val="20"/>
              </w:rPr>
            </w:pPr>
            <w:r w:rsidRPr="00955E19">
              <w:rPr>
                <w:b/>
                <w:smallCaps/>
                <w:snapToGrid w:val="0"/>
                <w:spacing w:val="20"/>
                <w:sz w:val="20"/>
              </w:rPr>
              <w:t>Разходи за такси и комисионни</w:t>
            </w:r>
          </w:p>
        </w:tc>
        <w:tc>
          <w:tcPr>
            <w:tcW w:w="830" w:type="pct"/>
            <w:tcBorders>
              <w:top w:val="single" w:sz="4" w:space="0" w:color="auto"/>
              <w:left w:val="dotted" w:sz="2" w:space="0" w:color="auto"/>
              <w:bottom w:val="single" w:sz="4" w:space="0" w:color="auto"/>
              <w:right w:val="single" w:sz="4" w:space="0" w:color="auto"/>
            </w:tcBorders>
            <w:vAlign w:val="center"/>
          </w:tcPr>
          <w:p w14:paraId="20706B78" w14:textId="77777777" w:rsidR="00E175F2" w:rsidRPr="00955E19" w:rsidRDefault="00E175F2" w:rsidP="00146B47">
            <w:pPr>
              <w:rPr>
                <w:b/>
                <w:smallCaps/>
                <w:snapToGrid w:val="0"/>
                <w:spacing w:val="20"/>
                <w:sz w:val="20"/>
              </w:rPr>
            </w:pPr>
          </w:p>
        </w:tc>
      </w:tr>
      <w:tr w:rsidR="00E175F2" w:rsidRPr="00955E19" w14:paraId="65D4CB48" w14:textId="77777777" w:rsidTr="004C41BC">
        <w:trPr>
          <w:trHeight w:val="256"/>
        </w:trPr>
        <w:tc>
          <w:tcPr>
            <w:tcW w:w="4170" w:type="pct"/>
            <w:tcBorders>
              <w:top w:val="single" w:sz="4" w:space="0" w:color="auto"/>
              <w:left w:val="single" w:sz="4" w:space="0" w:color="auto"/>
              <w:bottom w:val="dotted" w:sz="2" w:space="0" w:color="auto"/>
              <w:right w:val="dotted" w:sz="2" w:space="0" w:color="auto"/>
            </w:tcBorders>
            <w:vAlign w:val="center"/>
          </w:tcPr>
          <w:p w14:paraId="50103E99" w14:textId="77777777" w:rsidR="00E175F2" w:rsidRPr="00955E19" w:rsidRDefault="00E175F2" w:rsidP="00146B47">
            <w:pPr>
              <w:rPr>
                <w:snapToGrid w:val="0"/>
                <w:sz w:val="20"/>
              </w:rPr>
            </w:pPr>
            <w:r w:rsidRPr="00955E19">
              <w:rPr>
                <w:snapToGrid w:val="0"/>
                <w:sz w:val="20"/>
              </w:rPr>
              <w:t xml:space="preserve">Такса за потвърждение на проспект за първично публично предлагане при увеличение на капитала от Комисията за финансов надзор </w:t>
            </w:r>
          </w:p>
        </w:tc>
        <w:tc>
          <w:tcPr>
            <w:tcW w:w="830" w:type="pct"/>
            <w:tcBorders>
              <w:top w:val="single" w:sz="4" w:space="0" w:color="auto"/>
              <w:left w:val="dotted" w:sz="2" w:space="0" w:color="auto"/>
              <w:bottom w:val="dotted" w:sz="2" w:space="0" w:color="auto"/>
              <w:right w:val="single" w:sz="4" w:space="0" w:color="auto"/>
            </w:tcBorders>
            <w:vAlign w:val="center"/>
          </w:tcPr>
          <w:p w14:paraId="1A3E5F25" w14:textId="77777777" w:rsidR="00E175F2" w:rsidRPr="00955E19" w:rsidRDefault="00E175F2" w:rsidP="00146B47">
            <w:pPr>
              <w:jc w:val="right"/>
              <w:rPr>
                <w:snapToGrid w:val="0"/>
                <w:sz w:val="20"/>
              </w:rPr>
            </w:pPr>
            <w:r w:rsidRPr="00955E19">
              <w:rPr>
                <w:snapToGrid w:val="0"/>
                <w:sz w:val="20"/>
              </w:rPr>
              <w:t>900 лв.</w:t>
            </w:r>
          </w:p>
        </w:tc>
      </w:tr>
      <w:tr w:rsidR="00E175F2" w:rsidRPr="00955E19" w14:paraId="7FC8C688" w14:textId="77777777" w:rsidTr="004C41BC">
        <w:trPr>
          <w:trHeight w:val="256"/>
        </w:trPr>
        <w:tc>
          <w:tcPr>
            <w:tcW w:w="4170" w:type="pct"/>
            <w:tcBorders>
              <w:top w:val="dotted" w:sz="2" w:space="0" w:color="auto"/>
              <w:left w:val="single" w:sz="4" w:space="0" w:color="auto"/>
              <w:bottom w:val="dotted" w:sz="2" w:space="0" w:color="auto"/>
              <w:right w:val="dotted" w:sz="2" w:space="0" w:color="auto"/>
            </w:tcBorders>
            <w:vAlign w:val="center"/>
          </w:tcPr>
          <w:p w14:paraId="2F8775E1" w14:textId="77777777" w:rsidR="00E175F2" w:rsidRPr="00955E19" w:rsidRDefault="00E175F2" w:rsidP="00146B47">
            <w:pPr>
              <w:rPr>
                <w:snapToGrid w:val="0"/>
                <w:sz w:val="20"/>
              </w:rPr>
            </w:pPr>
            <w:r w:rsidRPr="00955E19">
              <w:rPr>
                <w:snapToGrid w:val="0"/>
                <w:sz w:val="20"/>
              </w:rPr>
              <w:t xml:space="preserve">Такса за присвояване на ISIN код на емисията права         </w:t>
            </w:r>
          </w:p>
        </w:tc>
        <w:tc>
          <w:tcPr>
            <w:tcW w:w="830" w:type="pct"/>
            <w:tcBorders>
              <w:top w:val="dotted" w:sz="2" w:space="0" w:color="auto"/>
              <w:left w:val="dotted" w:sz="2" w:space="0" w:color="auto"/>
              <w:bottom w:val="dotted" w:sz="2" w:space="0" w:color="auto"/>
              <w:right w:val="single" w:sz="4" w:space="0" w:color="auto"/>
            </w:tcBorders>
            <w:vAlign w:val="center"/>
          </w:tcPr>
          <w:p w14:paraId="7AC201B7" w14:textId="77777777" w:rsidR="00E175F2" w:rsidRPr="00955E19" w:rsidRDefault="00E175F2" w:rsidP="00146B47">
            <w:pPr>
              <w:jc w:val="right"/>
              <w:rPr>
                <w:snapToGrid w:val="0"/>
                <w:sz w:val="20"/>
              </w:rPr>
            </w:pPr>
            <w:r w:rsidRPr="00955E19">
              <w:rPr>
                <w:snapToGrid w:val="0"/>
                <w:sz w:val="20"/>
              </w:rPr>
              <w:t>72 лв.</w:t>
            </w:r>
          </w:p>
        </w:tc>
      </w:tr>
      <w:tr w:rsidR="00E175F2" w:rsidRPr="00955E19" w14:paraId="05AB0544" w14:textId="77777777" w:rsidTr="004C41BC">
        <w:trPr>
          <w:trHeight w:val="512"/>
        </w:trPr>
        <w:tc>
          <w:tcPr>
            <w:tcW w:w="4170" w:type="pct"/>
            <w:tcBorders>
              <w:top w:val="dotted" w:sz="2" w:space="0" w:color="auto"/>
              <w:left w:val="single" w:sz="4" w:space="0" w:color="auto"/>
              <w:bottom w:val="dotted" w:sz="2" w:space="0" w:color="auto"/>
              <w:right w:val="dotted" w:sz="2" w:space="0" w:color="auto"/>
            </w:tcBorders>
            <w:vAlign w:val="center"/>
          </w:tcPr>
          <w:p w14:paraId="547555C0" w14:textId="77777777" w:rsidR="00E175F2" w:rsidRPr="00955E19" w:rsidRDefault="00E175F2" w:rsidP="00146B47">
            <w:pPr>
              <w:rPr>
                <w:snapToGrid w:val="0"/>
                <w:sz w:val="20"/>
              </w:rPr>
            </w:pPr>
            <w:r w:rsidRPr="00955E19">
              <w:rPr>
                <w:snapToGrid w:val="0"/>
                <w:sz w:val="20"/>
              </w:rPr>
              <w:t>Такса за регистрация на емисията права в „Централен депозитар” АД</w:t>
            </w:r>
          </w:p>
        </w:tc>
        <w:tc>
          <w:tcPr>
            <w:tcW w:w="830" w:type="pct"/>
            <w:tcBorders>
              <w:top w:val="dotted" w:sz="2" w:space="0" w:color="auto"/>
              <w:left w:val="dotted" w:sz="2" w:space="0" w:color="auto"/>
              <w:bottom w:val="dotted" w:sz="2" w:space="0" w:color="auto"/>
              <w:right w:val="single" w:sz="4" w:space="0" w:color="auto"/>
            </w:tcBorders>
            <w:vAlign w:val="center"/>
          </w:tcPr>
          <w:p w14:paraId="34679AD1" w14:textId="77777777" w:rsidR="00E175F2" w:rsidRPr="00955E19" w:rsidRDefault="00E175F2" w:rsidP="00146B47">
            <w:pPr>
              <w:jc w:val="right"/>
              <w:rPr>
                <w:snapToGrid w:val="0"/>
                <w:sz w:val="20"/>
              </w:rPr>
            </w:pPr>
            <w:r w:rsidRPr="00955E19">
              <w:rPr>
                <w:snapToGrid w:val="0"/>
                <w:sz w:val="20"/>
              </w:rPr>
              <w:t>1 150 лв.</w:t>
            </w:r>
          </w:p>
        </w:tc>
      </w:tr>
      <w:tr w:rsidR="00E175F2" w:rsidRPr="00955E19" w14:paraId="23D77E20" w14:textId="77777777" w:rsidTr="004C41BC">
        <w:trPr>
          <w:trHeight w:val="644"/>
        </w:trPr>
        <w:tc>
          <w:tcPr>
            <w:tcW w:w="4170" w:type="pct"/>
            <w:tcBorders>
              <w:top w:val="dotted" w:sz="2" w:space="0" w:color="auto"/>
              <w:left w:val="single" w:sz="4" w:space="0" w:color="auto"/>
              <w:bottom w:val="dotted" w:sz="2" w:space="0" w:color="auto"/>
              <w:right w:val="dotted" w:sz="2" w:space="0" w:color="auto"/>
            </w:tcBorders>
            <w:vAlign w:val="center"/>
          </w:tcPr>
          <w:p w14:paraId="0CF5C42B" w14:textId="77777777" w:rsidR="00E175F2" w:rsidRPr="00955E19" w:rsidRDefault="00E175F2" w:rsidP="00146B47">
            <w:pPr>
              <w:rPr>
                <w:snapToGrid w:val="0"/>
                <w:sz w:val="20"/>
              </w:rPr>
            </w:pPr>
            <w:r w:rsidRPr="00955E19">
              <w:rPr>
                <w:snapToGrid w:val="0"/>
                <w:sz w:val="20"/>
              </w:rPr>
              <w:t>Такса за осъществяване на първично предлагане на ценни книжа на регулиран пазар</w:t>
            </w:r>
          </w:p>
        </w:tc>
        <w:tc>
          <w:tcPr>
            <w:tcW w:w="830" w:type="pct"/>
            <w:tcBorders>
              <w:top w:val="dotted" w:sz="2" w:space="0" w:color="auto"/>
              <w:left w:val="dotted" w:sz="2" w:space="0" w:color="auto"/>
              <w:bottom w:val="dotted" w:sz="2" w:space="0" w:color="auto"/>
              <w:right w:val="single" w:sz="4" w:space="0" w:color="auto"/>
            </w:tcBorders>
            <w:vAlign w:val="center"/>
          </w:tcPr>
          <w:p w14:paraId="4B735D84" w14:textId="77777777" w:rsidR="00E175F2" w:rsidRPr="00955E19" w:rsidRDefault="00E175F2" w:rsidP="00146B47">
            <w:pPr>
              <w:jc w:val="right"/>
              <w:rPr>
                <w:snapToGrid w:val="0"/>
                <w:sz w:val="20"/>
              </w:rPr>
            </w:pPr>
            <w:r w:rsidRPr="00955E19">
              <w:rPr>
                <w:snapToGrid w:val="0"/>
                <w:sz w:val="20"/>
              </w:rPr>
              <w:t xml:space="preserve"> 600 лв.</w:t>
            </w:r>
          </w:p>
        </w:tc>
      </w:tr>
      <w:tr w:rsidR="00E175F2" w:rsidRPr="00955E19" w14:paraId="310ABDE1" w14:textId="77777777" w:rsidTr="004C41BC">
        <w:trPr>
          <w:trHeight w:val="512"/>
        </w:trPr>
        <w:tc>
          <w:tcPr>
            <w:tcW w:w="4170" w:type="pct"/>
            <w:tcBorders>
              <w:top w:val="dotted" w:sz="2" w:space="0" w:color="auto"/>
              <w:left w:val="single" w:sz="4" w:space="0" w:color="auto"/>
              <w:bottom w:val="dotted" w:sz="2" w:space="0" w:color="auto"/>
              <w:right w:val="dotted" w:sz="2" w:space="0" w:color="auto"/>
            </w:tcBorders>
            <w:vAlign w:val="center"/>
          </w:tcPr>
          <w:p w14:paraId="1D0E5E0E" w14:textId="77777777" w:rsidR="00E175F2" w:rsidRPr="00955E19" w:rsidRDefault="00E175F2" w:rsidP="00146B47">
            <w:pPr>
              <w:rPr>
                <w:snapToGrid w:val="0"/>
                <w:sz w:val="20"/>
              </w:rPr>
            </w:pPr>
            <w:r w:rsidRPr="00955E19">
              <w:rPr>
                <w:snapToGrid w:val="0"/>
                <w:sz w:val="20"/>
              </w:rPr>
              <w:t>Такса за регистрацията на емисията акции в „Централен депозитар” АД</w:t>
            </w:r>
          </w:p>
        </w:tc>
        <w:tc>
          <w:tcPr>
            <w:tcW w:w="830" w:type="pct"/>
            <w:tcBorders>
              <w:top w:val="dotted" w:sz="2" w:space="0" w:color="auto"/>
              <w:left w:val="dotted" w:sz="2" w:space="0" w:color="auto"/>
              <w:bottom w:val="dotted" w:sz="2" w:space="0" w:color="auto"/>
              <w:right w:val="single" w:sz="4" w:space="0" w:color="auto"/>
            </w:tcBorders>
            <w:vAlign w:val="center"/>
          </w:tcPr>
          <w:p w14:paraId="4B3AFD0D" w14:textId="56B1437B" w:rsidR="00E175F2" w:rsidRPr="00955E19" w:rsidRDefault="005069FF" w:rsidP="00146B47">
            <w:pPr>
              <w:jc w:val="right"/>
              <w:rPr>
                <w:snapToGrid w:val="0"/>
                <w:sz w:val="20"/>
              </w:rPr>
            </w:pPr>
            <w:r w:rsidRPr="00955E19">
              <w:rPr>
                <w:snapToGrid w:val="0"/>
                <w:sz w:val="20"/>
              </w:rPr>
              <w:t>1080</w:t>
            </w:r>
            <w:r w:rsidR="00E175F2" w:rsidRPr="00955E19">
              <w:rPr>
                <w:snapToGrid w:val="0"/>
                <w:sz w:val="20"/>
              </w:rPr>
              <w:t xml:space="preserve"> лв.</w:t>
            </w:r>
          </w:p>
        </w:tc>
      </w:tr>
      <w:tr w:rsidR="00E175F2" w:rsidRPr="00955E19" w14:paraId="7D020DEB" w14:textId="77777777" w:rsidTr="004C41BC">
        <w:trPr>
          <w:trHeight w:val="80"/>
        </w:trPr>
        <w:tc>
          <w:tcPr>
            <w:tcW w:w="4170" w:type="pct"/>
            <w:tcBorders>
              <w:top w:val="dotted" w:sz="2" w:space="0" w:color="auto"/>
              <w:left w:val="single" w:sz="4" w:space="0" w:color="auto"/>
              <w:bottom w:val="single" w:sz="4" w:space="0" w:color="auto"/>
              <w:right w:val="dotted" w:sz="2" w:space="0" w:color="auto"/>
            </w:tcBorders>
            <w:vAlign w:val="center"/>
          </w:tcPr>
          <w:p w14:paraId="042338A2" w14:textId="77777777" w:rsidR="00E175F2" w:rsidRPr="00955E19" w:rsidRDefault="00E175F2" w:rsidP="00146B47">
            <w:pPr>
              <w:rPr>
                <w:b/>
                <w:snapToGrid w:val="0"/>
                <w:sz w:val="20"/>
              </w:rPr>
            </w:pPr>
          </w:p>
        </w:tc>
        <w:tc>
          <w:tcPr>
            <w:tcW w:w="830" w:type="pct"/>
            <w:tcBorders>
              <w:top w:val="dotted" w:sz="2" w:space="0" w:color="auto"/>
              <w:left w:val="dotted" w:sz="2" w:space="0" w:color="auto"/>
              <w:bottom w:val="single" w:sz="4" w:space="0" w:color="auto"/>
              <w:right w:val="single" w:sz="4" w:space="0" w:color="auto"/>
            </w:tcBorders>
            <w:vAlign w:val="center"/>
          </w:tcPr>
          <w:p w14:paraId="564054CD" w14:textId="77777777" w:rsidR="00E175F2" w:rsidRPr="00955E19" w:rsidRDefault="00E175F2" w:rsidP="00146B47">
            <w:pPr>
              <w:jc w:val="right"/>
              <w:rPr>
                <w:b/>
                <w:snapToGrid w:val="0"/>
                <w:sz w:val="20"/>
              </w:rPr>
            </w:pPr>
          </w:p>
        </w:tc>
      </w:tr>
      <w:tr w:rsidR="00E175F2" w:rsidRPr="00955E19" w14:paraId="1B38D432" w14:textId="77777777" w:rsidTr="004C41BC">
        <w:trPr>
          <w:trHeight w:val="256"/>
        </w:trPr>
        <w:tc>
          <w:tcPr>
            <w:tcW w:w="4170" w:type="pct"/>
            <w:tcBorders>
              <w:top w:val="single" w:sz="4" w:space="0" w:color="auto"/>
              <w:left w:val="single" w:sz="4" w:space="0" w:color="auto"/>
              <w:bottom w:val="single" w:sz="4" w:space="0" w:color="auto"/>
              <w:right w:val="dotted" w:sz="2" w:space="0" w:color="auto"/>
            </w:tcBorders>
            <w:vAlign w:val="center"/>
          </w:tcPr>
          <w:p w14:paraId="52DCDB38" w14:textId="77777777" w:rsidR="00E175F2" w:rsidRPr="00955E19" w:rsidRDefault="00E175F2" w:rsidP="00146B47">
            <w:pPr>
              <w:rPr>
                <w:b/>
                <w:snapToGrid w:val="0"/>
                <w:sz w:val="20"/>
              </w:rPr>
            </w:pPr>
            <w:r w:rsidRPr="00955E19">
              <w:rPr>
                <w:b/>
                <w:snapToGrid w:val="0"/>
                <w:sz w:val="20"/>
              </w:rPr>
              <w:t>ОБЩО</w:t>
            </w:r>
          </w:p>
        </w:tc>
        <w:tc>
          <w:tcPr>
            <w:tcW w:w="830" w:type="pct"/>
            <w:tcBorders>
              <w:top w:val="single" w:sz="4" w:space="0" w:color="auto"/>
              <w:left w:val="dotted" w:sz="2" w:space="0" w:color="auto"/>
              <w:bottom w:val="single" w:sz="4" w:space="0" w:color="auto"/>
              <w:right w:val="single" w:sz="4" w:space="0" w:color="auto"/>
            </w:tcBorders>
            <w:vAlign w:val="center"/>
          </w:tcPr>
          <w:p w14:paraId="7DD2CE14" w14:textId="41A97D88" w:rsidR="00E175F2" w:rsidRPr="00955E19" w:rsidRDefault="005069FF" w:rsidP="00146B47">
            <w:pPr>
              <w:jc w:val="right"/>
              <w:rPr>
                <w:b/>
                <w:snapToGrid w:val="0"/>
                <w:sz w:val="20"/>
              </w:rPr>
            </w:pPr>
            <w:r w:rsidRPr="00955E19">
              <w:rPr>
                <w:b/>
                <w:snapToGrid w:val="0"/>
                <w:sz w:val="20"/>
              </w:rPr>
              <w:t xml:space="preserve">24 412 </w:t>
            </w:r>
            <w:r w:rsidR="00E175F2" w:rsidRPr="00955E19">
              <w:rPr>
                <w:b/>
                <w:snapToGrid w:val="0"/>
                <w:sz w:val="20"/>
              </w:rPr>
              <w:t>лв.</w:t>
            </w:r>
          </w:p>
        </w:tc>
      </w:tr>
    </w:tbl>
    <w:p w14:paraId="6E31509D" w14:textId="77777777" w:rsidR="00E175F2" w:rsidRPr="00955E19" w:rsidRDefault="00E175F2" w:rsidP="00152D36">
      <w:pPr>
        <w:spacing w:after="200"/>
        <w:jc w:val="both"/>
        <w:rPr>
          <w:i/>
          <w:sz w:val="18"/>
          <w:szCs w:val="18"/>
        </w:rPr>
      </w:pPr>
      <w:r w:rsidRPr="00955E19">
        <w:rPr>
          <w:i/>
          <w:sz w:val="18"/>
          <w:szCs w:val="18"/>
        </w:rPr>
        <w:t xml:space="preserve">* Така посочените разходи са с прогнозен характер </w:t>
      </w:r>
    </w:p>
    <w:p w14:paraId="74EE77B1" w14:textId="5B86781A" w:rsidR="00E175F2" w:rsidRPr="00955E19" w:rsidRDefault="00E175F2" w:rsidP="00152D36">
      <w:pPr>
        <w:spacing w:after="120"/>
        <w:jc w:val="both"/>
        <w:rPr>
          <w:sz w:val="20"/>
        </w:rPr>
      </w:pPr>
      <w:r w:rsidRPr="00955E19">
        <w:rPr>
          <w:sz w:val="20"/>
        </w:rPr>
        <w:t>Общите разходи на акция, изчислени като общият размер на разходите, пряко свързани с настоящото публично предлагане на ценни книжа (</w:t>
      </w:r>
      <w:r w:rsidR="005069FF" w:rsidRPr="00955E19">
        <w:rPr>
          <w:sz w:val="20"/>
        </w:rPr>
        <w:t xml:space="preserve">24 412 </w:t>
      </w:r>
      <w:r w:rsidRPr="00955E19">
        <w:rPr>
          <w:sz w:val="20"/>
        </w:rPr>
        <w:t>лв.), се раздели на броя ценни книжа, които ще бъдат предложени публично (</w:t>
      </w:r>
      <w:r w:rsidRPr="00955E19">
        <w:rPr>
          <w:color w:val="000000"/>
          <w:sz w:val="20"/>
          <w:lang w:eastAsia="bg-BG"/>
        </w:rPr>
        <w:t xml:space="preserve">150 000 </w:t>
      </w:r>
      <w:r w:rsidRPr="00955E19">
        <w:rPr>
          <w:sz w:val="20"/>
        </w:rPr>
        <w:t xml:space="preserve">бр.), са </w:t>
      </w:r>
      <w:r w:rsidR="005069FF" w:rsidRPr="00955E19">
        <w:rPr>
          <w:sz w:val="20"/>
        </w:rPr>
        <w:t>0</w:t>
      </w:r>
      <w:r w:rsidR="00B862F9" w:rsidRPr="00955E19">
        <w:rPr>
          <w:sz w:val="20"/>
        </w:rPr>
        <w:t>,</w:t>
      </w:r>
      <w:r w:rsidR="005069FF" w:rsidRPr="00955E19">
        <w:rPr>
          <w:sz w:val="20"/>
        </w:rPr>
        <w:t xml:space="preserve">163 </w:t>
      </w:r>
      <w:r w:rsidRPr="00955E19">
        <w:rPr>
          <w:sz w:val="20"/>
        </w:rPr>
        <w:t>лева на акция.</w:t>
      </w:r>
    </w:p>
    <w:p w14:paraId="7B72A76D" w14:textId="77777777" w:rsidR="00E175F2" w:rsidRPr="00955E19" w:rsidRDefault="00E175F2" w:rsidP="00152D36">
      <w:pPr>
        <w:spacing w:after="200"/>
        <w:jc w:val="both"/>
        <w:rPr>
          <w:sz w:val="20"/>
        </w:rPr>
      </w:pPr>
      <w:r w:rsidRPr="00955E19">
        <w:rPr>
          <w:sz w:val="20"/>
        </w:rPr>
        <w:lastRenderedPageBreak/>
        <w:t>Всички посочени в таблицата разходи са за сметка на “ГЛЕНМООР КЕПИТАЛ” АДСИЦ.</w:t>
      </w:r>
      <w:bookmarkStart w:id="143" w:name="_Toc212867603"/>
    </w:p>
    <w:p w14:paraId="788DF09D" w14:textId="77777777" w:rsidR="00E175F2" w:rsidRPr="00955E19" w:rsidRDefault="00E175F2" w:rsidP="00251571">
      <w:pPr>
        <w:pStyle w:val="Heading1"/>
      </w:pPr>
      <w:bookmarkStart w:id="144" w:name="_Toc492995965"/>
      <w:bookmarkEnd w:id="139"/>
      <w:bookmarkEnd w:id="140"/>
      <w:bookmarkEnd w:id="141"/>
      <w:r w:rsidRPr="00955E19">
        <w:t>9. Р</w:t>
      </w:r>
      <w:bookmarkEnd w:id="143"/>
      <w:r w:rsidRPr="00955E19">
        <w:t>АЗВОДНЯВАНЕ НА СТОЙНОСТТА НА АКЦИИТЕ</w:t>
      </w:r>
      <w:bookmarkEnd w:id="144"/>
      <w:r w:rsidRPr="00955E19">
        <w:t xml:space="preserve"> </w:t>
      </w:r>
    </w:p>
    <w:p w14:paraId="7854A627" w14:textId="77777777" w:rsidR="00E175F2" w:rsidRPr="00955E19" w:rsidRDefault="00E175F2" w:rsidP="00152D36">
      <w:pPr>
        <w:spacing w:after="200"/>
        <w:jc w:val="both"/>
        <w:rPr>
          <w:sz w:val="20"/>
        </w:rPr>
      </w:pPr>
      <w:bookmarkStart w:id="145" w:name="_Toc176538265"/>
      <w:bookmarkStart w:id="146" w:name="_Toc176578223"/>
      <w:bookmarkStart w:id="147" w:name="_Toc176624280"/>
      <w:bookmarkStart w:id="148" w:name="_Toc176635293"/>
      <w:bookmarkStart w:id="149" w:name="_Toc176753970"/>
      <w:bookmarkStart w:id="150" w:name="_Toc176754202"/>
      <w:r w:rsidRPr="00955E19">
        <w:rPr>
          <w:sz w:val="20"/>
        </w:rPr>
        <w:t>Няма издаване на акции на членовете на Съвета на директорите или свързани с тях лица от началото на учредяването на Дружество към датата на настоящия документ, или опции, с които те имат правото да придобият акции в бъдеще.</w:t>
      </w:r>
    </w:p>
    <w:p w14:paraId="62770E64" w14:textId="77777777" w:rsidR="00E175F2" w:rsidRPr="00955E19" w:rsidRDefault="00E175F2" w:rsidP="00152D36">
      <w:pPr>
        <w:spacing w:after="200"/>
        <w:jc w:val="both"/>
        <w:rPr>
          <w:sz w:val="20"/>
        </w:rPr>
      </w:pPr>
      <w:r w:rsidRPr="00955E19">
        <w:rPr>
          <w:sz w:val="20"/>
        </w:rPr>
        <w:t xml:space="preserve">Членовете на Съвета на директорите нямат право да придобиват ценни книжа от предстоящата емисия при различни от обявената емисионна стойност на акция условия на публичното предлагане. </w:t>
      </w:r>
    </w:p>
    <w:p w14:paraId="0C7005A5" w14:textId="77777777" w:rsidR="00E175F2" w:rsidRPr="00955E19" w:rsidRDefault="00E175F2" w:rsidP="00152D36">
      <w:pPr>
        <w:spacing w:after="200"/>
        <w:jc w:val="both"/>
        <w:rPr>
          <w:sz w:val="20"/>
        </w:rPr>
      </w:pPr>
      <w:r w:rsidRPr="00955E19">
        <w:rPr>
          <w:sz w:val="20"/>
        </w:rPr>
        <w:t>Дружеството може да издава допълнителни обикновени акции при последващи увеличения на капитала. Съгласно българското законодателство Дружеството е длъжно да предложи тези обикновени акции на настоящите акционери съгласно правото им да придобият част от новите акции, съответстващи на дела им в капитала преди увеличението. Независимо от това, настоящите акционери могат да изберат да не участват в бъдещо емитиране на обикновени акции.</w:t>
      </w:r>
    </w:p>
    <w:p w14:paraId="40955353" w14:textId="77777777" w:rsidR="00E175F2" w:rsidRPr="00955E19" w:rsidRDefault="00E175F2" w:rsidP="006B7D04">
      <w:pPr>
        <w:pStyle w:val="Heading2"/>
        <w:spacing w:after="240" w:line="240" w:lineRule="auto"/>
        <w:rPr>
          <w:spacing w:val="20"/>
        </w:rPr>
      </w:pPr>
      <w:bookmarkStart w:id="151" w:name="_Toc492995966"/>
      <w:r w:rsidRPr="00955E19">
        <w:rPr>
          <w:spacing w:val="20"/>
        </w:rPr>
        <w:t>9.1. Размер и процент на непосредствено разводняване, получено в резултат на предлагането</w:t>
      </w:r>
      <w:bookmarkEnd w:id="151"/>
    </w:p>
    <w:p w14:paraId="3BAA5C76" w14:textId="77777777" w:rsidR="00E175F2" w:rsidRPr="00955E19" w:rsidRDefault="00E175F2" w:rsidP="00152D36">
      <w:pPr>
        <w:spacing w:after="100"/>
        <w:jc w:val="both"/>
        <w:rPr>
          <w:sz w:val="20"/>
        </w:rPr>
      </w:pPr>
      <w:r w:rsidRPr="00955E19">
        <w:rPr>
          <w:b/>
          <w:sz w:val="20"/>
        </w:rPr>
        <w:t>Таблица № 8:</w:t>
      </w:r>
      <w:r w:rsidRPr="00955E19">
        <w:rPr>
          <w:sz w:val="20"/>
        </w:rPr>
        <w:t xml:space="preserve"> Разводняване на стойността на акциите (при записани всички акции от увеличението)</w:t>
      </w:r>
    </w:p>
    <w:tbl>
      <w:tblPr>
        <w:tblW w:w="8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949"/>
        <w:gridCol w:w="283"/>
        <w:gridCol w:w="2020"/>
      </w:tblGrid>
      <w:tr w:rsidR="00E175F2" w:rsidRPr="00955E19" w14:paraId="40377443" w14:textId="77777777" w:rsidTr="00EA36E0">
        <w:trPr>
          <w:trHeight w:val="300"/>
        </w:trPr>
        <w:tc>
          <w:tcPr>
            <w:tcW w:w="8252" w:type="dxa"/>
            <w:gridSpan w:val="3"/>
            <w:shd w:val="clear" w:color="auto" w:fill="17365D"/>
            <w:noWrap/>
            <w:vAlign w:val="center"/>
          </w:tcPr>
          <w:p w14:paraId="11A9F562" w14:textId="45A01FED" w:rsidR="00E175F2" w:rsidRPr="00955E19" w:rsidRDefault="00E175F2" w:rsidP="005E3720">
            <w:pPr>
              <w:rPr>
                <w:b/>
                <w:bCs/>
                <w:color w:val="FFFFFF"/>
                <w:sz w:val="20"/>
                <w:lang w:eastAsia="bg-BG"/>
              </w:rPr>
            </w:pPr>
            <w:r w:rsidRPr="00955E19">
              <w:rPr>
                <w:b/>
                <w:bCs/>
                <w:color w:val="FFFFFF"/>
                <w:sz w:val="20"/>
                <w:lang w:eastAsia="bg-BG"/>
              </w:rPr>
              <w:t xml:space="preserve">Преди увеличението на капитала (към </w:t>
            </w:r>
            <w:r w:rsidR="005E3720" w:rsidRPr="00955E19">
              <w:rPr>
                <w:b/>
                <w:bCs/>
                <w:color w:val="FFFFFF"/>
                <w:sz w:val="20"/>
                <w:lang w:eastAsia="bg-BG"/>
              </w:rPr>
              <w:t>30</w:t>
            </w:r>
            <w:r w:rsidRPr="00955E19">
              <w:rPr>
                <w:b/>
                <w:bCs/>
                <w:color w:val="FFFFFF"/>
                <w:sz w:val="20"/>
                <w:lang w:eastAsia="bg-BG"/>
              </w:rPr>
              <w:t>.0</w:t>
            </w:r>
            <w:r w:rsidR="005E3720" w:rsidRPr="00955E19">
              <w:rPr>
                <w:b/>
                <w:bCs/>
                <w:color w:val="FFFFFF"/>
                <w:sz w:val="20"/>
                <w:lang w:eastAsia="bg-BG"/>
              </w:rPr>
              <w:t>6</w:t>
            </w:r>
            <w:r w:rsidRPr="00955E19">
              <w:rPr>
                <w:b/>
                <w:bCs/>
                <w:color w:val="FFFFFF"/>
                <w:sz w:val="20"/>
                <w:lang w:eastAsia="bg-BG"/>
              </w:rPr>
              <w:t>.2017 г.)</w:t>
            </w:r>
          </w:p>
        </w:tc>
      </w:tr>
      <w:tr w:rsidR="00E175F2" w:rsidRPr="00955E19" w14:paraId="5B06C6BA" w14:textId="77777777" w:rsidTr="00182A5C">
        <w:trPr>
          <w:trHeight w:val="300"/>
        </w:trPr>
        <w:tc>
          <w:tcPr>
            <w:tcW w:w="5949" w:type="dxa"/>
            <w:noWrap/>
            <w:vAlign w:val="bottom"/>
          </w:tcPr>
          <w:p w14:paraId="2A740901" w14:textId="77777777" w:rsidR="00E175F2" w:rsidRPr="00955E19" w:rsidRDefault="00E175F2" w:rsidP="003D70B3">
            <w:pPr>
              <w:rPr>
                <w:color w:val="000000"/>
                <w:sz w:val="20"/>
                <w:lang w:eastAsia="bg-BG"/>
              </w:rPr>
            </w:pPr>
            <w:r w:rsidRPr="00955E19">
              <w:rPr>
                <w:color w:val="000000"/>
                <w:sz w:val="20"/>
                <w:lang w:eastAsia="bg-BG"/>
              </w:rPr>
              <w:t>Обща сума на активите (лв.)</w:t>
            </w:r>
          </w:p>
        </w:tc>
        <w:tc>
          <w:tcPr>
            <w:tcW w:w="283" w:type="dxa"/>
            <w:noWrap/>
            <w:vAlign w:val="bottom"/>
          </w:tcPr>
          <w:p w14:paraId="408A3CF6" w14:textId="77777777" w:rsidR="00E175F2" w:rsidRPr="00955E19" w:rsidRDefault="00E175F2" w:rsidP="003D70B3">
            <w:pPr>
              <w:rPr>
                <w:color w:val="000000"/>
                <w:sz w:val="20"/>
                <w:lang w:eastAsia="bg-BG"/>
              </w:rPr>
            </w:pPr>
          </w:p>
        </w:tc>
        <w:tc>
          <w:tcPr>
            <w:tcW w:w="2020" w:type="dxa"/>
            <w:noWrap/>
            <w:vAlign w:val="bottom"/>
          </w:tcPr>
          <w:p w14:paraId="12517BCB" w14:textId="77777777" w:rsidR="00E175F2" w:rsidRPr="00955E19" w:rsidRDefault="00E175F2" w:rsidP="003D70B3">
            <w:pPr>
              <w:jc w:val="right"/>
              <w:rPr>
                <w:color w:val="000000"/>
                <w:sz w:val="20"/>
                <w:lang w:eastAsia="bg-BG"/>
              </w:rPr>
            </w:pPr>
            <w:r w:rsidRPr="00955E19">
              <w:rPr>
                <w:color w:val="000000"/>
                <w:sz w:val="20"/>
              </w:rPr>
              <w:t>500</w:t>
            </w:r>
            <w:r w:rsidR="00B51501" w:rsidRPr="00955E19">
              <w:rPr>
                <w:color w:val="000000"/>
                <w:sz w:val="20"/>
              </w:rPr>
              <w:t> </w:t>
            </w:r>
            <w:r w:rsidRPr="00955E19">
              <w:rPr>
                <w:color w:val="000000"/>
                <w:sz w:val="20"/>
              </w:rPr>
              <w:t>000</w:t>
            </w:r>
          </w:p>
        </w:tc>
      </w:tr>
      <w:tr w:rsidR="00E175F2" w:rsidRPr="00955E19" w14:paraId="52A77955" w14:textId="77777777" w:rsidTr="00182A5C">
        <w:trPr>
          <w:trHeight w:val="300"/>
        </w:trPr>
        <w:tc>
          <w:tcPr>
            <w:tcW w:w="5949" w:type="dxa"/>
            <w:noWrap/>
            <w:vAlign w:val="bottom"/>
          </w:tcPr>
          <w:p w14:paraId="2E02BF50" w14:textId="77777777" w:rsidR="00E175F2" w:rsidRPr="00955E19" w:rsidRDefault="00E175F2" w:rsidP="003D70B3">
            <w:pPr>
              <w:rPr>
                <w:color w:val="000000"/>
                <w:sz w:val="20"/>
                <w:lang w:eastAsia="bg-BG"/>
              </w:rPr>
            </w:pPr>
            <w:r w:rsidRPr="00955E19">
              <w:rPr>
                <w:color w:val="000000"/>
                <w:sz w:val="20"/>
                <w:lang w:eastAsia="bg-BG"/>
              </w:rPr>
              <w:t>Общо задължения (лв.)</w:t>
            </w:r>
          </w:p>
        </w:tc>
        <w:tc>
          <w:tcPr>
            <w:tcW w:w="283" w:type="dxa"/>
            <w:noWrap/>
            <w:vAlign w:val="bottom"/>
          </w:tcPr>
          <w:p w14:paraId="3A722F90" w14:textId="77777777" w:rsidR="00E175F2" w:rsidRPr="00955E19" w:rsidRDefault="00E175F2" w:rsidP="003D70B3">
            <w:pPr>
              <w:rPr>
                <w:color w:val="000000"/>
                <w:sz w:val="20"/>
                <w:lang w:eastAsia="bg-BG"/>
              </w:rPr>
            </w:pPr>
          </w:p>
        </w:tc>
        <w:tc>
          <w:tcPr>
            <w:tcW w:w="2020" w:type="dxa"/>
            <w:noWrap/>
            <w:vAlign w:val="bottom"/>
          </w:tcPr>
          <w:p w14:paraId="49977670" w14:textId="77777777" w:rsidR="00E175F2" w:rsidRPr="00955E19" w:rsidRDefault="00B51501" w:rsidP="00B51501">
            <w:pPr>
              <w:jc w:val="right"/>
              <w:rPr>
                <w:color w:val="000000"/>
                <w:sz w:val="20"/>
                <w:lang w:eastAsia="bg-BG"/>
              </w:rPr>
            </w:pPr>
            <w:r w:rsidRPr="00955E19">
              <w:rPr>
                <w:color w:val="000000"/>
                <w:sz w:val="20"/>
              </w:rPr>
              <w:t>1312</w:t>
            </w:r>
          </w:p>
        </w:tc>
      </w:tr>
      <w:tr w:rsidR="00E175F2" w:rsidRPr="00955E19" w14:paraId="7FDCAA5B" w14:textId="77777777" w:rsidTr="00182A5C">
        <w:trPr>
          <w:trHeight w:val="300"/>
        </w:trPr>
        <w:tc>
          <w:tcPr>
            <w:tcW w:w="5949" w:type="dxa"/>
            <w:noWrap/>
            <w:vAlign w:val="bottom"/>
          </w:tcPr>
          <w:p w14:paraId="7DE69920" w14:textId="77777777" w:rsidR="00E175F2" w:rsidRPr="00955E19" w:rsidRDefault="00E175F2" w:rsidP="003D70B3">
            <w:pPr>
              <w:rPr>
                <w:color w:val="000000"/>
                <w:sz w:val="20"/>
                <w:lang w:eastAsia="bg-BG"/>
              </w:rPr>
            </w:pPr>
            <w:r w:rsidRPr="00955E19">
              <w:rPr>
                <w:color w:val="000000"/>
                <w:sz w:val="20"/>
                <w:lang w:eastAsia="bg-BG"/>
              </w:rPr>
              <w:t>Балансова стойност на нетните активи (лв.)</w:t>
            </w:r>
          </w:p>
        </w:tc>
        <w:tc>
          <w:tcPr>
            <w:tcW w:w="283" w:type="dxa"/>
            <w:vAlign w:val="bottom"/>
          </w:tcPr>
          <w:p w14:paraId="128D6C5F" w14:textId="77777777" w:rsidR="00E175F2" w:rsidRPr="00955E19" w:rsidRDefault="00E175F2" w:rsidP="003D70B3">
            <w:pPr>
              <w:rPr>
                <w:color w:val="000000"/>
                <w:sz w:val="20"/>
                <w:lang w:eastAsia="bg-BG"/>
              </w:rPr>
            </w:pPr>
          </w:p>
        </w:tc>
        <w:tc>
          <w:tcPr>
            <w:tcW w:w="2020" w:type="dxa"/>
            <w:noWrap/>
            <w:vAlign w:val="bottom"/>
          </w:tcPr>
          <w:p w14:paraId="568322D8" w14:textId="2AF59D31" w:rsidR="00E175F2" w:rsidRPr="00955E19" w:rsidRDefault="00B51501" w:rsidP="003D70B3">
            <w:pPr>
              <w:jc w:val="right"/>
              <w:rPr>
                <w:color w:val="000000"/>
                <w:sz w:val="20"/>
                <w:lang w:eastAsia="bg-BG"/>
              </w:rPr>
            </w:pPr>
            <w:r w:rsidRPr="00955E19">
              <w:rPr>
                <w:color w:val="000000"/>
                <w:sz w:val="20"/>
              </w:rPr>
              <w:t>498</w:t>
            </w:r>
            <w:r w:rsidR="005E3720" w:rsidRPr="00955E19">
              <w:rPr>
                <w:color w:val="000000"/>
                <w:sz w:val="20"/>
              </w:rPr>
              <w:t xml:space="preserve"> </w:t>
            </w:r>
            <w:r w:rsidRPr="00955E19">
              <w:rPr>
                <w:color w:val="000000"/>
                <w:sz w:val="20"/>
              </w:rPr>
              <w:t>688</w:t>
            </w:r>
          </w:p>
        </w:tc>
      </w:tr>
      <w:tr w:rsidR="00E175F2" w:rsidRPr="00955E19" w14:paraId="599A0188" w14:textId="77777777" w:rsidTr="00EA36E0">
        <w:trPr>
          <w:trHeight w:val="70"/>
        </w:trPr>
        <w:tc>
          <w:tcPr>
            <w:tcW w:w="5949" w:type="dxa"/>
            <w:shd w:val="clear" w:color="auto" w:fill="D9D9D9"/>
            <w:noWrap/>
            <w:vAlign w:val="bottom"/>
          </w:tcPr>
          <w:p w14:paraId="4F8068DB" w14:textId="77777777" w:rsidR="00E175F2" w:rsidRPr="00955E19" w:rsidRDefault="00E175F2" w:rsidP="003D70B3">
            <w:pPr>
              <w:jc w:val="right"/>
              <w:rPr>
                <w:color w:val="000000"/>
                <w:sz w:val="20"/>
                <w:lang w:eastAsia="bg-BG"/>
              </w:rPr>
            </w:pPr>
          </w:p>
        </w:tc>
        <w:tc>
          <w:tcPr>
            <w:tcW w:w="283" w:type="dxa"/>
            <w:shd w:val="clear" w:color="auto" w:fill="D9D9D9"/>
            <w:noWrap/>
            <w:vAlign w:val="bottom"/>
          </w:tcPr>
          <w:p w14:paraId="0C4386E2" w14:textId="77777777" w:rsidR="00E175F2" w:rsidRPr="00955E19" w:rsidRDefault="00E175F2" w:rsidP="003D70B3">
            <w:pPr>
              <w:rPr>
                <w:sz w:val="20"/>
                <w:lang w:eastAsia="bg-BG"/>
              </w:rPr>
            </w:pPr>
          </w:p>
        </w:tc>
        <w:tc>
          <w:tcPr>
            <w:tcW w:w="2020" w:type="dxa"/>
            <w:shd w:val="clear" w:color="auto" w:fill="D9D9D9"/>
            <w:noWrap/>
            <w:vAlign w:val="bottom"/>
          </w:tcPr>
          <w:p w14:paraId="159A401B" w14:textId="77777777" w:rsidR="00E175F2" w:rsidRPr="00955E19" w:rsidRDefault="00E175F2" w:rsidP="003D70B3">
            <w:pPr>
              <w:rPr>
                <w:sz w:val="20"/>
                <w:lang w:eastAsia="bg-BG"/>
              </w:rPr>
            </w:pPr>
          </w:p>
        </w:tc>
      </w:tr>
      <w:tr w:rsidR="00E175F2" w:rsidRPr="00955E19" w14:paraId="693D555D" w14:textId="77777777" w:rsidTr="00182A5C">
        <w:trPr>
          <w:trHeight w:val="300"/>
        </w:trPr>
        <w:tc>
          <w:tcPr>
            <w:tcW w:w="5949" w:type="dxa"/>
            <w:noWrap/>
            <w:vAlign w:val="bottom"/>
          </w:tcPr>
          <w:p w14:paraId="0439A151" w14:textId="77777777" w:rsidR="00E175F2" w:rsidRPr="00955E19" w:rsidRDefault="00E175F2" w:rsidP="003D70B3">
            <w:pPr>
              <w:rPr>
                <w:color w:val="000000"/>
                <w:sz w:val="20"/>
                <w:lang w:eastAsia="bg-BG"/>
              </w:rPr>
            </w:pPr>
            <w:r w:rsidRPr="00955E19">
              <w:rPr>
                <w:color w:val="000000"/>
                <w:sz w:val="20"/>
                <w:lang w:eastAsia="bg-BG"/>
              </w:rPr>
              <w:t>Брой акции в обращение</w:t>
            </w:r>
          </w:p>
        </w:tc>
        <w:tc>
          <w:tcPr>
            <w:tcW w:w="283" w:type="dxa"/>
            <w:noWrap/>
            <w:vAlign w:val="bottom"/>
          </w:tcPr>
          <w:p w14:paraId="31EE4AE9" w14:textId="77777777" w:rsidR="00E175F2" w:rsidRPr="00955E19" w:rsidRDefault="00E175F2" w:rsidP="003D70B3">
            <w:pPr>
              <w:rPr>
                <w:color w:val="000000"/>
                <w:sz w:val="20"/>
                <w:lang w:eastAsia="bg-BG"/>
              </w:rPr>
            </w:pPr>
          </w:p>
        </w:tc>
        <w:tc>
          <w:tcPr>
            <w:tcW w:w="2020" w:type="dxa"/>
            <w:noWrap/>
            <w:vAlign w:val="bottom"/>
          </w:tcPr>
          <w:p w14:paraId="1DBCA61D" w14:textId="77777777" w:rsidR="00E175F2" w:rsidRPr="00955E19" w:rsidRDefault="00E175F2" w:rsidP="003D70B3">
            <w:pPr>
              <w:jc w:val="right"/>
              <w:rPr>
                <w:color w:val="000000"/>
                <w:sz w:val="20"/>
                <w:lang w:eastAsia="bg-BG"/>
              </w:rPr>
            </w:pPr>
            <w:r w:rsidRPr="00955E19">
              <w:rPr>
                <w:color w:val="000000"/>
                <w:sz w:val="20"/>
              </w:rPr>
              <w:t>500 000</w:t>
            </w:r>
          </w:p>
        </w:tc>
      </w:tr>
      <w:tr w:rsidR="00E175F2" w:rsidRPr="00955E19" w14:paraId="2990B724" w14:textId="77777777" w:rsidTr="00182A5C">
        <w:trPr>
          <w:trHeight w:val="300"/>
        </w:trPr>
        <w:tc>
          <w:tcPr>
            <w:tcW w:w="5949" w:type="dxa"/>
            <w:noWrap/>
            <w:vAlign w:val="bottom"/>
          </w:tcPr>
          <w:p w14:paraId="7100BEC7" w14:textId="77777777" w:rsidR="00E175F2" w:rsidRPr="00955E19" w:rsidRDefault="00E175F2" w:rsidP="003D70B3">
            <w:pPr>
              <w:rPr>
                <w:color w:val="000000"/>
                <w:sz w:val="20"/>
                <w:lang w:eastAsia="bg-BG"/>
              </w:rPr>
            </w:pPr>
            <w:r w:rsidRPr="00955E19">
              <w:rPr>
                <w:color w:val="000000"/>
                <w:sz w:val="20"/>
                <w:lang w:eastAsia="bg-BG"/>
              </w:rPr>
              <w:t>Номинална стойност на една акция (лв.)</w:t>
            </w:r>
          </w:p>
        </w:tc>
        <w:tc>
          <w:tcPr>
            <w:tcW w:w="283" w:type="dxa"/>
            <w:vAlign w:val="bottom"/>
          </w:tcPr>
          <w:p w14:paraId="44A3CB02" w14:textId="77777777" w:rsidR="00E175F2" w:rsidRPr="00955E19" w:rsidRDefault="00E175F2" w:rsidP="003D70B3">
            <w:pPr>
              <w:rPr>
                <w:color w:val="000000"/>
                <w:sz w:val="20"/>
                <w:lang w:eastAsia="bg-BG"/>
              </w:rPr>
            </w:pPr>
          </w:p>
        </w:tc>
        <w:tc>
          <w:tcPr>
            <w:tcW w:w="2020" w:type="dxa"/>
            <w:noWrap/>
            <w:vAlign w:val="bottom"/>
          </w:tcPr>
          <w:p w14:paraId="5AAFE929" w14:textId="77777777" w:rsidR="00E175F2" w:rsidRPr="00955E19" w:rsidRDefault="00E175F2" w:rsidP="003D70B3">
            <w:pPr>
              <w:jc w:val="right"/>
              <w:rPr>
                <w:color w:val="000000"/>
                <w:sz w:val="20"/>
                <w:lang w:eastAsia="bg-BG"/>
              </w:rPr>
            </w:pPr>
            <w:r w:rsidRPr="00955E19">
              <w:rPr>
                <w:color w:val="000000"/>
                <w:sz w:val="20"/>
              </w:rPr>
              <w:t>1,00</w:t>
            </w:r>
          </w:p>
        </w:tc>
      </w:tr>
      <w:tr w:rsidR="00E175F2" w:rsidRPr="00955E19" w14:paraId="6B8483C0" w14:textId="77777777" w:rsidTr="00182A5C">
        <w:trPr>
          <w:trHeight w:val="300"/>
        </w:trPr>
        <w:tc>
          <w:tcPr>
            <w:tcW w:w="5949" w:type="dxa"/>
            <w:noWrap/>
            <w:vAlign w:val="bottom"/>
          </w:tcPr>
          <w:p w14:paraId="2FCEB37A" w14:textId="77777777" w:rsidR="00E175F2" w:rsidRPr="00955E19" w:rsidRDefault="00E175F2" w:rsidP="003D70B3">
            <w:pPr>
              <w:rPr>
                <w:color w:val="000000"/>
                <w:sz w:val="20"/>
                <w:lang w:eastAsia="bg-BG"/>
              </w:rPr>
            </w:pPr>
            <w:r w:rsidRPr="00955E19">
              <w:rPr>
                <w:color w:val="000000"/>
                <w:sz w:val="20"/>
                <w:lang w:eastAsia="bg-BG"/>
              </w:rPr>
              <w:t>Балансова стойност на една акция (лв.)</w:t>
            </w:r>
          </w:p>
        </w:tc>
        <w:tc>
          <w:tcPr>
            <w:tcW w:w="283" w:type="dxa"/>
            <w:vAlign w:val="bottom"/>
          </w:tcPr>
          <w:p w14:paraId="27C8092B" w14:textId="77777777" w:rsidR="00E175F2" w:rsidRPr="00955E19" w:rsidRDefault="00E175F2" w:rsidP="003D70B3">
            <w:pPr>
              <w:rPr>
                <w:color w:val="000000"/>
                <w:sz w:val="20"/>
                <w:lang w:eastAsia="bg-BG"/>
              </w:rPr>
            </w:pPr>
          </w:p>
        </w:tc>
        <w:tc>
          <w:tcPr>
            <w:tcW w:w="2020" w:type="dxa"/>
            <w:noWrap/>
            <w:vAlign w:val="bottom"/>
          </w:tcPr>
          <w:p w14:paraId="401472CA" w14:textId="77777777" w:rsidR="00E175F2" w:rsidRPr="00955E19" w:rsidRDefault="00E175F2" w:rsidP="003D70B3">
            <w:pPr>
              <w:jc w:val="right"/>
              <w:rPr>
                <w:color w:val="000000"/>
                <w:sz w:val="20"/>
                <w:lang w:eastAsia="bg-BG"/>
              </w:rPr>
            </w:pPr>
            <w:r w:rsidRPr="00955E19">
              <w:rPr>
                <w:color w:val="000000"/>
                <w:sz w:val="20"/>
              </w:rPr>
              <w:t>1,00</w:t>
            </w:r>
          </w:p>
        </w:tc>
      </w:tr>
      <w:tr w:rsidR="00E175F2" w:rsidRPr="00955E19" w14:paraId="60C7452F" w14:textId="77777777" w:rsidTr="00EA36E0">
        <w:trPr>
          <w:trHeight w:hRule="exact" w:val="227"/>
        </w:trPr>
        <w:tc>
          <w:tcPr>
            <w:tcW w:w="5949" w:type="dxa"/>
            <w:shd w:val="clear" w:color="auto" w:fill="D9D9D9"/>
            <w:noWrap/>
            <w:vAlign w:val="bottom"/>
          </w:tcPr>
          <w:p w14:paraId="55BF4AD2" w14:textId="77777777" w:rsidR="00E175F2" w:rsidRPr="00955E19" w:rsidRDefault="00E175F2" w:rsidP="003D70B3">
            <w:pPr>
              <w:jc w:val="right"/>
              <w:rPr>
                <w:color w:val="000000"/>
                <w:sz w:val="20"/>
                <w:lang w:eastAsia="bg-BG"/>
              </w:rPr>
            </w:pPr>
          </w:p>
        </w:tc>
        <w:tc>
          <w:tcPr>
            <w:tcW w:w="283" w:type="dxa"/>
            <w:shd w:val="clear" w:color="auto" w:fill="D9D9D9"/>
            <w:noWrap/>
            <w:vAlign w:val="bottom"/>
          </w:tcPr>
          <w:p w14:paraId="26A62DB0" w14:textId="77777777" w:rsidR="00E175F2" w:rsidRPr="00955E19" w:rsidRDefault="00E175F2" w:rsidP="003D70B3">
            <w:pPr>
              <w:rPr>
                <w:sz w:val="20"/>
                <w:lang w:eastAsia="bg-BG"/>
              </w:rPr>
            </w:pPr>
          </w:p>
        </w:tc>
        <w:tc>
          <w:tcPr>
            <w:tcW w:w="2020" w:type="dxa"/>
            <w:shd w:val="clear" w:color="auto" w:fill="D9D9D9"/>
            <w:noWrap/>
            <w:vAlign w:val="bottom"/>
          </w:tcPr>
          <w:p w14:paraId="503372C8" w14:textId="77777777" w:rsidR="00E175F2" w:rsidRPr="00955E19" w:rsidRDefault="00E175F2" w:rsidP="003D70B3">
            <w:pPr>
              <w:rPr>
                <w:sz w:val="20"/>
                <w:lang w:eastAsia="bg-BG"/>
              </w:rPr>
            </w:pPr>
          </w:p>
        </w:tc>
      </w:tr>
      <w:tr w:rsidR="00E175F2" w:rsidRPr="00955E19" w14:paraId="04956230" w14:textId="77777777" w:rsidTr="00182A5C">
        <w:trPr>
          <w:trHeight w:val="300"/>
        </w:trPr>
        <w:tc>
          <w:tcPr>
            <w:tcW w:w="5949" w:type="dxa"/>
            <w:noWrap/>
            <w:vAlign w:val="bottom"/>
          </w:tcPr>
          <w:p w14:paraId="57B616CE" w14:textId="77777777" w:rsidR="00E175F2" w:rsidRPr="00955E19" w:rsidRDefault="00E175F2" w:rsidP="003D70B3">
            <w:pPr>
              <w:rPr>
                <w:b/>
                <w:bCs/>
                <w:color w:val="000000"/>
                <w:sz w:val="20"/>
                <w:lang w:eastAsia="bg-BG"/>
              </w:rPr>
            </w:pPr>
            <w:r w:rsidRPr="00955E19">
              <w:rPr>
                <w:b/>
                <w:bCs/>
                <w:color w:val="000000"/>
                <w:sz w:val="20"/>
                <w:lang w:eastAsia="bg-BG"/>
              </w:rPr>
              <w:t>Увеличението на капитала</w:t>
            </w:r>
          </w:p>
        </w:tc>
        <w:tc>
          <w:tcPr>
            <w:tcW w:w="283" w:type="dxa"/>
            <w:noWrap/>
            <w:vAlign w:val="bottom"/>
          </w:tcPr>
          <w:p w14:paraId="7F95CAE7" w14:textId="77777777" w:rsidR="00E175F2" w:rsidRPr="00955E19" w:rsidRDefault="00E175F2" w:rsidP="003D70B3">
            <w:pPr>
              <w:rPr>
                <w:b/>
                <w:bCs/>
                <w:color w:val="000000"/>
                <w:sz w:val="20"/>
                <w:lang w:eastAsia="bg-BG"/>
              </w:rPr>
            </w:pPr>
            <w:r w:rsidRPr="00955E19">
              <w:rPr>
                <w:b/>
                <w:bCs/>
                <w:color w:val="000000"/>
                <w:sz w:val="20"/>
                <w:lang w:eastAsia="bg-BG"/>
              </w:rPr>
              <w:t> </w:t>
            </w:r>
          </w:p>
        </w:tc>
        <w:tc>
          <w:tcPr>
            <w:tcW w:w="2020" w:type="dxa"/>
            <w:noWrap/>
            <w:vAlign w:val="bottom"/>
          </w:tcPr>
          <w:p w14:paraId="3095F99A" w14:textId="77777777" w:rsidR="00E175F2" w:rsidRPr="00955E19" w:rsidRDefault="00E175F2" w:rsidP="003D70B3">
            <w:pPr>
              <w:rPr>
                <w:b/>
                <w:bCs/>
                <w:color w:val="000000"/>
                <w:sz w:val="20"/>
                <w:lang w:eastAsia="bg-BG"/>
              </w:rPr>
            </w:pPr>
            <w:r w:rsidRPr="00955E19">
              <w:rPr>
                <w:b/>
                <w:bCs/>
                <w:color w:val="000000"/>
                <w:sz w:val="20"/>
              </w:rPr>
              <w:t> </w:t>
            </w:r>
          </w:p>
        </w:tc>
      </w:tr>
      <w:tr w:rsidR="00E175F2" w:rsidRPr="00955E19" w14:paraId="59A4F8B7" w14:textId="77777777" w:rsidTr="00182A5C">
        <w:trPr>
          <w:trHeight w:val="300"/>
        </w:trPr>
        <w:tc>
          <w:tcPr>
            <w:tcW w:w="5949" w:type="dxa"/>
            <w:noWrap/>
            <w:vAlign w:val="bottom"/>
          </w:tcPr>
          <w:p w14:paraId="71E48BB9" w14:textId="77777777" w:rsidR="00E175F2" w:rsidRPr="00955E19" w:rsidRDefault="00E175F2" w:rsidP="003D70B3">
            <w:pPr>
              <w:rPr>
                <w:color w:val="000000"/>
                <w:sz w:val="20"/>
                <w:lang w:eastAsia="bg-BG"/>
              </w:rPr>
            </w:pPr>
            <w:r w:rsidRPr="00955E19">
              <w:rPr>
                <w:color w:val="000000"/>
                <w:sz w:val="20"/>
                <w:lang w:eastAsia="bg-BG"/>
              </w:rPr>
              <w:t>Брой нови акции</w:t>
            </w:r>
          </w:p>
        </w:tc>
        <w:tc>
          <w:tcPr>
            <w:tcW w:w="283" w:type="dxa"/>
            <w:noWrap/>
            <w:vAlign w:val="bottom"/>
          </w:tcPr>
          <w:p w14:paraId="67D13290" w14:textId="77777777" w:rsidR="00E175F2" w:rsidRPr="00955E19" w:rsidRDefault="00E175F2" w:rsidP="003D70B3">
            <w:pPr>
              <w:rPr>
                <w:color w:val="000000"/>
                <w:sz w:val="20"/>
                <w:lang w:eastAsia="bg-BG"/>
              </w:rPr>
            </w:pPr>
          </w:p>
        </w:tc>
        <w:tc>
          <w:tcPr>
            <w:tcW w:w="2020" w:type="dxa"/>
            <w:noWrap/>
            <w:vAlign w:val="bottom"/>
          </w:tcPr>
          <w:p w14:paraId="5F8DAFFA" w14:textId="77777777" w:rsidR="00E175F2" w:rsidRPr="00955E19" w:rsidRDefault="00E175F2" w:rsidP="003D70B3">
            <w:pPr>
              <w:jc w:val="right"/>
              <w:rPr>
                <w:sz w:val="20"/>
                <w:lang w:eastAsia="bg-BG"/>
              </w:rPr>
            </w:pPr>
            <w:r w:rsidRPr="00955E19">
              <w:rPr>
                <w:sz w:val="20"/>
              </w:rPr>
              <w:t>150</w:t>
            </w:r>
            <w:r w:rsidR="002A2565" w:rsidRPr="00955E19">
              <w:rPr>
                <w:sz w:val="20"/>
              </w:rPr>
              <w:t> </w:t>
            </w:r>
            <w:r w:rsidRPr="00955E19">
              <w:rPr>
                <w:sz w:val="20"/>
              </w:rPr>
              <w:t>000</w:t>
            </w:r>
          </w:p>
        </w:tc>
      </w:tr>
      <w:tr w:rsidR="00E175F2" w:rsidRPr="00955E19" w14:paraId="0FB7915D" w14:textId="77777777" w:rsidTr="00182A5C">
        <w:trPr>
          <w:trHeight w:val="300"/>
        </w:trPr>
        <w:tc>
          <w:tcPr>
            <w:tcW w:w="5949" w:type="dxa"/>
            <w:noWrap/>
            <w:vAlign w:val="bottom"/>
          </w:tcPr>
          <w:p w14:paraId="28E657BA" w14:textId="77777777" w:rsidR="00E175F2" w:rsidRPr="00955E19" w:rsidRDefault="00E175F2" w:rsidP="003D70B3">
            <w:pPr>
              <w:rPr>
                <w:color w:val="000000"/>
                <w:sz w:val="20"/>
                <w:lang w:eastAsia="bg-BG"/>
              </w:rPr>
            </w:pPr>
            <w:r w:rsidRPr="00955E19">
              <w:rPr>
                <w:color w:val="000000"/>
                <w:sz w:val="20"/>
                <w:lang w:eastAsia="bg-BG"/>
              </w:rPr>
              <w:t>Номинал (лв.)</w:t>
            </w:r>
          </w:p>
        </w:tc>
        <w:tc>
          <w:tcPr>
            <w:tcW w:w="283" w:type="dxa"/>
            <w:noWrap/>
            <w:vAlign w:val="bottom"/>
          </w:tcPr>
          <w:p w14:paraId="27C04CD8" w14:textId="77777777" w:rsidR="00E175F2" w:rsidRPr="00955E19" w:rsidRDefault="00E175F2" w:rsidP="003D70B3">
            <w:pPr>
              <w:rPr>
                <w:color w:val="000000"/>
                <w:sz w:val="20"/>
                <w:lang w:eastAsia="bg-BG"/>
              </w:rPr>
            </w:pPr>
          </w:p>
        </w:tc>
        <w:tc>
          <w:tcPr>
            <w:tcW w:w="2020" w:type="dxa"/>
            <w:noWrap/>
            <w:vAlign w:val="bottom"/>
          </w:tcPr>
          <w:p w14:paraId="1750BEE2" w14:textId="77777777" w:rsidR="00E175F2" w:rsidRPr="00955E19" w:rsidRDefault="00E175F2" w:rsidP="003D70B3">
            <w:pPr>
              <w:jc w:val="right"/>
              <w:rPr>
                <w:sz w:val="20"/>
                <w:lang w:eastAsia="bg-BG"/>
              </w:rPr>
            </w:pPr>
            <w:r w:rsidRPr="00955E19">
              <w:rPr>
                <w:sz w:val="20"/>
              </w:rPr>
              <w:t>1,00</w:t>
            </w:r>
          </w:p>
        </w:tc>
      </w:tr>
      <w:tr w:rsidR="00E175F2" w:rsidRPr="00955E19" w14:paraId="498DC6F9" w14:textId="77777777" w:rsidTr="00182A5C">
        <w:trPr>
          <w:trHeight w:val="300"/>
        </w:trPr>
        <w:tc>
          <w:tcPr>
            <w:tcW w:w="5949" w:type="dxa"/>
            <w:noWrap/>
            <w:vAlign w:val="bottom"/>
          </w:tcPr>
          <w:p w14:paraId="1050452D" w14:textId="77777777" w:rsidR="00E175F2" w:rsidRPr="00955E19" w:rsidRDefault="00E175F2" w:rsidP="003D70B3">
            <w:pPr>
              <w:rPr>
                <w:color w:val="000000"/>
                <w:sz w:val="20"/>
                <w:lang w:eastAsia="bg-BG"/>
              </w:rPr>
            </w:pPr>
            <w:r w:rsidRPr="00955E19">
              <w:rPr>
                <w:color w:val="000000"/>
                <w:sz w:val="20"/>
                <w:lang w:eastAsia="bg-BG"/>
              </w:rPr>
              <w:t>Емисионна стойност на акция (лв.)</w:t>
            </w:r>
          </w:p>
        </w:tc>
        <w:tc>
          <w:tcPr>
            <w:tcW w:w="283" w:type="dxa"/>
            <w:noWrap/>
            <w:vAlign w:val="bottom"/>
          </w:tcPr>
          <w:p w14:paraId="727A7F26" w14:textId="77777777" w:rsidR="00E175F2" w:rsidRPr="00955E19" w:rsidRDefault="00E175F2" w:rsidP="003D70B3">
            <w:pPr>
              <w:rPr>
                <w:color w:val="000000"/>
                <w:sz w:val="20"/>
                <w:lang w:eastAsia="bg-BG"/>
              </w:rPr>
            </w:pPr>
          </w:p>
        </w:tc>
        <w:tc>
          <w:tcPr>
            <w:tcW w:w="2020" w:type="dxa"/>
            <w:noWrap/>
            <w:vAlign w:val="bottom"/>
          </w:tcPr>
          <w:p w14:paraId="606CD0A9" w14:textId="77777777" w:rsidR="00E175F2" w:rsidRPr="00955E19" w:rsidRDefault="00E175F2" w:rsidP="003D70B3">
            <w:pPr>
              <w:jc w:val="right"/>
              <w:rPr>
                <w:sz w:val="20"/>
                <w:lang w:eastAsia="bg-BG"/>
              </w:rPr>
            </w:pPr>
            <w:r w:rsidRPr="00955E19">
              <w:rPr>
                <w:sz w:val="20"/>
              </w:rPr>
              <w:t>1,00</w:t>
            </w:r>
          </w:p>
        </w:tc>
      </w:tr>
      <w:tr w:rsidR="00E175F2" w:rsidRPr="00955E19" w14:paraId="775C4EA6" w14:textId="77777777" w:rsidTr="00182A5C">
        <w:trPr>
          <w:trHeight w:val="300"/>
        </w:trPr>
        <w:tc>
          <w:tcPr>
            <w:tcW w:w="5949" w:type="dxa"/>
            <w:noWrap/>
            <w:vAlign w:val="bottom"/>
          </w:tcPr>
          <w:p w14:paraId="5F1727A8" w14:textId="77777777" w:rsidR="00E175F2" w:rsidRPr="00955E19" w:rsidRDefault="00E175F2" w:rsidP="003D70B3">
            <w:pPr>
              <w:rPr>
                <w:color w:val="000000"/>
                <w:sz w:val="20"/>
                <w:lang w:eastAsia="bg-BG"/>
              </w:rPr>
            </w:pPr>
            <w:r w:rsidRPr="00955E19">
              <w:rPr>
                <w:color w:val="000000"/>
                <w:sz w:val="20"/>
                <w:lang w:eastAsia="bg-BG"/>
              </w:rPr>
              <w:t>Увеличение на капитала (лв.) - нетен размер</w:t>
            </w:r>
          </w:p>
        </w:tc>
        <w:tc>
          <w:tcPr>
            <w:tcW w:w="283" w:type="dxa"/>
            <w:vAlign w:val="bottom"/>
          </w:tcPr>
          <w:p w14:paraId="165932C6" w14:textId="77777777" w:rsidR="00E175F2" w:rsidRPr="00955E19" w:rsidRDefault="00E175F2" w:rsidP="003D70B3">
            <w:pPr>
              <w:rPr>
                <w:color w:val="000000"/>
                <w:sz w:val="20"/>
                <w:lang w:eastAsia="bg-BG"/>
              </w:rPr>
            </w:pPr>
          </w:p>
        </w:tc>
        <w:tc>
          <w:tcPr>
            <w:tcW w:w="2020" w:type="dxa"/>
            <w:noWrap/>
            <w:vAlign w:val="bottom"/>
          </w:tcPr>
          <w:p w14:paraId="76FD8821" w14:textId="578C904D" w:rsidR="00E175F2" w:rsidRPr="00955E19" w:rsidRDefault="002A2565" w:rsidP="003D70B3">
            <w:pPr>
              <w:jc w:val="right"/>
              <w:rPr>
                <w:sz w:val="20"/>
                <w:lang w:eastAsia="bg-BG"/>
              </w:rPr>
            </w:pPr>
            <w:r w:rsidRPr="00955E19">
              <w:rPr>
                <w:sz w:val="20"/>
              </w:rPr>
              <w:t>150</w:t>
            </w:r>
            <w:r w:rsidR="005D3C3B" w:rsidRPr="00955E19">
              <w:rPr>
                <w:sz w:val="20"/>
              </w:rPr>
              <w:t xml:space="preserve"> </w:t>
            </w:r>
            <w:r w:rsidRPr="00955E19">
              <w:rPr>
                <w:sz w:val="20"/>
              </w:rPr>
              <w:t>000</w:t>
            </w:r>
          </w:p>
        </w:tc>
      </w:tr>
      <w:tr w:rsidR="00E175F2" w:rsidRPr="00955E19" w14:paraId="2674D2F9" w14:textId="77777777" w:rsidTr="00EA36E0">
        <w:trPr>
          <w:trHeight w:hRule="exact" w:val="227"/>
        </w:trPr>
        <w:tc>
          <w:tcPr>
            <w:tcW w:w="5949" w:type="dxa"/>
            <w:shd w:val="clear" w:color="auto" w:fill="D9D9D9"/>
            <w:noWrap/>
            <w:vAlign w:val="bottom"/>
          </w:tcPr>
          <w:p w14:paraId="2B422F77" w14:textId="77777777" w:rsidR="00E175F2" w:rsidRPr="00955E19" w:rsidRDefault="00E175F2" w:rsidP="003D70B3">
            <w:pPr>
              <w:rPr>
                <w:color w:val="808080"/>
                <w:sz w:val="16"/>
                <w:szCs w:val="16"/>
                <w:lang w:eastAsia="bg-BG"/>
              </w:rPr>
            </w:pPr>
          </w:p>
        </w:tc>
        <w:tc>
          <w:tcPr>
            <w:tcW w:w="283" w:type="dxa"/>
            <w:shd w:val="clear" w:color="auto" w:fill="D9D9D9"/>
            <w:noWrap/>
            <w:vAlign w:val="bottom"/>
          </w:tcPr>
          <w:p w14:paraId="2523B722" w14:textId="77777777" w:rsidR="00E175F2" w:rsidRPr="00955E19" w:rsidRDefault="00E175F2" w:rsidP="006B776C">
            <w:pPr>
              <w:ind w:firstLineChars="500" w:firstLine="800"/>
              <w:rPr>
                <w:color w:val="808080"/>
                <w:sz w:val="16"/>
                <w:szCs w:val="16"/>
                <w:lang w:eastAsia="bg-BG"/>
              </w:rPr>
            </w:pPr>
          </w:p>
        </w:tc>
        <w:tc>
          <w:tcPr>
            <w:tcW w:w="2020" w:type="dxa"/>
            <w:shd w:val="clear" w:color="auto" w:fill="D9D9D9"/>
            <w:noWrap/>
            <w:vAlign w:val="bottom"/>
          </w:tcPr>
          <w:p w14:paraId="66355117" w14:textId="77777777" w:rsidR="00E175F2" w:rsidRPr="00955E19" w:rsidRDefault="00E175F2" w:rsidP="006B776C">
            <w:pPr>
              <w:ind w:firstLineChars="500" w:firstLine="800"/>
              <w:rPr>
                <w:color w:val="808080"/>
                <w:sz w:val="16"/>
                <w:szCs w:val="16"/>
                <w:lang w:eastAsia="bg-BG"/>
              </w:rPr>
            </w:pPr>
          </w:p>
        </w:tc>
      </w:tr>
      <w:tr w:rsidR="00E175F2" w:rsidRPr="00955E19" w14:paraId="5386E553" w14:textId="77777777" w:rsidTr="00182A5C">
        <w:trPr>
          <w:trHeight w:val="300"/>
        </w:trPr>
        <w:tc>
          <w:tcPr>
            <w:tcW w:w="5949" w:type="dxa"/>
            <w:noWrap/>
            <w:vAlign w:val="bottom"/>
          </w:tcPr>
          <w:p w14:paraId="6ACE5858" w14:textId="77777777" w:rsidR="00E175F2" w:rsidRPr="00955E19" w:rsidRDefault="00E175F2" w:rsidP="003D70B3">
            <w:pPr>
              <w:rPr>
                <w:b/>
                <w:bCs/>
                <w:color w:val="000000"/>
                <w:sz w:val="20"/>
                <w:lang w:eastAsia="bg-BG"/>
              </w:rPr>
            </w:pPr>
            <w:r w:rsidRPr="00955E19">
              <w:rPr>
                <w:b/>
                <w:bCs/>
                <w:color w:val="000000"/>
                <w:sz w:val="20"/>
                <w:lang w:eastAsia="bg-BG"/>
              </w:rPr>
              <w:t>След увеличението на капитала</w:t>
            </w:r>
          </w:p>
        </w:tc>
        <w:tc>
          <w:tcPr>
            <w:tcW w:w="283" w:type="dxa"/>
            <w:noWrap/>
            <w:vAlign w:val="bottom"/>
          </w:tcPr>
          <w:p w14:paraId="09202986" w14:textId="77777777" w:rsidR="00E175F2" w:rsidRPr="00955E19" w:rsidRDefault="00E175F2" w:rsidP="003D70B3">
            <w:pPr>
              <w:rPr>
                <w:b/>
                <w:bCs/>
                <w:color w:val="000000"/>
                <w:sz w:val="20"/>
                <w:lang w:eastAsia="bg-BG"/>
              </w:rPr>
            </w:pPr>
            <w:r w:rsidRPr="00955E19">
              <w:rPr>
                <w:b/>
                <w:bCs/>
                <w:color w:val="000000"/>
                <w:sz w:val="20"/>
                <w:lang w:eastAsia="bg-BG"/>
              </w:rPr>
              <w:t> </w:t>
            </w:r>
          </w:p>
        </w:tc>
        <w:tc>
          <w:tcPr>
            <w:tcW w:w="2020" w:type="dxa"/>
            <w:noWrap/>
            <w:vAlign w:val="bottom"/>
          </w:tcPr>
          <w:p w14:paraId="31E5AF68" w14:textId="77777777" w:rsidR="00E175F2" w:rsidRPr="00955E19" w:rsidRDefault="00E175F2" w:rsidP="003D70B3">
            <w:pPr>
              <w:rPr>
                <w:b/>
                <w:bCs/>
                <w:color w:val="000000"/>
                <w:sz w:val="20"/>
                <w:lang w:eastAsia="bg-BG"/>
              </w:rPr>
            </w:pPr>
          </w:p>
        </w:tc>
      </w:tr>
      <w:tr w:rsidR="00E175F2" w:rsidRPr="00955E19" w14:paraId="0F5839F9" w14:textId="77777777" w:rsidTr="00182A5C">
        <w:trPr>
          <w:trHeight w:val="300"/>
        </w:trPr>
        <w:tc>
          <w:tcPr>
            <w:tcW w:w="5949" w:type="dxa"/>
            <w:noWrap/>
            <w:vAlign w:val="bottom"/>
          </w:tcPr>
          <w:p w14:paraId="791871FF" w14:textId="77777777" w:rsidR="00E175F2" w:rsidRPr="00955E19" w:rsidRDefault="00E175F2" w:rsidP="003D70B3">
            <w:pPr>
              <w:rPr>
                <w:color w:val="000000"/>
                <w:sz w:val="20"/>
                <w:lang w:eastAsia="bg-BG"/>
              </w:rPr>
            </w:pPr>
            <w:r w:rsidRPr="00955E19">
              <w:rPr>
                <w:color w:val="000000"/>
                <w:sz w:val="20"/>
                <w:lang w:eastAsia="bg-BG"/>
              </w:rPr>
              <w:t>Брой акции след увеличението</w:t>
            </w:r>
          </w:p>
        </w:tc>
        <w:tc>
          <w:tcPr>
            <w:tcW w:w="283" w:type="dxa"/>
            <w:noWrap/>
            <w:vAlign w:val="bottom"/>
          </w:tcPr>
          <w:p w14:paraId="39DA4377" w14:textId="77777777" w:rsidR="00E175F2" w:rsidRPr="00955E19" w:rsidRDefault="00E175F2" w:rsidP="003D70B3">
            <w:pPr>
              <w:rPr>
                <w:color w:val="000000"/>
                <w:sz w:val="20"/>
                <w:lang w:eastAsia="bg-BG"/>
              </w:rPr>
            </w:pPr>
          </w:p>
        </w:tc>
        <w:tc>
          <w:tcPr>
            <w:tcW w:w="2020" w:type="dxa"/>
            <w:noWrap/>
            <w:vAlign w:val="bottom"/>
          </w:tcPr>
          <w:p w14:paraId="055B0194" w14:textId="77777777" w:rsidR="00E175F2" w:rsidRPr="00955E19" w:rsidRDefault="00E175F2" w:rsidP="003D70B3">
            <w:pPr>
              <w:jc w:val="right"/>
              <w:rPr>
                <w:color w:val="000000"/>
                <w:sz w:val="20"/>
                <w:lang w:eastAsia="bg-BG"/>
              </w:rPr>
            </w:pPr>
            <w:r w:rsidRPr="00955E19">
              <w:rPr>
                <w:color w:val="000000"/>
                <w:sz w:val="20"/>
              </w:rPr>
              <w:t>650 000</w:t>
            </w:r>
          </w:p>
        </w:tc>
      </w:tr>
      <w:tr w:rsidR="00E175F2" w:rsidRPr="00955E19" w14:paraId="655A1D48" w14:textId="77777777" w:rsidTr="008F217D">
        <w:trPr>
          <w:trHeight w:val="300"/>
        </w:trPr>
        <w:tc>
          <w:tcPr>
            <w:tcW w:w="5949" w:type="dxa"/>
            <w:noWrap/>
            <w:vAlign w:val="bottom"/>
          </w:tcPr>
          <w:p w14:paraId="46B4C991" w14:textId="77777777" w:rsidR="00E175F2" w:rsidRPr="00955E19" w:rsidRDefault="00E175F2" w:rsidP="003D70B3">
            <w:pPr>
              <w:rPr>
                <w:color w:val="000000"/>
                <w:sz w:val="20"/>
                <w:lang w:eastAsia="bg-BG"/>
              </w:rPr>
            </w:pPr>
            <w:r w:rsidRPr="00955E19">
              <w:rPr>
                <w:color w:val="000000"/>
                <w:sz w:val="20"/>
                <w:lang w:eastAsia="bg-BG"/>
              </w:rPr>
              <w:t>Балансова стойност на нетните активи (лв.)</w:t>
            </w:r>
          </w:p>
        </w:tc>
        <w:tc>
          <w:tcPr>
            <w:tcW w:w="283" w:type="dxa"/>
            <w:vAlign w:val="bottom"/>
          </w:tcPr>
          <w:p w14:paraId="20A59DCA" w14:textId="77777777" w:rsidR="00E175F2" w:rsidRPr="00955E19" w:rsidRDefault="00E175F2" w:rsidP="003D70B3">
            <w:pPr>
              <w:rPr>
                <w:color w:val="000000"/>
                <w:sz w:val="20"/>
                <w:lang w:eastAsia="bg-BG"/>
              </w:rPr>
            </w:pPr>
          </w:p>
        </w:tc>
        <w:tc>
          <w:tcPr>
            <w:tcW w:w="2020" w:type="dxa"/>
            <w:noWrap/>
            <w:vAlign w:val="bottom"/>
          </w:tcPr>
          <w:p w14:paraId="0CA30742" w14:textId="15B62AC5" w:rsidR="00E175F2" w:rsidRPr="00955E19" w:rsidRDefault="005D3C3B" w:rsidP="005D3C3B">
            <w:pPr>
              <w:jc w:val="right"/>
              <w:rPr>
                <w:color w:val="000000"/>
                <w:sz w:val="20"/>
                <w:lang w:eastAsia="bg-BG"/>
              </w:rPr>
            </w:pPr>
            <w:r w:rsidRPr="00955E19">
              <w:rPr>
                <w:color w:val="000000"/>
                <w:sz w:val="20"/>
              </w:rPr>
              <w:t>648 688</w:t>
            </w:r>
          </w:p>
        </w:tc>
      </w:tr>
      <w:tr w:rsidR="00E175F2" w:rsidRPr="00955E19" w14:paraId="41ED0EF1" w14:textId="77777777" w:rsidTr="008F217D">
        <w:trPr>
          <w:trHeight w:val="300"/>
        </w:trPr>
        <w:tc>
          <w:tcPr>
            <w:tcW w:w="5949" w:type="dxa"/>
            <w:noWrap/>
            <w:vAlign w:val="bottom"/>
          </w:tcPr>
          <w:p w14:paraId="4D2236BC" w14:textId="77777777" w:rsidR="00E175F2" w:rsidRPr="00955E19" w:rsidRDefault="00E175F2" w:rsidP="003D70B3">
            <w:pPr>
              <w:rPr>
                <w:color w:val="000000"/>
                <w:sz w:val="20"/>
                <w:lang w:eastAsia="bg-BG"/>
              </w:rPr>
            </w:pPr>
            <w:r w:rsidRPr="00955E19">
              <w:rPr>
                <w:color w:val="000000"/>
                <w:sz w:val="20"/>
                <w:lang w:eastAsia="bg-BG"/>
              </w:rPr>
              <w:t>Балансова стойност на акция след увеличението (лв.)</w:t>
            </w:r>
          </w:p>
        </w:tc>
        <w:tc>
          <w:tcPr>
            <w:tcW w:w="283" w:type="dxa"/>
            <w:vAlign w:val="bottom"/>
          </w:tcPr>
          <w:p w14:paraId="349AB37F" w14:textId="77777777" w:rsidR="00E175F2" w:rsidRPr="00955E19" w:rsidRDefault="00E175F2" w:rsidP="003D70B3">
            <w:pPr>
              <w:rPr>
                <w:color w:val="000000"/>
                <w:sz w:val="20"/>
                <w:lang w:eastAsia="bg-BG"/>
              </w:rPr>
            </w:pPr>
          </w:p>
        </w:tc>
        <w:tc>
          <w:tcPr>
            <w:tcW w:w="2020" w:type="dxa"/>
            <w:noWrap/>
            <w:vAlign w:val="bottom"/>
          </w:tcPr>
          <w:p w14:paraId="2DE4E9E0" w14:textId="77777777" w:rsidR="00E175F2" w:rsidRPr="00955E19" w:rsidRDefault="00E175F2" w:rsidP="003D70B3">
            <w:pPr>
              <w:jc w:val="right"/>
              <w:rPr>
                <w:color w:val="000000"/>
                <w:sz w:val="20"/>
                <w:lang w:eastAsia="bg-BG"/>
              </w:rPr>
            </w:pPr>
            <w:r w:rsidRPr="00955E19">
              <w:rPr>
                <w:color w:val="000000"/>
                <w:sz w:val="20"/>
              </w:rPr>
              <w:t>1,00</w:t>
            </w:r>
          </w:p>
        </w:tc>
      </w:tr>
      <w:tr w:rsidR="00E175F2" w:rsidRPr="00955E19" w14:paraId="2E165F67" w14:textId="77777777" w:rsidTr="00EA36E0">
        <w:trPr>
          <w:trHeight w:hRule="exact" w:val="227"/>
        </w:trPr>
        <w:tc>
          <w:tcPr>
            <w:tcW w:w="5949" w:type="dxa"/>
            <w:noWrap/>
            <w:vAlign w:val="bottom"/>
          </w:tcPr>
          <w:p w14:paraId="3E6301DA" w14:textId="77777777" w:rsidR="00E175F2" w:rsidRPr="00955E19" w:rsidRDefault="00E175F2" w:rsidP="0093675C">
            <w:pPr>
              <w:jc w:val="right"/>
              <w:rPr>
                <w:color w:val="000000"/>
                <w:sz w:val="20"/>
                <w:lang w:eastAsia="bg-BG"/>
              </w:rPr>
            </w:pPr>
          </w:p>
        </w:tc>
        <w:tc>
          <w:tcPr>
            <w:tcW w:w="283" w:type="dxa"/>
            <w:noWrap/>
            <w:vAlign w:val="bottom"/>
          </w:tcPr>
          <w:p w14:paraId="774ADAEA" w14:textId="77777777" w:rsidR="00E175F2" w:rsidRPr="00955E19" w:rsidRDefault="00E175F2" w:rsidP="0093675C">
            <w:pPr>
              <w:rPr>
                <w:sz w:val="20"/>
                <w:lang w:eastAsia="bg-BG"/>
              </w:rPr>
            </w:pPr>
          </w:p>
        </w:tc>
        <w:tc>
          <w:tcPr>
            <w:tcW w:w="2020" w:type="dxa"/>
            <w:noWrap/>
            <w:vAlign w:val="bottom"/>
          </w:tcPr>
          <w:p w14:paraId="0DBD313B" w14:textId="77777777" w:rsidR="00E175F2" w:rsidRPr="00955E19" w:rsidRDefault="00E175F2" w:rsidP="0093675C">
            <w:pPr>
              <w:rPr>
                <w:sz w:val="20"/>
                <w:lang w:eastAsia="bg-BG"/>
              </w:rPr>
            </w:pPr>
          </w:p>
        </w:tc>
      </w:tr>
      <w:tr w:rsidR="00E175F2" w:rsidRPr="00955E19" w14:paraId="1E64F3D3" w14:textId="77777777" w:rsidTr="00182A5C">
        <w:trPr>
          <w:trHeight w:val="300"/>
        </w:trPr>
        <w:tc>
          <w:tcPr>
            <w:tcW w:w="5949" w:type="dxa"/>
            <w:noWrap/>
            <w:vAlign w:val="bottom"/>
          </w:tcPr>
          <w:p w14:paraId="2B56CA63" w14:textId="77777777" w:rsidR="00E175F2" w:rsidRPr="00955E19" w:rsidRDefault="00E175F2" w:rsidP="0093675C">
            <w:pPr>
              <w:rPr>
                <w:b/>
                <w:bCs/>
                <w:color w:val="000000"/>
                <w:sz w:val="20"/>
                <w:lang w:eastAsia="bg-BG"/>
              </w:rPr>
            </w:pPr>
            <w:r w:rsidRPr="00955E19">
              <w:rPr>
                <w:b/>
                <w:bCs/>
                <w:color w:val="000000"/>
                <w:sz w:val="20"/>
                <w:lang w:eastAsia="bg-BG"/>
              </w:rPr>
              <w:t>Разводняване на 1 акция</w:t>
            </w:r>
          </w:p>
        </w:tc>
        <w:tc>
          <w:tcPr>
            <w:tcW w:w="283" w:type="dxa"/>
            <w:noWrap/>
            <w:vAlign w:val="bottom"/>
          </w:tcPr>
          <w:p w14:paraId="3B9EF4E2" w14:textId="77777777" w:rsidR="00E175F2" w:rsidRPr="00955E19" w:rsidRDefault="00E175F2" w:rsidP="0093675C">
            <w:pPr>
              <w:rPr>
                <w:b/>
                <w:bCs/>
                <w:color w:val="000000"/>
                <w:sz w:val="20"/>
                <w:lang w:eastAsia="bg-BG"/>
              </w:rPr>
            </w:pPr>
            <w:r w:rsidRPr="00955E19">
              <w:rPr>
                <w:b/>
                <w:bCs/>
                <w:color w:val="000000"/>
                <w:sz w:val="20"/>
                <w:lang w:eastAsia="bg-BG"/>
              </w:rPr>
              <w:t> </w:t>
            </w:r>
          </w:p>
        </w:tc>
        <w:tc>
          <w:tcPr>
            <w:tcW w:w="2020" w:type="dxa"/>
            <w:noWrap/>
            <w:vAlign w:val="bottom"/>
          </w:tcPr>
          <w:p w14:paraId="5C254F6D" w14:textId="77777777" w:rsidR="00E175F2" w:rsidRPr="00955E19" w:rsidRDefault="00E175F2" w:rsidP="0093675C">
            <w:pPr>
              <w:jc w:val="right"/>
              <w:rPr>
                <w:b/>
                <w:bCs/>
                <w:color w:val="000000"/>
                <w:sz w:val="20"/>
                <w:lang w:eastAsia="bg-BG"/>
              </w:rPr>
            </w:pPr>
            <w:r w:rsidRPr="00955E19">
              <w:rPr>
                <w:b/>
                <w:bCs/>
                <w:color w:val="000000"/>
                <w:sz w:val="20"/>
                <w:lang w:eastAsia="bg-BG"/>
              </w:rPr>
              <w:t>няма</w:t>
            </w:r>
          </w:p>
        </w:tc>
      </w:tr>
    </w:tbl>
    <w:p w14:paraId="21EA965C" w14:textId="4688C771" w:rsidR="00E175F2" w:rsidRPr="00955E19" w:rsidRDefault="00E175F2" w:rsidP="00152D36">
      <w:pPr>
        <w:spacing w:before="40" w:after="80"/>
        <w:jc w:val="both"/>
        <w:rPr>
          <w:i/>
          <w:sz w:val="20"/>
        </w:rPr>
      </w:pPr>
      <w:r w:rsidRPr="00955E19">
        <w:rPr>
          <w:b/>
          <w:i/>
          <w:sz w:val="20"/>
        </w:rPr>
        <w:t>Източник:</w:t>
      </w:r>
      <w:r w:rsidRPr="00955E19">
        <w:rPr>
          <w:i/>
          <w:sz w:val="20"/>
        </w:rPr>
        <w:t xml:space="preserve"> </w:t>
      </w:r>
      <w:r w:rsidR="005E3720" w:rsidRPr="00955E19">
        <w:rPr>
          <w:i/>
          <w:sz w:val="20"/>
        </w:rPr>
        <w:t xml:space="preserve">Одитиран </w:t>
      </w:r>
      <w:r w:rsidRPr="00955E19">
        <w:rPr>
          <w:i/>
          <w:sz w:val="20"/>
        </w:rPr>
        <w:t xml:space="preserve">междинен финансови отчет на „ГЛЕНМООР КЕПИТАЛ“ АДСИЦ към </w:t>
      </w:r>
      <w:r w:rsidR="005E3720" w:rsidRPr="00955E19">
        <w:rPr>
          <w:i/>
          <w:sz w:val="20"/>
        </w:rPr>
        <w:t>30</w:t>
      </w:r>
      <w:r w:rsidRPr="00955E19">
        <w:rPr>
          <w:i/>
          <w:sz w:val="20"/>
        </w:rPr>
        <w:t>.0</w:t>
      </w:r>
      <w:r w:rsidR="005E3720" w:rsidRPr="00955E19">
        <w:rPr>
          <w:i/>
          <w:sz w:val="20"/>
        </w:rPr>
        <w:t>6</w:t>
      </w:r>
      <w:r w:rsidRPr="00955E19">
        <w:rPr>
          <w:i/>
          <w:sz w:val="20"/>
        </w:rPr>
        <w:t>.2017 г.</w:t>
      </w:r>
    </w:p>
    <w:p w14:paraId="3F96FD72" w14:textId="44F9A699" w:rsidR="00E175F2" w:rsidRPr="00955E19" w:rsidRDefault="00E175F2" w:rsidP="006B7D04">
      <w:pPr>
        <w:spacing w:before="360" w:after="200"/>
        <w:jc w:val="both"/>
        <w:rPr>
          <w:sz w:val="20"/>
        </w:rPr>
      </w:pPr>
      <w:bookmarkStart w:id="152" w:name="OLE_LINK79"/>
      <w:r w:rsidRPr="00955E19">
        <w:rPr>
          <w:sz w:val="20"/>
        </w:rPr>
        <w:t xml:space="preserve">Към </w:t>
      </w:r>
      <w:r w:rsidR="005E3720" w:rsidRPr="00955E19">
        <w:rPr>
          <w:sz w:val="20"/>
        </w:rPr>
        <w:t>30</w:t>
      </w:r>
      <w:r w:rsidRPr="00955E19">
        <w:rPr>
          <w:sz w:val="20"/>
        </w:rPr>
        <w:t>.</w:t>
      </w:r>
      <w:r w:rsidR="005E3720" w:rsidRPr="00955E19">
        <w:rPr>
          <w:sz w:val="20"/>
        </w:rPr>
        <w:t>06</w:t>
      </w:r>
      <w:r w:rsidRPr="00955E19">
        <w:rPr>
          <w:sz w:val="20"/>
        </w:rPr>
        <w:t>.2017</w:t>
      </w:r>
      <w:r w:rsidRPr="00955E19">
        <w:rPr>
          <w:i/>
          <w:sz w:val="20"/>
        </w:rPr>
        <w:t xml:space="preserve"> </w:t>
      </w:r>
      <w:r w:rsidRPr="00955E19">
        <w:rPr>
          <w:sz w:val="20"/>
        </w:rPr>
        <w:t xml:space="preserve">г. балансовата стойност на нетните активи на “ГЛЕНМООР КЕПИТАЛ” АДСИЦ е </w:t>
      </w:r>
      <w:r w:rsidR="00B01424" w:rsidRPr="00955E19">
        <w:rPr>
          <w:sz w:val="20"/>
        </w:rPr>
        <w:t xml:space="preserve">499 </w:t>
      </w:r>
      <w:r w:rsidRPr="00955E19">
        <w:rPr>
          <w:sz w:val="20"/>
        </w:rPr>
        <w:t xml:space="preserve">хил. лв., разпределени в 500 000 акции. Съответно нетната балансова стойност на акция е 1,00 лв. </w:t>
      </w:r>
    </w:p>
    <w:p w14:paraId="1E85D6D5" w14:textId="39DD0B5C" w:rsidR="00E175F2" w:rsidRPr="00955E19" w:rsidRDefault="00E175F2" w:rsidP="00152D36">
      <w:pPr>
        <w:spacing w:after="200"/>
        <w:jc w:val="both"/>
        <w:rPr>
          <w:sz w:val="20"/>
        </w:rPr>
      </w:pPr>
      <w:r w:rsidRPr="00955E19">
        <w:rPr>
          <w:sz w:val="20"/>
        </w:rPr>
        <w:t xml:space="preserve">При записване на всички акции от увеличението, нетната балансова стойност на Дружеството ще се увеличи със 150 000  лв. (150 000 нови акции по 1,00 лв., без </w:t>
      </w:r>
      <w:r w:rsidR="00905D9F" w:rsidRPr="00955E19">
        <w:rPr>
          <w:sz w:val="20"/>
        </w:rPr>
        <w:t xml:space="preserve">стойността </w:t>
      </w:r>
      <w:r w:rsidRPr="00955E19">
        <w:rPr>
          <w:sz w:val="20"/>
        </w:rPr>
        <w:t xml:space="preserve">да се </w:t>
      </w:r>
      <w:r w:rsidR="00905D9F" w:rsidRPr="00955E19">
        <w:rPr>
          <w:sz w:val="20"/>
        </w:rPr>
        <w:t xml:space="preserve">коригира </w:t>
      </w:r>
      <w:r w:rsidRPr="00955E19">
        <w:rPr>
          <w:sz w:val="20"/>
        </w:rPr>
        <w:t>с разходите по емисията) до 650</w:t>
      </w:r>
      <w:r w:rsidR="00905D9F" w:rsidRPr="00955E19">
        <w:rPr>
          <w:sz w:val="20"/>
        </w:rPr>
        <w:t> </w:t>
      </w:r>
      <w:r w:rsidRPr="00955E19">
        <w:rPr>
          <w:sz w:val="20"/>
        </w:rPr>
        <w:t>000</w:t>
      </w:r>
      <w:r w:rsidR="00905D9F" w:rsidRPr="00955E19">
        <w:rPr>
          <w:sz w:val="20"/>
        </w:rPr>
        <w:t xml:space="preserve">  л</w:t>
      </w:r>
      <w:r w:rsidRPr="00955E19">
        <w:rPr>
          <w:sz w:val="20"/>
        </w:rPr>
        <w:t>в., а броят на акциите ще достигне 650 000 акции. Новата нетна балансова стойност на акция ще бъде равна на 1,00 лв. В случая няма разводняване на капитала на Дружеството</w:t>
      </w:r>
      <w:r w:rsidR="00D842E0" w:rsidRPr="00955E19">
        <w:rPr>
          <w:sz w:val="20"/>
        </w:rPr>
        <w:t xml:space="preserve"> в резултат на планираното увеличение на капитала.</w:t>
      </w:r>
    </w:p>
    <w:p w14:paraId="0F8F69BF" w14:textId="77777777" w:rsidR="00E175F2" w:rsidRPr="00955E19" w:rsidRDefault="00E175F2" w:rsidP="00152D36">
      <w:pPr>
        <w:spacing w:after="200"/>
        <w:jc w:val="both"/>
        <w:rPr>
          <w:sz w:val="20"/>
        </w:rPr>
      </w:pPr>
      <w:r w:rsidRPr="00955E19">
        <w:rPr>
          <w:sz w:val="20"/>
        </w:rPr>
        <w:lastRenderedPageBreak/>
        <w:t xml:space="preserve">Не се накърняват интересите на сегашните инвеститори, тъй като емисията се осъществява посредством издаването на права. По този начин всеки желаещ настоящ собственик на акции в “ГЛЕНМООР КЕПИТАЛ” АДСИЦ може да запази досегашния си дял в Дружеството при равностойно третиране на всички акционери. </w:t>
      </w:r>
    </w:p>
    <w:p w14:paraId="0BD878FD" w14:textId="77777777" w:rsidR="00E175F2" w:rsidRPr="00955E19" w:rsidRDefault="00E175F2" w:rsidP="00152D36">
      <w:pPr>
        <w:spacing w:after="200"/>
        <w:jc w:val="both"/>
        <w:rPr>
          <w:sz w:val="20"/>
        </w:rPr>
      </w:pPr>
      <w:bookmarkStart w:id="153" w:name="OLE_LINK84"/>
      <w:bookmarkEnd w:id="152"/>
      <w:r w:rsidRPr="00955E19">
        <w:rPr>
          <w:sz w:val="20"/>
        </w:rPr>
        <w:t>Посоченият случай е хипотетичен и всеки желаещ собственик на акции в “ГЛЕНМООР КЕПИТАЛ” АДСИЦ може да запази досегашния си дял от капитала на Дружеството при равностойно третиране на всички акционери. В случай че не упражнят полагащите им се права, настоящите акционери ще бъдат компенсирани за разводняването на техния дял от капитала с постъпленията от продажбата на техните права на явния аукцион.</w:t>
      </w:r>
    </w:p>
    <w:p w14:paraId="0AA64905" w14:textId="77777777" w:rsidR="00E175F2" w:rsidRPr="00955E19" w:rsidRDefault="00E175F2" w:rsidP="00251571">
      <w:pPr>
        <w:pStyle w:val="Heading1"/>
      </w:pPr>
      <w:bookmarkStart w:id="154" w:name="_Toc212867604"/>
      <w:bookmarkStart w:id="155" w:name="_Toc492995967"/>
      <w:bookmarkEnd w:id="153"/>
      <w:r w:rsidRPr="00955E19">
        <w:t>10.</w:t>
      </w:r>
      <w:r w:rsidRPr="00955E19">
        <w:tab/>
        <w:t>ДОПЪЛНИТЕЛНА ИНФОРМАЦИЯ</w:t>
      </w:r>
      <w:bookmarkEnd w:id="154"/>
      <w:bookmarkEnd w:id="155"/>
    </w:p>
    <w:p w14:paraId="284C06C1" w14:textId="77777777" w:rsidR="00E175F2" w:rsidRPr="00955E19" w:rsidRDefault="00E175F2" w:rsidP="00152D36">
      <w:pPr>
        <w:pStyle w:val="Heading2"/>
        <w:spacing w:line="240" w:lineRule="auto"/>
        <w:rPr>
          <w:spacing w:val="20"/>
        </w:rPr>
      </w:pPr>
      <w:bookmarkStart w:id="156" w:name="_Toc492995968"/>
      <w:bookmarkStart w:id="157" w:name="_Toc212867605"/>
      <w:bookmarkStart w:id="158" w:name="_Toc178741179"/>
      <w:bookmarkStart w:id="159" w:name="_Toc176068599"/>
      <w:r w:rsidRPr="00955E19">
        <w:rPr>
          <w:spacing w:val="20"/>
        </w:rPr>
        <w:t>10.1.Консултанти</w:t>
      </w:r>
      <w:bookmarkEnd w:id="156"/>
    </w:p>
    <w:p w14:paraId="07ABEDF6" w14:textId="77777777" w:rsidR="00E175F2" w:rsidRPr="00955E19" w:rsidRDefault="00E175F2" w:rsidP="007E2DE2">
      <w:pPr>
        <w:jc w:val="both"/>
      </w:pPr>
      <w:r w:rsidRPr="00955E19">
        <w:rPr>
          <w:sz w:val="20"/>
        </w:rPr>
        <w:t>Дружеството не ползва консултанти по настоящото публично предлагане на акции и в настоящия Документ за предлаганите ценни книжа не са упоменати такива.</w:t>
      </w:r>
    </w:p>
    <w:p w14:paraId="69D4B3A8" w14:textId="77777777" w:rsidR="00E175F2" w:rsidRPr="00955E19" w:rsidRDefault="00E175F2" w:rsidP="00152D36">
      <w:pPr>
        <w:pStyle w:val="Heading2"/>
        <w:spacing w:line="240" w:lineRule="auto"/>
        <w:rPr>
          <w:spacing w:val="20"/>
        </w:rPr>
      </w:pPr>
      <w:bookmarkStart w:id="160" w:name="_Toc492995969"/>
      <w:r w:rsidRPr="00955E19">
        <w:rPr>
          <w:spacing w:val="20"/>
        </w:rPr>
        <w:t>10.2. Индикация за информация, която е одитирана</w:t>
      </w:r>
      <w:bookmarkEnd w:id="157"/>
      <w:bookmarkEnd w:id="160"/>
    </w:p>
    <w:p w14:paraId="1FFD2434" w14:textId="17C043E0" w:rsidR="00E175F2" w:rsidRPr="00955E19" w:rsidRDefault="00E175F2" w:rsidP="00152D36">
      <w:pPr>
        <w:spacing w:after="200"/>
        <w:jc w:val="both"/>
        <w:rPr>
          <w:sz w:val="20"/>
        </w:rPr>
      </w:pPr>
      <w:r w:rsidRPr="00955E19">
        <w:rPr>
          <w:sz w:val="20"/>
        </w:rPr>
        <w:t xml:space="preserve">В настоящия Документ за предлаганите ценни книжа е включена историческа финансова информация от одитирания междинен финансов отчет на Емитента за периода </w:t>
      </w:r>
      <w:r w:rsidR="004278DB" w:rsidRPr="00955E19">
        <w:rPr>
          <w:sz w:val="20"/>
        </w:rPr>
        <w:t>21</w:t>
      </w:r>
      <w:r w:rsidRPr="00955E19">
        <w:rPr>
          <w:sz w:val="20"/>
        </w:rPr>
        <w:t>.</w:t>
      </w:r>
      <w:r w:rsidR="004278DB" w:rsidRPr="00955E19">
        <w:rPr>
          <w:sz w:val="20"/>
        </w:rPr>
        <w:t>03</w:t>
      </w:r>
      <w:r w:rsidRPr="00955E19">
        <w:rPr>
          <w:sz w:val="20"/>
        </w:rPr>
        <w:t>.2017 г.</w:t>
      </w:r>
      <w:r w:rsidR="004278DB" w:rsidRPr="00955E19">
        <w:rPr>
          <w:sz w:val="20"/>
        </w:rPr>
        <w:t>-30</w:t>
      </w:r>
      <w:r w:rsidRPr="00955E19">
        <w:rPr>
          <w:sz w:val="20"/>
        </w:rPr>
        <w:t>.</w:t>
      </w:r>
      <w:r w:rsidR="004278DB" w:rsidRPr="00955E19">
        <w:rPr>
          <w:sz w:val="20"/>
        </w:rPr>
        <w:t>06</w:t>
      </w:r>
      <w:r w:rsidRPr="00955E19">
        <w:rPr>
          <w:sz w:val="20"/>
        </w:rPr>
        <w:t>.2017 г. Освен посочената финансова информация, не е включена друга информация, която да е одитирана или прегледана от определени по закон одитори, нито такава, по която да е изготвен доклад от такива.</w:t>
      </w:r>
    </w:p>
    <w:p w14:paraId="4D628F25" w14:textId="77777777" w:rsidR="00E175F2" w:rsidRPr="00955E19" w:rsidRDefault="00E175F2" w:rsidP="00152D36">
      <w:pPr>
        <w:pStyle w:val="Heading2"/>
        <w:spacing w:line="240" w:lineRule="auto"/>
        <w:rPr>
          <w:spacing w:val="20"/>
        </w:rPr>
      </w:pPr>
      <w:bookmarkStart w:id="161" w:name="_Toc212867606"/>
      <w:bookmarkStart w:id="162" w:name="_Toc492995970"/>
      <w:r w:rsidRPr="00955E19">
        <w:rPr>
          <w:spacing w:val="20"/>
        </w:rPr>
        <w:t>10.3. Изявление или доклад на експерт</w:t>
      </w:r>
      <w:bookmarkEnd w:id="158"/>
      <w:bookmarkEnd w:id="161"/>
      <w:bookmarkEnd w:id="162"/>
      <w:r w:rsidRPr="00955E19">
        <w:rPr>
          <w:spacing w:val="20"/>
        </w:rPr>
        <w:t xml:space="preserve"> </w:t>
      </w:r>
      <w:bookmarkEnd w:id="159"/>
    </w:p>
    <w:p w14:paraId="591A5761" w14:textId="77777777" w:rsidR="00E175F2" w:rsidRPr="00955E19" w:rsidRDefault="00E175F2" w:rsidP="00152D36">
      <w:pPr>
        <w:spacing w:after="200"/>
        <w:jc w:val="both"/>
        <w:rPr>
          <w:sz w:val="20"/>
        </w:rPr>
      </w:pPr>
      <w:r w:rsidRPr="00955E19">
        <w:rPr>
          <w:sz w:val="20"/>
        </w:rPr>
        <w:t>В настоящия Документ за предлаганите ценни книжа не са включени изявления или доклади на експерти или трети лица.</w:t>
      </w:r>
      <w:bookmarkEnd w:id="145"/>
      <w:bookmarkEnd w:id="146"/>
      <w:bookmarkEnd w:id="147"/>
      <w:bookmarkEnd w:id="148"/>
      <w:bookmarkEnd w:id="149"/>
      <w:bookmarkEnd w:id="150"/>
    </w:p>
    <w:p w14:paraId="62971561" w14:textId="77777777" w:rsidR="00E175F2" w:rsidRPr="00955E19" w:rsidRDefault="00E175F2" w:rsidP="00152D36">
      <w:pPr>
        <w:pStyle w:val="Heading2"/>
        <w:spacing w:line="240" w:lineRule="auto"/>
        <w:rPr>
          <w:spacing w:val="20"/>
        </w:rPr>
      </w:pPr>
      <w:bookmarkStart w:id="163" w:name="_Toc492995971"/>
      <w:r w:rsidRPr="00955E19">
        <w:rPr>
          <w:spacing w:val="20"/>
        </w:rPr>
        <w:t>10.4. Информация от трети лица</w:t>
      </w:r>
      <w:bookmarkEnd w:id="163"/>
    </w:p>
    <w:p w14:paraId="591C0EB7" w14:textId="77777777" w:rsidR="00E175F2" w:rsidRPr="00955E19" w:rsidRDefault="00E175F2" w:rsidP="00152D36">
      <w:pPr>
        <w:spacing w:after="200"/>
        <w:jc w:val="both"/>
        <w:rPr>
          <w:sz w:val="20"/>
        </w:rPr>
      </w:pPr>
      <w:r w:rsidRPr="00955E19">
        <w:rPr>
          <w:sz w:val="20"/>
        </w:rPr>
        <w:t>“ГЛЕНМООР КЕПИТАЛ” АДСИЦ потвърждава, че информацията, която е получена от трети страни (одиторите на Емитента, които са посочени в т. 1.1. от настоящия Документ за предлаганите ценни книжа), е точно възпроизведена и че доколкото Емитентът е осведомен и може да провери информацията, публикувана от тези трети страни, не са били пропуснати никакви факти, които биха направили възпроизведената информация неточна или подвеждаща.</w:t>
      </w:r>
    </w:p>
    <w:p w14:paraId="246D7293" w14:textId="77777777" w:rsidR="00E175F2" w:rsidRPr="00955E19" w:rsidRDefault="00E175F2" w:rsidP="00152D36">
      <w:pPr>
        <w:spacing w:after="200"/>
        <w:jc w:val="both"/>
        <w:rPr>
          <w:b/>
          <w:i/>
          <w:sz w:val="22"/>
          <w:szCs w:val="22"/>
        </w:rPr>
      </w:pPr>
      <w:r w:rsidRPr="00955E19">
        <w:rPr>
          <w:sz w:val="20"/>
        </w:rPr>
        <w:br w:type="page"/>
      </w:r>
      <w:r w:rsidRPr="00955E19">
        <w:rPr>
          <w:b/>
          <w:i/>
          <w:sz w:val="22"/>
          <w:szCs w:val="22"/>
        </w:rPr>
        <w:lastRenderedPageBreak/>
        <w:t>Информация за мястото, времето и начина, по който може да бъде получена допълнителна информация, включително адрес, телефон, работно време и лице за контакти</w:t>
      </w:r>
    </w:p>
    <w:p w14:paraId="15D1410E" w14:textId="77777777" w:rsidR="00E175F2" w:rsidRPr="00955E19" w:rsidRDefault="00E175F2" w:rsidP="00152D36">
      <w:pPr>
        <w:spacing w:after="120"/>
        <w:rPr>
          <w:b/>
          <w:i/>
          <w:sz w:val="22"/>
          <w:szCs w:val="22"/>
        </w:rPr>
      </w:pPr>
    </w:p>
    <w:p w14:paraId="17B96CC9" w14:textId="77777777" w:rsidR="00E175F2" w:rsidRPr="00955E19" w:rsidRDefault="00E175F2" w:rsidP="00152D36">
      <w:pPr>
        <w:spacing w:after="120"/>
        <w:jc w:val="both"/>
        <w:rPr>
          <w:sz w:val="20"/>
        </w:rPr>
      </w:pPr>
      <w:r w:rsidRPr="00955E19">
        <w:rPr>
          <w:sz w:val="20"/>
        </w:rPr>
        <w:t>На инвеститорите е осигурен достъп до допълнителна информация в офисите на Емитента и на упълномощения инвестиционен посредник, указани в таблицата.</w:t>
      </w:r>
    </w:p>
    <w:tbl>
      <w:tblPr>
        <w:tblW w:w="0" w:type="auto"/>
        <w:tblInd w:w="228" w:type="dxa"/>
        <w:tblBorders>
          <w:bottom w:val="double" w:sz="4" w:space="0" w:color="auto"/>
        </w:tblBorders>
        <w:tblLook w:val="00A0" w:firstRow="1" w:lastRow="0" w:firstColumn="1" w:lastColumn="0" w:noHBand="0" w:noVBand="0"/>
      </w:tblPr>
      <w:tblGrid>
        <w:gridCol w:w="9000"/>
      </w:tblGrid>
      <w:tr w:rsidR="00E175F2" w:rsidRPr="00955E19" w14:paraId="719B883B" w14:textId="77777777" w:rsidTr="00955BCE">
        <w:trPr>
          <w:trHeight w:val="450"/>
        </w:trPr>
        <w:tc>
          <w:tcPr>
            <w:tcW w:w="9000" w:type="dxa"/>
            <w:vAlign w:val="center"/>
          </w:tcPr>
          <w:p w14:paraId="3F8F256C" w14:textId="77777777" w:rsidR="00E175F2" w:rsidRPr="00955E19" w:rsidRDefault="00E175F2" w:rsidP="00955BCE">
            <w:pPr>
              <w:pStyle w:val="PlainText"/>
              <w:rPr>
                <w:rFonts w:ascii="Times New Roman" w:hAnsi="Times New Roman"/>
                <w:lang w:eastAsia="en-US"/>
              </w:rPr>
            </w:pPr>
            <w:r w:rsidRPr="00955E19">
              <w:rPr>
                <w:rFonts w:ascii="Times New Roman" w:hAnsi="Times New Roman"/>
                <w:lang w:eastAsia="en-US"/>
              </w:rPr>
              <w:t xml:space="preserve">Емитента: </w:t>
            </w:r>
          </w:p>
        </w:tc>
      </w:tr>
      <w:tr w:rsidR="00E175F2" w:rsidRPr="00955E19" w14:paraId="2F309A34" w14:textId="77777777" w:rsidTr="00955BCE">
        <w:trPr>
          <w:trHeight w:val="207"/>
        </w:trPr>
        <w:tc>
          <w:tcPr>
            <w:tcW w:w="9000" w:type="dxa"/>
            <w:vAlign w:val="center"/>
          </w:tcPr>
          <w:p w14:paraId="76C64421" w14:textId="77777777" w:rsidR="00E175F2" w:rsidRPr="00955E19" w:rsidRDefault="00E175F2" w:rsidP="00955BCE">
            <w:pPr>
              <w:pStyle w:val="PlainText"/>
              <w:rPr>
                <w:rFonts w:ascii="Times New Roman" w:hAnsi="Times New Roman"/>
                <w:lang w:eastAsia="en-US"/>
              </w:rPr>
            </w:pPr>
            <w:r w:rsidRPr="00955E19">
              <w:rPr>
                <w:rFonts w:ascii="Times New Roman" w:hAnsi="Times New Roman"/>
                <w:lang w:eastAsia="en-US"/>
              </w:rPr>
              <w:t>“ГЛЕНМООР КЕПИТАЛ” АДСИЦ</w:t>
            </w:r>
          </w:p>
        </w:tc>
      </w:tr>
      <w:tr w:rsidR="00E175F2" w:rsidRPr="00955E19" w14:paraId="5548E7B6" w14:textId="77777777" w:rsidTr="00955BCE">
        <w:tc>
          <w:tcPr>
            <w:tcW w:w="9000" w:type="dxa"/>
          </w:tcPr>
          <w:p w14:paraId="76988C3D" w14:textId="77777777" w:rsidR="00E175F2" w:rsidRPr="00955E19" w:rsidRDefault="00E175F2" w:rsidP="00955BCE">
            <w:pPr>
              <w:pStyle w:val="PlainText"/>
              <w:rPr>
                <w:rFonts w:ascii="Times New Roman" w:hAnsi="Times New Roman"/>
                <w:lang w:eastAsia="en-US"/>
              </w:rPr>
            </w:pPr>
            <w:r w:rsidRPr="00955E19">
              <w:rPr>
                <w:rFonts w:ascii="Times New Roman" w:hAnsi="Times New Roman"/>
                <w:b/>
                <w:lang w:val="ru-RU" w:eastAsia="en-US"/>
              </w:rPr>
              <w:t>Адрес:</w:t>
            </w:r>
            <w:r w:rsidRPr="00955E19">
              <w:rPr>
                <w:rFonts w:ascii="Times New Roman" w:hAnsi="Times New Roman"/>
                <w:lang w:val="ru-RU" w:eastAsia="en-US"/>
              </w:rPr>
              <w:t xml:space="preserve"> гр. Варна, р-н Одесос, пощенски код: 9000, ул. </w:t>
            </w:r>
            <w:r w:rsidRPr="00955E19">
              <w:rPr>
                <w:rFonts w:ascii="Times New Roman" w:hAnsi="Times New Roman"/>
                <w:lang w:eastAsia="en-US"/>
              </w:rPr>
              <w:t xml:space="preserve">„Шипка” № 10, ет.5; </w:t>
            </w:r>
          </w:p>
        </w:tc>
      </w:tr>
      <w:tr w:rsidR="00E175F2" w:rsidRPr="00955E19" w14:paraId="0F55289C" w14:textId="77777777" w:rsidTr="00955BCE">
        <w:tc>
          <w:tcPr>
            <w:tcW w:w="9000" w:type="dxa"/>
          </w:tcPr>
          <w:p w14:paraId="68EE0C27" w14:textId="77777777" w:rsidR="00E175F2" w:rsidRPr="00955E19" w:rsidRDefault="00E175F2" w:rsidP="00955BCE">
            <w:pPr>
              <w:pStyle w:val="PlainText"/>
              <w:rPr>
                <w:rFonts w:ascii="Times New Roman" w:hAnsi="Times New Roman"/>
                <w:b/>
                <w:lang w:eastAsia="en-US"/>
              </w:rPr>
            </w:pPr>
            <w:r w:rsidRPr="00955E19">
              <w:rPr>
                <w:rFonts w:ascii="Times New Roman" w:hAnsi="Times New Roman"/>
                <w:b/>
                <w:lang w:eastAsia="en-US"/>
              </w:rPr>
              <w:t xml:space="preserve">Тел.: </w:t>
            </w:r>
            <w:r w:rsidRPr="00955E19">
              <w:rPr>
                <w:rFonts w:ascii="Times New Roman" w:hAnsi="Times New Roman"/>
                <w:lang w:eastAsia="en-US"/>
              </w:rPr>
              <w:t>+ 359 882 533 006</w:t>
            </w:r>
          </w:p>
        </w:tc>
      </w:tr>
      <w:tr w:rsidR="00E175F2" w:rsidRPr="00955E19" w14:paraId="1416DDA2" w14:textId="77777777" w:rsidTr="00955BCE">
        <w:tc>
          <w:tcPr>
            <w:tcW w:w="9000" w:type="dxa"/>
          </w:tcPr>
          <w:p w14:paraId="5103A67D" w14:textId="77777777" w:rsidR="00E175F2" w:rsidRPr="00955E19" w:rsidRDefault="00E175F2" w:rsidP="00955BCE">
            <w:pPr>
              <w:pStyle w:val="PlainText"/>
              <w:rPr>
                <w:rFonts w:ascii="Times New Roman" w:hAnsi="Times New Roman"/>
                <w:b/>
                <w:lang w:val="ru-RU" w:eastAsia="en-US"/>
              </w:rPr>
            </w:pPr>
            <w:r w:rsidRPr="00955E19">
              <w:rPr>
                <w:rFonts w:ascii="Times New Roman" w:hAnsi="Times New Roman"/>
                <w:b/>
                <w:lang w:val="ru-RU" w:eastAsia="en-US"/>
              </w:rPr>
              <w:t xml:space="preserve">Е-поща: </w:t>
            </w:r>
            <w:r w:rsidRPr="00955E19">
              <w:rPr>
                <w:rFonts w:ascii="Times New Roman" w:hAnsi="Times New Roman"/>
                <w:lang w:eastAsia="en-US"/>
              </w:rPr>
              <w:t>gmr</w:t>
            </w:r>
            <w:r w:rsidRPr="00955E19">
              <w:rPr>
                <w:rFonts w:ascii="Times New Roman" w:hAnsi="Times New Roman"/>
                <w:lang w:val="ru-RU" w:eastAsia="en-US"/>
              </w:rPr>
              <w:t>.</w:t>
            </w:r>
            <w:r w:rsidRPr="00955E19">
              <w:rPr>
                <w:rFonts w:ascii="Times New Roman" w:hAnsi="Times New Roman"/>
                <w:lang w:eastAsia="en-US"/>
              </w:rPr>
              <w:t>reit</w:t>
            </w:r>
            <w:r w:rsidRPr="00955E19">
              <w:rPr>
                <w:rFonts w:ascii="Times New Roman" w:hAnsi="Times New Roman"/>
                <w:lang w:val="ru-RU" w:eastAsia="en-US"/>
              </w:rPr>
              <w:t>@</w:t>
            </w:r>
            <w:r w:rsidRPr="00955E19">
              <w:rPr>
                <w:rFonts w:ascii="Times New Roman" w:hAnsi="Times New Roman"/>
                <w:lang w:eastAsia="en-US"/>
              </w:rPr>
              <w:t>gmr</w:t>
            </w:r>
            <w:r w:rsidRPr="00955E19">
              <w:rPr>
                <w:rFonts w:ascii="Times New Roman" w:hAnsi="Times New Roman"/>
                <w:lang w:val="ru-RU" w:eastAsia="en-US"/>
              </w:rPr>
              <w:t>-</w:t>
            </w:r>
            <w:r w:rsidRPr="00955E19">
              <w:rPr>
                <w:rFonts w:ascii="Times New Roman" w:hAnsi="Times New Roman"/>
                <w:lang w:eastAsia="en-US"/>
              </w:rPr>
              <w:t>reit</w:t>
            </w:r>
            <w:r w:rsidRPr="00955E19">
              <w:rPr>
                <w:rFonts w:ascii="Times New Roman" w:hAnsi="Times New Roman"/>
                <w:lang w:val="ru-RU" w:eastAsia="en-US"/>
              </w:rPr>
              <w:t>.</w:t>
            </w:r>
            <w:r w:rsidRPr="00955E19">
              <w:rPr>
                <w:rFonts w:ascii="Times New Roman" w:hAnsi="Times New Roman"/>
                <w:lang w:eastAsia="en-US"/>
              </w:rPr>
              <w:t>com</w:t>
            </w:r>
          </w:p>
        </w:tc>
      </w:tr>
      <w:tr w:rsidR="00E175F2" w:rsidRPr="00955E19" w14:paraId="7FB23452" w14:textId="77777777" w:rsidTr="00955BCE">
        <w:tc>
          <w:tcPr>
            <w:tcW w:w="9000" w:type="dxa"/>
          </w:tcPr>
          <w:p w14:paraId="4C41499F" w14:textId="77777777" w:rsidR="00E175F2" w:rsidRPr="00955E19" w:rsidRDefault="00E175F2" w:rsidP="00955BCE">
            <w:pPr>
              <w:pStyle w:val="PlainText"/>
              <w:rPr>
                <w:rFonts w:ascii="Times New Roman" w:hAnsi="Times New Roman"/>
                <w:lang w:val="ru-RU" w:eastAsia="en-US"/>
              </w:rPr>
            </w:pPr>
            <w:r w:rsidRPr="00955E19">
              <w:rPr>
                <w:rFonts w:ascii="Times New Roman" w:hAnsi="Times New Roman"/>
                <w:lang w:val="ru-RU" w:eastAsia="en-US"/>
              </w:rPr>
              <w:t>Лице за контакт: Асен Величков</w:t>
            </w:r>
          </w:p>
        </w:tc>
      </w:tr>
      <w:tr w:rsidR="00E175F2" w:rsidRPr="00955E19" w14:paraId="53537D59" w14:textId="77777777" w:rsidTr="00955BCE">
        <w:trPr>
          <w:trHeight w:val="351"/>
        </w:trPr>
        <w:tc>
          <w:tcPr>
            <w:tcW w:w="9000" w:type="dxa"/>
            <w:tcBorders>
              <w:bottom w:val="nil"/>
            </w:tcBorders>
          </w:tcPr>
          <w:p w14:paraId="728E2CA4" w14:textId="77777777" w:rsidR="00E175F2" w:rsidRPr="00955E19" w:rsidRDefault="00E175F2" w:rsidP="00955BCE">
            <w:pPr>
              <w:pStyle w:val="PlainText"/>
              <w:rPr>
                <w:rFonts w:ascii="Times New Roman" w:hAnsi="Times New Roman"/>
                <w:lang w:val="ru-RU" w:eastAsia="en-US"/>
              </w:rPr>
            </w:pPr>
            <w:r w:rsidRPr="00955E19">
              <w:rPr>
                <w:rFonts w:ascii="Times New Roman" w:hAnsi="Times New Roman"/>
                <w:lang w:val="ru-RU" w:eastAsia="en-US"/>
              </w:rPr>
              <w:t>Всеки работен ден от 9,00 до 17,00 часа.</w:t>
            </w:r>
          </w:p>
        </w:tc>
      </w:tr>
      <w:tr w:rsidR="00E175F2" w:rsidRPr="00955E19" w14:paraId="2A2837AD" w14:textId="77777777" w:rsidTr="00955BCE">
        <w:trPr>
          <w:trHeight w:val="378"/>
        </w:trPr>
        <w:tc>
          <w:tcPr>
            <w:tcW w:w="9000" w:type="dxa"/>
            <w:tcBorders>
              <w:top w:val="nil"/>
              <w:bottom w:val="nil"/>
            </w:tcBorders>
            <w:vAlign w:val="center"/>
          </w:tcPr>
          <w:p w14:paraId="44FC9D38" w14:textId="77777777" w:rsidR="00E175F2" w:rsidRPr="00955E19" w:rsidRDefault="00E175F2" w:rsidP="00955BCE">
            <w:pPr>
              <w:pStyle w:val="PlainText"/>
              <w:rPr>
                <w:rFonts w:ascii="Times New Roman" w:hAnsi="Times New Roman"/>
                <w:lang w:eastAsia="en-US"/>
              </w:rPr>
            </w:pPr>
            <w:r w:rsidRPr="00955E19">
              <w:rPr>
                <w:rFonts w:ascii="Times New Roman" w:hAnsi="Times New Roman"/>
                <w:lang w:eastAsia="en-US"/>
              </w:rPr>
              <w:t>Инвестиционен посредник:</w:t>
            </w:r>
            <w:r w:rsidRPr="00955E19">
              <w:rPr>
                <w:rFonts w:ascii="Times New Roman" w:hAnsi="Times New Roman"/>
                <w:lang w:eastAsia="en-US"/>
              </w:rPr>
              <w:tab/>
            </w:r>
          </w:p>
        </w:tc>
      </w:tr>
      <w:tr w:rsidR="00E175F2" w:rsidRPr="00955E19" w14:paraId="0823846A" w14:textId="77777777" w:rsidTr="00955BCE">
        <w:trPr>
          <w:trHeight w:val="333"/>
        </w:trPr>
        <w:tc>
          <w:tcPr>
            <w:tcW w:w="9000" w:type="dxa"/>
            <w:tcBorders>
              <w:top w:val="nil"/>
            </w:tcBorders>
            <w:vAlign w:val="center"/>
          </w:tcPr>
          <w:p w14:paraId="63ECA284" w14:textId="77777777" w:rsidR="00E175F2" w:rsidRPr="00955E19" w:rsidRDefault="00E175F2" w:rsidP="00955BCE">
            <w:pPr>
              <w:pStyle w:val="PlainText"/>
              <w:rPr>
                <w:rFonts w:ascii="Times New Roman" w:hAnsi="Times New Roman"/>
                <w:lang w:val="bg-BG" w:eastAsia="en-US"/>
              </w:rPr>
            </w:pPr>
            <w:r w:rsidRPr="00955E19">
              <w:rPr>
                <w:rFonts w:ascii="Times New Roman" w:hAnsi="Times New Roman"/>
                <w:lang w:val="ru-RU" w:eastAsia="en-US"/>
              </w:rPr>
              <w:t>ИП "ЪП ТРЕНД" ООД</w:t>
            </w:r>
            <w:r w:rsidRPr="00955E19">
              <w:rPr>
                <w:rFonts w:ascii="Times New Roman" w:hAnsi="Times New Roman"/>
                <w:lang w:val="bg-BG" w:eastAsia="en-US"/>
              </w:rPr>
              <w:t xml:space="preserve"> (с предишно наименование „БУЛ ТРЕНД БРОКЕРИДЖ” ООД)</w:t>
            </w:r>
          </w:p>
        </w:tc>
      </w:tr>
      <w:tr w:rsidR="00E175F2" w:rsidRPr="00955E19" w14:paraId="492C2FB0" w14:textId="77777777" w:rsidTr="00955BCE">
        <w:tc>
          <w:tcPr>
            <w:tcW w:w="9000" w:type="dxa"/>
          </w:tcPr>
          <w:p w14:paraId="559B7D8B" w14:textId="287FDCBF" w:rsidR="00E175F2" w:rsidRPr="00A456B2" w:rsidRDefault="00A456B2" w:rsidP="00955BCE">
            <w:pPr>
              <w:pStyle w:val="PlainText"/>
              <w:rPr>
                <w:rFonts w:ascii="Times New Roman" w:hAnsi="Times New Roman"/>
                <w:lang w:eastAsia="en-US"/>
              </w:rPr>
            </w:pPr>
            <w:r w:rsidRPr="00A456B2">
              <w:rPr>
                <w:rFonts w:ascii="Times New Roman" w:hAnsi="Times New Roman"/>
                <w:b/>
                <w:lang w:val="ru-RU" w:eastAsia="en-US"/>
              </w:rPr>
              <w:t>Адрес</w:t>
            </w:r>
            <w:r w:rsidRPr="000F1AF2">
              <w:rPr>
                <w:rFonts w:ascii="Times New Roman" w:hAnsi="Times New Roman"/>
                <w:lang w:val="ru-RU" w:eastAsia="en-US"/>
              </w:rPr>
              <w:t xml:space="preserve">: гр. София, р-н </w:t>
            </w:r>
            <w:proofErr w:type="spellStart"/>
            <w:r w:rsidRPr="000F1AF2">
              <w:rPr>
                <w:rFonts w:ascii="Times New Roman" w:hAnsi="Times New Roman"/>
                <w:lang w:val="ru-RU" w:eastAsia="en-US"/>
              </w:rPr>
              <w:t>Лозенец</w:t>
            </w:r>
            <w:proofErr w:type="spellEnd"/>
            <w:r w:rsidRPr="000F1AF2">
              <w:rPr>
                <w:rFonts w:ascii="Times New Roman" w:hAnsi="Times New Roman"/>
                <w:lang w:val="ru-RU" w:eastAsia="en-US"/>
              </w:rPr>
              <w:t xml:space="preserve">, бул. Никола Й. </w:t>
            </w:r>
            <w:proofErr w:type="spellStart"/>
            <w:r w:rsidRPr="000F1AF2">
              <w:rPr>
                <w:rFonts w:ascii="Times New Roman" w:hAnsi="Times New Roman"/>
                <w:lang w:val="ru-RU" w:eastAsia="en-US"/>
              </w:rPr>
              <w:t>Вапцаров</w:t>
            </w:r>
            <w:proofErr w:type="spellEnd"/>
            <w:r w:rsidRPr="000F1AF2">
              <w:rPr>
                <w:rFonts w:ascii="Times New Roman" w:hAnsi="Times New Roman"/>
                <w:lang w:val="ru-RU" w:eastAsia="en-US"/>
              </w:rPr>
              <w:t xml:space="preserve"> № 6;</w:t>
            </w:r>
          </w:p>
        </w:tc>
      </w:tr>
      <w:tr w:rsidR="00E175F2" w:rsidRPr="00955E19" w14:paraId="6D3BCBDC" w14:textId="77777777" w:rsidTr="00955BCE">
        <w:tc>
          <w:tcPr>
            <w:tcW w:w="9000" w:type="dxa"/>
          </w:tcPr>
          <w:p w14:paraId="3F2E45E2" w14:textId="77777777" w:rsidR="00E175F2" w:rsidRPr="00955E19" w:rsidRDefault="00E175F2" w:rsidP="00955BCE">
            <w:pPr>
              <w:pStyle w:val="PlainText"/>
              <w:rPr>
                <w:rFonts w:ascii="Times New Roman" w:hAnsi="Times New Roman"/>
                <w:lang w:eastAsia="en-US"/>
              </w:rPr>
            </w:pPr>
            <w:r w:rsidRPr="00955E19">
              <w:rPr>
                <w:rFonts w:ascii="Times New Roman" w:hAnsi="Times New Roman"/>
                <w:b/>
                <w:lang w:eastAsia="en-US"/>
              </w:rPr>
              <w:t>Тел.:</w:t>
            </w:r>
            <w:r w:rsidRPr="00955E19">
              <w:rPr>
                <w:rFonts w:ascii="Times New Roman" w:hAnsi="Times New Roman"/>
                <w:lang w:eastAsia="en-US"/>
              </w:rPr>
              <w:t xml:space="preserve"> +359 (02) 815 56 65</w:t>
            </w:r>
          </w:p>
        </w:tc>
      </w:tr>
      <w:tr w:rsidR="00E175F2" w:rsidRPr="00955E19" w14:paraId="2AA860E9" w14:textId="77777777" w:rsidTr="00955BCE">
        <w:tc>
          <w:tcPr>
            <w:tcW w:w="9000" w:type="dxa"/>
          </w:tcPr>
          <w:p w14:paraId="2A08B22E" w14:textId="77777777" w:rsidR="00E175F2" w:rsidRPr="00955E19" w:rsidRDefault="00E175F2" w:rsidP="00955BCE">
            <w:pPr>
              <w:pStyle w:val="PlainText"/>
              <w:rPr>
                <w:rFonts w:ascii="Times New Roman" w:hAnsi="Times New Roman"/>
                <w:lang w:eastAsia="en-US"/>
              </w:rPr>
            </w:pPr>
            <w:r w:rsidRPr="00955E19">
              <w:rPr>
                <w:rFonts w:ascii="Times New Roman" w:hAnsi="Times New Roman"/>
                <w:b/>
                <w:lang w:eastAsia="en-US"/>
              </w:rPr>
              <w:t>Факс:</w:t>
            </w:r>
            <w:r w:rsidRPr="00955E19">
              <w:rPr>
                <w:rFonts w:ascii="Times New Roman" w:hAnsi="Times New Roman"/>
                <w:lang w:eastAsia="en-US"/>
              </w:rPr>
              <w:t xml:space="preserve"> +359 (02) 815 56 66</w:t>
            </w:r>
          </w:p>
        </w:tc>
      </w:tr>
      <w:tr w:rsidR="00E175F2" w:rsidRPr="00955E19" w14:paraId="7B638BBB" w14:textId="77777777" w:rsidTr="00955BCE">
        <w:tc>
          <w:tcPr>
            <w:tcW w:w="9000" w:type="dxa"/>
          </w:tcPr>
          <w:p w14:paraId="189A8817" w14:textId="4C44550A" w:rsidR="00E175F2" w:rsidRPr="00955E19" w:rsidRDefault="00E175F2" w:rsidP="00955BCE">
            <w:pPr>
              <w:pStyle w:val="PlainText"/>
              <w:rPr>
                <w:rFonts w:ascii="Times New Roman" w:hAnsi="Times New Roman"/>
                <w:lang w:val="ru-RU" w:eastAsia="en-US"/>
              </w:rPr>
            </w:pPr>
            <w:r w:rsidRPr="00955E19">
              <w:rPr>
                <w:rFonts w:ascii="Times New Roman" w:hAnsi="Times New Roman"/>
                <w:b/>
                <w:lang w:val="ru-RU" w:eastAsia="en-US"/>
              </w:rPr>
              <w:t>Е-</w:t>
            </w:r>
            <w:proofErr w:type="spellStart"/>
            <w:r w:rsidRPr="00955E19">
              <w:rPr>
                <w:rFonts w:ascii="Times New Roman" w:hAnsi="Times New Roman"/>
                <w:b/>
                <w:lang w:val="ru-RU" w:eastAsia="en-US"/>
              </w:rPr>
              <w:t>поща</w:t>
            </w:r>
            <w:proofErr w:type="spellEnd"/>
            <w:r w:rsidRPr="00955E19">
              <w:rPr>
                <w:rFonts w:ascii="Times New Roman" w:hAnsi="Times New Roman"/>
                <w:b/>
                <w:lang w:val="ru-RU" w:eastAsia="en-US"/>
              </w:rPr>
              <w:t>:</w:t>
            </w:r>
            <w:r w:rsidRPr="00955E19">
              <w:rPr>
                <w:rFonts w:ascii="Times New Roman" w:hAnsi="Times New Roman"/>
                <w:lang w:val="ru-RU" w:eastAsia="en-US"/>
              </w:rPr>
              <w:t xml:space="preserve"> </w:t>
            </w:r>
            <w:proofErr w:type="spellStart"/>
            <w:r w:rsidRPr="00955E19">
              <w:rPr>
                <w:rFonts w:ascii="Times New Roman" w:hAnsi="Times New Roman"/>
                <w:lang w:val="en-US" w:eastAsia="en-US"/>
              </w:rPr>
              <w:t>peshev</w:t>
            </w:r>
            <w:proofErr w:type="spellEnd"/>
            <w:r w:rsidRPr="00955E19">
              <w:rPr>
                <w:rFonts w:ascii="Times New Roman" w:hAnsi="Times New Roman"/>
                <w:lang w:val="ru-RU" w:eastAsia="en-US"/>
              </w:rPr>
              <w:t>@</w:t>
            </w:r>
            <w:r w:rsidR="00A456B2">
              <w:rPr>
                <w:rFonts w:ascii="Times New Roman" w:hAnsi="Times New Roman"/>
                <w:lang w:eastAsia="en-US"/>
              </w:rPr>
              <w:t>up</w:t>
            </w:r>
            <w:r w:rsidRPr="00955E19">
              <w:rPr>
                <w:rFonts w:ascii="Times New Roman" w:hAnsi="Times New Roman"/>
                <w:lang w:eastAsia="en-US"/>
              </w:rPr>
              <w:t>trend</w:t>
            </w:r>
            <w:r w:rsidRPr="00955E19">
              <w:rPr>
                <w:rFonts w:ascii="Times New Roman" w:hAnsi="Times New Roman"/>
                <w:lang w:val="ru-RU" w:eastAsia="en-US"/>
              </w:rPr>
              <w:t>.</w:t>
            </w:r>
            <w:proofErr w:type="spellStart"/>
            <w:r w:rsidRPr="00955E19">
              <w:rPr>
                <w:rFonts w:ascii="Times New Roman" w:hAnsi="Times New Roman"/>
                <w:lang w:eastAsia="en-US"/>
              </w:rPr>
              <w:t>bg</w:t>
            </w:r>
            <w:proofErr w:type="spellEnd"/>
          </w:p>
        </w:tc>
      </w:tr>
      <w:tr w:rsidR="00E175F2" w:rsidRPr="00955E19" w14:paraId="21EC9553" w14:textId="77777777" w:rsidTr="00955BCE">
        <w:tc>
          <w:tcPr>
            <w:tcW w:w="9000" w:type="dxa"/>
          </w:tcPr>
          <w:p w14:paraId="34F479AC" w14:textId="77777777" w:rsidR="00E175F2" w:rsidRPr="00955E19" w:rsidRDefault="00E175F2" w:rsidP="00955BCE">
            <w:pPr>
              <w:pStyle w:val="PlainText"/>
              <w:rPr>
                <w:rFonts w:ascii="Times New Roman" w:hAnsi="Times New Roman"/>
                <w:lang w:val="ru-RU" w:eastAsia="en-US"/>
              </w:rPr>
            </w:pPr>
            <w:r w:rsidRPr="00955E19">
              <w:rPr>
                <w:rFonts w:ascii="Times New Roman" w:hAnsi="Times New Roman"/>
                <w:lang w:val="ru-RU" w:eastAsia="en-US"/>
              </w:rPr>
              <w:t>Лице за контакт: Петър Пешев</w:t>
            </w:r>
          </w:p>
        </w:tc>
      </w:tr>
      <w:tr w:rsidR="00E175F2" w:rsidRPr="00955E19" w14:paraId="2AC1120B" w14:textId="77777777" w:rsidTr="00955BCE">
        <w:tc>
          <w:tcPr>
            <w:tcW w:w="9000" w:type="dxa"/>
            <w:tcBorders>
              <w:bottom w:val="nil"/>
            </w:tcBorders>
          </w:tcPr>
          <w:p w14:paraId="0C2962D4" w14:textId="77777777" w:rsidR="00E175F2" w:rsidRPr="00955E19" w:rsidRDefault="00E175F2" w:rsidP="00955BCE">
            <w:pPr>
              <w:pStyle w:val="PlainText"/>
              <w:rPr>
                <w:rFonts w:ascii="Times New Roman" w:hAnsi="Times New Roman"/>
                <w:lang w:val="ru-RU" w:eastAsia="en-US"/>
              </w:rPr>
            </w:pPr>
            <w:r w:rsidRPr="00955E19">
              <w:rPr>
                <w:rFonts w:ascii="Times New Roman" w:hAnsi="Times New Roman"/>
                <w:lang w:val="ru-RU" w:eastAsia="en-US"/>
              </w:rPr>
              <w:t>Всеки работен ден от 9,00 до 17,00 часа</w:t>
            </w:r>
          </w:p>
        </w:tc>
      </w:tr>
      <w:tr w:rsidR="00E175F2" w:rsidRPr="00955E19" w14:paraId="1E6E9C76" w14:textId="77777777" w:rsidTr="00955BCE">
        <w:tc>
          <w:tcPr>
            <w:tcW w:w="9000" w:type="dxa"/>
            <w:tcBorders>
              <w:bottom w:val="nil"/>
            </w:tcBorders>
          </w:tcPr>
          <w:p w14:paraId="4BDDFE39" w14:textId="77777777" w:rsidR="00E175F2" w:rsidRPr="00955E19" w:rsidRDefault="00E175F2" w:rsidP="00955BCE">
            <w:pPr>
              <w:pStyle w:val="PlainText"/>
              <w:rPr>
                <w:rFonts w:ascii="Times New Roman" w:hAnsi="Times New Roman"/>
                <w:lang w:val="ru-RU" w:eastAsia="en-US"/>
              </w:rPr>
            </w:pPr>
          </w:p>
        </w:tc>
      </w:tr>
    </w:tbl>
    <w:p w14:paraId="147526D9" w14:textId="77777777" w:rsidR="00E175F2" w:rsidRPr="00955E19" w:rsidRDefault="00E175F2" w:rsidP="00152D36">
      <w:pPr>
        <w:rPr>
          <w:sz w:val="22"/>
          <w:szCs w:val="22"/>
        </w:rPr>
      </w:pPr>
    </w:p>
    <w:p w14:paraId="6D600D59" w14:textId="77777777" w:rsidR="00E175F2" w:rsidRPr="00955E19" w:rsidRDefault="00E175F2" w:rsidP="00152D36">
      <w:pPr>
        <w:jc w:val="both"/>
        <w:rPr>
          <w:sz w:val="20"/>
        </w:rPr>
      </w:pPr>
      <w:r w:rsidRPr="00955E19">
        <w:rPr>
          <w:sz w:val="20"/>
        </w:rPr>
        <w:t>Настоящият документ може да бъде разгледан в електронен вид на:</w:t>
      </w:r>
    </w:p>
    <w:p w14:paraId="18ED0A38" w14:textId="747F4FAC" w:rsidR="00E175F2" w:rsidRPr="00955E19" w:rsidRDefault="00E175F2" w:rsidP="0020488F">
      <w:pPr>
        <w:jc w:val="both"/>
        <w:rPr>
          <w:sz w:val="20"/>
        </w:rPr>
      </w:pPr>
      <w:r w:rsidRPr="00955E19">
        <w:rPr>
          <w:sz w:val="20"/>
        </w:rPr>
        <w:t xml:space="preserve">интернет страницата на ИП „ЪП ТРЕНД” ООД – </w:t>
      </w:r>
      <w:r w:rsidR="00A456B2">
        <w:rPr>
          <w:sz w:val="20"/>
          <w:lang w:val="en-US"/>
        </w:rPr>
        <w:t>up</w:t>
      </w:r>
      <w:r w:rsidRPr="00955E19">
        <w:rPr>
          <w:sz w:val="20"/>
          <w:lang w:val="en-US"/>
        </w:rPr>
        <w:t>trend</w:t>
      </w:r>
      <w:r w:rsidRPr="00955E19">
        <w:rPr>
          <w:sz w:val="20"/>
          <w:lang w:val="ru-RU"/>
        </w:rPr>
        <w:t>.</w:t>
      </w:r>
      <w:proofErr w:type="spellStart"/>
      <w:r w:rsidRPr="00955E19">
        <w:rPr>
          <w:sz w:val="20"/>
          <w:lang w:val="en-US"/>
        </w:rPr>
        <w:t>bg</w:t>
      </w:r>
      <w:proofErr w:type="spellEnd"/>
    </w:p>
    <w:p w14:paraId="4E75372E" w14:textId="77777777" w:rsidR="002C7670" w:rsidRPr="00955E19" w:rsidRDefault="002C7670" w:rsidP="0020488F">
      <w:pPr>
        <w:jc w:val="both"/>
        <w:rPr>
          <w:sz w:val="20"/>
        </w:rPr>
        <w:sectPr w:rsidR="002C7670" w:rsidRPr="00955E19" w:rsidSect="00262FCD">
          <w:headerReference w:type="default" r:id="rId9"/>
          <w:footerReference w:type="even" r:id="rId10"/>
          <w:footerReference w:type="default" r:id="rId11"/>
          <w:type w:val="continuous"/>
          <w:pgSz w:w="11906" w:h="16838" w:code="9"/>
          <w:pgMar w:top="1440" w:right="1440" w:bottom="1440" w:left="1440" w:header="432" w:footer="389" w:gutter="0"/>
          <w:cols w:space="708"/>
          <w:titlePg/>
          <w:docGrid w:linePitch="360"/>
        </w:sectPr>
      </w:pPr>
    </w:p>
    <w:p w14:paraId="58ADB59F" w14:textId="77777777" w:rsidR="00E175F2" w:rsidRPr="00955E19" w:rsidRDefault="00E175F2" w:rsidP="00251571">
      <w:pPr>
        <w:pStyle w:val="Heading1"/>
      </w:pPr>
      <w:bookmarkStart w:id="164" w:name="_Toc185677715"/>
      <w:bookmarkStart w:id="165" w:name="_Toc212621658"/>
      <w:bookmarkStart w:id="166" w:name="_Toc288658386"/>
      <w:bookmarkStart w:id="167" w:name="_Toc492995972"/>
      <w:r w:rsidRPr="00955E19">
        <w:lastRenderedPageBreak/>
        <w:t>ПРИЛОЖЕНИЕ № 1</w:t>
      </w:r>
      <w:bookmarkEnd w:id="164"/>
      <w:bookmarkEnd w:id="165"/>
      <w:bookmarkEnd w:id="166"/>
      <w:bookmarkEnd w:id="167"/>
    </w:p>
    <w:p w14:paraId="1B1D8635" w14:textId="77777777" w:rsidR="00E175F2" w:rsidRPr="00955E19" w:rsidRDefault="00E175F2" w:rsidP="00152D36">
      <w:pPr>
        <w:pStyle w:val="Normalen"/>
        <w:rPr>
          <w:sz w:val="22"/>
        </w:rPr>
      </w:pPr>
    </w:p>
    <w:p w14:paraId="56B252E1" w14:textId="77777777" w:rsidR="00E175F2" w:rsidRPr="00955E19" w:rsidRDefault="00E175F2" w:rsidP="00152D36">
      <w:pPr>
        <w:pStyle w:val="Normalen"/>
        <w:jc w:val="center"/>
        <w:rPr>
          <w:b/>
          <w:sz w:val="22"/>
        </w:rPr>
      </w:pPr>
      <w:r w:rsidRPr="00955E19">
        <w:rPr>
          <w:b/>
          <w:sz w:val="22"/>
        </w:rPr>
        <w:t>ИЗГОТВИЛИ ДОКУМЕНТА ЗА ПРЕДЛАГАНИТЕ ЦЕННИ КНИЖА:</w:t>
      </w:r>
    </w:p>
    <w:p w14:paraId="1222615A" w14:textId="77777777" w:rsidR="00E175F2" w:rsidRPr="00955E19" w:rsidRDefault="00E175F2" w:rsidP="00152D36">
      <w:pPr>
        <w:pStyle w:val="Normalen"/>
        <w:rPr>
          <w:sz w:val="22"/>
        </w:rPr>
      </w:pPr>
    </w:p>
    <w:p w14:paraId="4BFD647B" w14:textId="77777777" w:rsidR="00E175F2" w:rsidRPr="00955E19" w:rsidRDefault="00E175F2" w:rsidP="00152D36">
      <w:pPr>
        <w:pStyle w:val="Normalen"/>
        <w:rPr>
          <w:sz w:val="22"/>
        </w:rPr>
      </w:pPr>
    </w:p>
    <w:p w14:paraId="530491A8" w14:textId="77777777" w:rsidR="00E175F2" w:rsidRPr="00955E19" w:rsidRDefault="00E175F2" w:rsidP="00115F3C">
      <w:pPr>
        <w:pStyle w:val="Normalen"/>
        <w:rPr>
          <w:sz w:val="22"/>
          <w:szCs w:val="22"/>
        </w:rPr>
      </w:pPr>
    </w:p>
    <w:tbl>
      <w:tblPr>
        <w:tblW w:w="9498" w:type="dxa"/>
        <w:jc w:val="center"/>
        <w:tblLook w:val="00A0" w:firstRow="1" w:lastRow="0" w:firstColumn="1" w:lastColumn="0" w:noHBand="0" w:noVBand="0"/>
      </w:tblPr>
      <w:tblGrid>
        <w:gridCol w:w="2955"/>
        <w:gridCol w:w="275"/>
        <w:gridCol w:w="2999"/>
        <w:gridCol w:w="275"/>
        <w:gridCol w:w="2994"/>
      </w:tblGrid>
      <w:tr w:rsidR="00E175F2" w:rsidRPr="00955E19" w14:paraId="69561AAD" w14:textId="77777777" w:rsidTr="007F4157">
        <w:trPr>
          <w:jc w:val="center"/>
        </w:trPr>
        <w:tc>
          <w:tcPr>
            <w:tcW w:w="2835" w:type="dxa"/>
            <w:tcBorders>
              <w:bottom w:val="single" w:sz="4" w:space="0" w:color="auto"/>
            </w:tcBorders>
          </w:tcPr>
          <w:p w14:paraId="7154C51A" w14:textId="77777777" w:rsidR="00E175F2" w:rsidRPr="00955E19" w:rsidRDefault="00E175F2" w:rsidP="007F4157">
            <w:pPr>
              <w:pStyle w:val="Normalen"/>
              <w:spacing w:after="60"/>
              <w:jc w:val="center"/>
              <w:rPr>
                <w:szCs w:val="22"/>
                <w:lang w:eastAsia="en-US"/>
              </w:rPr>
            </w:pPr>
          </w:p>
        </w:tc>
        <w:tc>
          <w:tcPr>
            <w:tcW w:w="284" w:type="dxa"/>
          </w:tcPr>
          <w:p w14:paraId="5C1A65F0" w14:textId="77777777" w:rsidR="00E175F2" w:rsidRPr="00955E19" w:rsidRDefault="00E175F2" w:rsidP="007F4157">
            <w:pPr>
              <w:pStyle w:val="Normalen"/>
              <w:spacing w:after="60"/>
              <w:jc w:val="center"/>
              <w:rPr>
                <w:szCs w:val="22"/>
                <w:lang w:eastAsia="en-US"/>
              </w:rPr>
            </w:pPr>
          </w:p>
        </w:tc>
        <w:tc>
          <w:tcPr>
            <w:tcW w:w="3232" w:type="dxa"/>
            <w:tcBorders>
              <w:bottom w:val="single" w:sz="4" w:space="0" w:color="auto"/>
            </w:tcBorders>
          </w:tcPr>
          <w:p w14:paraId="7BC58CD0" w14:textId="77777777" w:rsidR="00E175F2" w:rsidRPr="00955E19" w:rsidRDefault="00E175F2" w:rsidP="007F4157">
            <w:pPr>
              <w:pStyle w:val="Normalen"/>
              <w:spacing w:after="60"/>
              <w:jc w:val="center"/>
              <w:rPr>
                <w:szCs w:val="22"/>
                <w:lang w:eastAsia="en-US"/>
              </w:rPr>
            </w:pPr>
          </w:p>
        </w:tc>
        <w:tc>
          <w:tcPr>
            <w:tcW w:w="284" w:type="dxa"/>
          </w:tcPr>
          <w:p w14:paraId="64B80597" w14:textId="77777777" w:rsidR="00E175F2" w:rsidRPr="00955E19" w:rsidRDefault="00E175F2" w:rsidP="007F4157">
            <w:pPr>
              <w:pStyle w:val="Normalen"/>
              <w:spacing w:after="60"/>
              <w:jc w:val="center"/>
              <w:rPr>
                <w:szCs w:val="22"/>
                <w:lang w:eastAsia="en-US"/>
              </w:rPr>
            </w:pPr>
          </w:p>
        </w:tc>
        <w:tc>
          <w:tcPr>
            <w:tcW w:w="3232" w:type="dxa"/>
            <w:tcBorders>
              <w:bottom w:val="single" w:sz="4" w:space="0" w:color="auto"/>
            </w:tcBorders>
          </w:tcPr>
          <w:p w14:paraId="02BB5FC8" w14:textId="77777777" w:rsidR="00E175F2" w:rsidRPr="00955E19" w:rsidRDefault="00E175F2" w:rsidP="007F4157">
            <w:pPr>
              <w:pStyle w:val="Normalen"/>
              <w:spacing w:after="60"/>
              <w:jc w:val="center"/>
              <w:rPr>
                <w:b/>
                <w:szCs w:val="22"/>
                <w:lang w:eastAsia="en-US"/>
              </w:rPr>
            </w:pPr>
          </w:p>
        </w:tc>
      </w:tr>
      <w:tr w:rsidR="00E175F2" w:rsidRPr="00955E19" w14:paraId="60785D77" w14:textId="77777777" w:rsidTr="007F4157">
        <w:trPr>
          <w:jc w:val="center"/>
        </w:trPr>
        <w:tc>
          <w:tcPr>
            <w:tcW w:w="3232" w:type="dxa"/>
            <w:tcBorders>
              <w:top w:val="single" w:sz="4" w:space="0" w:color="auto"/>
            </w:tcBorders>
          </w:tcPr>
          <w:p w14:paraId="6692D36B" w14:textId="665ACC39" w:rsidR="00E175F2" w:rsidRPr="00955E19" w:rsidRDefault="002E5567" w:rsidP="007F4157">
            <w:pPr>
              <w:pStyle w:val="Normalen"/>
              <w:spacing w:before="60"/>
              <w:jc w:val="center"/>
              <w:rPr>
                <w:szCs w:val="22"/>
                <w:lang w:eastAsia="en-US"/>
              </w:rPr>
            </w:pPr>
            <w:r w:rsidRPr="002E5567">
              <w:rPr>
                <w:b/>
                <w:sz w:val="22"/>
                <w:szCs w:val="22"/>
                <w:lang w:eastAsia="en-US"/>
              </w:rPr>
              <w:t xml:space="preserve">Владимир Малчев </w:t>
            </w:r>
            <w:r w:rsidR="00E175F2" w:rsidRPr="00955E19">
              <w:rPr>
                <w:sz w:val="22"/>
                <w:szCs w:val="22"/>
                <w:lang w:eastAsia="en-US"/>
              </w:rPr>
              <w:t>Управител на ИП „ЪП ТРЕНД“ ООД</w:t>
            </w:r>
          </w:p>
        </w:tc>
        <w:tc>
          <w:tcPr>
            <w:tcW w:w="284" w:type="dxa"/>
          </w:tcPr>
          <w:p w14:paraId="29C5A835" w14:textId="77777777" w:rsidR="00E175F2" w:rsidRPr="00955E19" w:rsidRDefault="00E175F2" w:rsidP="007F4157">
            <w:pPr>
              <w:pStyle w:val="Normalen"/>
              <w:spacing w:before="60"/>
              <w:rPr>
                <w:szCs w:val="22"/>
                <w:lang w:eastAsia="en-US"/>
              </w:rPr>
            </w:pPr>
          </w:p>
        </w:tc>
        <w:tc>
          <w:tcPr>
            <w:tcW w:w="3232" w:type="dxa"/>
            <w:tcBorders>
              <w:top w:val="single" w:sz="4" w:space="0" w:color="auto"/>
            </w:tcBorders>
          </w:tcPr>
          <w:p w14:paraId="1ED2C828" w14:textId="77777777" w:rsidR="00E175F2" w:rsidRPr="00955E19" w:rsidRDefault="00E175F2" w:rsidP="007F4157">
            <w:pPr>
              <w:pStyle w:val="Normalen"/>
              <w:spacing w:before="60"/>
              <w:jc w:val="center"/>
              <w:rPr>
                <w:szCs w:val="22"/>
                <w:lang w:eastAsia="en-US"/>
              </w:rPr>
            </w:pPr>
            <w:r w:rsidRPr="00955E19">
              <w:rPr>
                <w:b/>
                <w:sz w:val="22"/>
                <w:szCs w:val="22"/>
                <w:lang w:eastAsia="en-US"/>
              </w:rPr>
              <w:t xml:space="preserve">Гергана Маринова </w:t>
            </w:r>
            <w:r w:rsidRPr="00955E19">
              <w:rPr>
                <w:sz w:val="22"/>
                <w:szCs w:val="22"/>
                <w:lang w:eastAsia="en-US"/>
              </w:rPr>
              <w:t>Изпълнителен директор на “ГЛЕНМООР КЕПИТАЛ” АДСИЦ</w:t>
            </w:r>
          </w:p>
        </w:tc>
        <w:tc>
          <w:tcPr>
            <w:tcW w:w="284" w:type="dxa"/>
          </w:tcPr>
          <w:p w14:paraId="17556446" w14:textId="77777777" w:rsidR="00E175F2" w:rsidRPr="00955E19" w:rsidRDefault="00E175F2" w:rsidP="007F4157">
            <w:pPr>
              <w:pStyle w:val="Normalen"/>
              <w:spacing w:before="60"/>
              <w:rPr>
                <w:szCs w:val="22"/>
                <w:lang w:eastAsia="en-US"/>
              </w:rPr>
            </w:pPr>
          </w:p>
        </w:tc>
        <w:tc>
          <w:tcPr>
            <w:tcW w:w="3232" w:type="dxa"/>
            <w:tcBorders>
              <w:top w:val="single" w:sz="4" w:space="0" w:color="auto"/>
            </w:tcBorders>
          </w:tcPr>
          <w:p w14:paraId="41F49EAE" w14:textId="77777777" w:rsidR="00E175F2" w:rsidRPr="00955E19" w:rsidRDefault="00E175F2" w:rsidP="007F4157">
            <w:pPr>
              <w:pStyle w:val="Normalen"/>
              <w:spacing w:before="60"/>
              <w:jc w:val="center"/>
              <w:rPr>
                <w:szCs w:val="22"/>
                <w:lang w:eastAsia="en-US"/>
              </w:rPr>
            </w:pPr>
            <w:r w:rsidRPr="00955E19">
              <w:rPr>
                <w:b/>
                <w:sz w:val="22"/>
                <w:szCs w:val="22"/>
                <w:lang w:eastAsia="en-US"/>
              </w:rPr>
              <w:t xml:space="preserve">Валентина Димитрова </w:t>
            </w:r>
            <w:r w:rsidRPr="00955E19">
              <w:rPr>
                <w:sz w:val="22"/>
                <w:szCs w:val="22"/>
                <w:lang w:eastAsia="en-US"/>
              </w:rPr>
              <w:t>Съставител на финансовите отчети на “ГЛЕНМООР КЕПИТАЛ” АДСИЦ</w:t>
            </w:r>
          </w:p>
        </w:tc>
      </w:tr>
    </w:tbl>
    <w:p w14:paraId="04A6796C" w14:textId="77777777" w:rsidR="00E175F2" w:rsidRPr="00955E19" w:rsidRDefault="00E175F2" w:rsidP="00115F3C">
      <w:pPr>
        <w:pStyle w:val="Normalen"/>
        <w:jc w:val="left"/>
        <w:rPr>
          <w:sz w:val="22"/>
          <w:szCs w:val="22"/>
        </w:rPr>
      </w:pPr>
      <w:r w:rsidRPr="00955E19">
        <w:rPr>
          <w:sz w:val="22"/>
          <w:szCs w:val="22"/>
        </w:rPr>
        <w:tab/>
      </w:r>
      <w:r w:rsidRPr="00955E19">
        <w:rPr>
          <w:sz w:val="22"/>
          <w:szCs w:val="22"/>
        </w:rPr>
        <w:tab/>
      </w:r>
      <w:r w:rsidRPr="00955E19">
        <w:rPr>
          <w:sz w:val="22"/>
          <w:szCs w:val="22"/>
        </w:rPr>
        <w:tab/>
      </w:r>
      <w:r w:rsidRPr="00955E19">
        <w:rPr>
          <w:sz w:val="22"/>
          <w:szCs w:val="22"/>
        </w:rPr>
        <w:tab/>
      </w:r>
      <w:r w:rsidRPr="00955E19">
        <w:rPr>
          <w:sz w:val="22"/>
          <w:szCs w:val="22"/>
        </w:rPr>
        <w:tab/>
      </w:r>
      <w:r w:rsidRPr="00955E19">
        <w:rPr>
          <w:sz w:val="22"/>
          <w:szCs w:val="22"/>
        </w:rPr>
        <w:tab/>
      </w:r>
    </w:p>
    <w:p w14:paraId="018CD9E3" w14:textId="77777777" w:rsidR="00E175F2" w:rsidRPr="00955E19" w:rsidRDefault="00E175F2" w:rsidP="00115F3C">
      <w:pPr>
        <w:pStyle w:val="Normalen"/>
      </w:pPr>
    </w:p>
    <w:p w14:paraId="138F8F0B" w14:textId="77777777" w:rsidR="00E175F2" w:rsidRPr="00955E19" w:rsidRDefault="00E175F2" w:rsidP="00115F3C">
      <w:pPr>
        <w:pStyle w:val="Normalen"/>
        <w:jc w:val="center"/>
        <w:rPr>
          <w:b/>
        </w:rPr>
      </w:pPr>
      <w:r w:rsidRPr="00955E19">
        <w:rPr>
          <w:b/>
        </w:rPr>
        <w:t>ДЕКЛАРАЦИЯ</w:t>
      </w:r>
    </w:p>
    <w:p w14:paraId="056F479B" w14:textId="77777777" w:rsidR="00E175F2" w:rsidRPr="00955E19" w:rsidRDefault="00E175F2" w:rsidP="00115F3C">
      <w:pPr>
        <w:pStyle w:val="Normalen"/>
      </w:pPr>
    </w:p>
    <w:p w14:paraId="191AC38A" w14:textId="77777777" w:rsidR="00E175F2" w:rsidRPr="00955E19" w:rsidRDefault="00E175F2" w:rsidP="00115F3C">
      <w:pPr>
        <w:pStyle w:val="Normalen"/>
        <w:ind w:firstLine="720"/>
      </w:pPr>
      <w:r w:rsidRPr="00955E19">
        <w:t>Долуподписаните:</w:t>
      </w:r>
    </w:p>
    <w:p w14:paraId="32CC4622" w14:textId="77777777" w:rsidR="00E175F2" w:rsidRPr="00955E19" w:rsidRDefault="00E175F2" w:rsidP="00115F3C">
      <w:pPr>
        <w:pStyle w:val="Normalen"/>
        <w:ind w:firstLine="720"/>
      </w:pPr>
    </w:p>
    <w:p w14:paraId="61AB6300" w14:textId="77777777" w:rsidR="00E175F2" w:rsidRPr="00955E19" w:rsidRDefault="00E175F2" w:rsidP="00115F3C">
      <w:pPr>
        <w:pStyle w:val="Normalen"/>
        <w:ind w:firstLine="720"/>
      </w:pPr>
      <w:r w:rsidRPr="00955E19">
        <w:rPr>
          <w:b/>
        </w:rPr>
        <w:t xml:space="preserve">Гергана Атанасова Маринова – </w:t>
      </w:r>
      <w:r w:rsidRPr="00955E19">
        <w:t>в качеството си на Изпълнителен директор и представляващ “ГЛЕНМООР КЕПИТАЛ” АДСИЦ,</w:t>
      </w:r>
    </w:p>
    <w:p w14:paraId="0701D4A0" w14:textId="3059CAC0" w:rsidR="00E175F2" w:rsidRPr="00955E19" w:rsidRDefault="002E5567" w:rsidP="00115F3C">
      <w:pPr>
        <w:pStyle w:val="Normalen"/>
        <w:ind w:firstLine="720"/>
      </w:pPr>
      <w:r w:rsidRPr="002E5567">
        <w:rPr>
          <w:b/>
        </w:rPr>
        <w:t xml:space="preserve">Владимир Малчев </w:t>
      </w:r>
      <w:proofErr w:type="spellStart"/>
      <w:r w:rsidRPr="002E5567">
        <w:rPr>
          <w:b/>
        </w:rPr>
        <w:t>Малчев</w:t>
      </w:r>
      <w:proofErr w:type="spellEnd"/>
      <w:r w:rsidRPr="002E5567">
        <w:rPr>
          <w:b/>
        </w:rPr>
        <w:t xml:space="preserve"> </w:t>
      </w:r>
      <w:r w:rsidR="00E175F2" w:rsidRPr="00955E19">
        <w:t>– в качеството си на Управител и представляващ ИП „ЪП ТРЕНД” ООД,</w:t>
      </w:r>
    </w:p>
    <w:p w14:paraId="71BBB439" w14:textId="77777777" w:rsidR="00E175F2" w:rsidRPr="00955E19" w:rsidRDefault="00E175F2" w:rsidP="00115F3C">
      <w:pPr>
        <w:pStyle w:val="Normalen"/>
        <w:ind w:firstLine="720"/>
      </w:pPr>
      <w:r w:rsidRPr="00955E19">
        <w:rPr>
          <w:b/>
        </w:rPr>
        <w:t xml:space="preserve">Декларираме, че Документът за предлаганите ценни книжа отговаря на изискванията на закона. </w:t>
      </w:r>
    </w:p>
    <w:p w14:paraId="48FDE52B" w14:textId="77777777" w:rsidR="00E175F2" w:rsidRPr="00955E19" w:rsidRDefault="00E175F2" w:rsidP="00115F3C">
      <w:pPr>
        <w:pStyle w:val="Normalen"/>
      </w:pPr>
    </w:p>
    <w:p w14:paraId="4F4D8334" w14:textId="77777777" w:rsidR="00E175F2" w:rsidRPr="00955E19" w:rsidRDefault="00E175F2" w:rsidP="00115F3C">
      <w:pPr>
        <w:pStyle w:val="Normalen"/>
        <w:ind w:left="720"/>
        <w:jc w:val="left"/>
        <w:rPr>
          <w:b/>
        </w:rPr>
      </w:pPr>
      <w:r w:rsidRPr="00955E19">
        <w:rPr>
          <w:b/>
        </w:rPr>
        <w:t>За “ГЛЕНМООР КЕПИТАЛ” АДСИЦ:</w:t>
      </w:r>
    </w:p>
    <w:p w14:paraId="6BAF40E6" w14:textId="77777777" w:rsidR="00E175F2" w:rsidRPr="00955E19" w:rsidRDefault="00E175F2" w:rsidP="00115F3C">
      <w:pPr>
        <w:pStyle w:val="Normalen"/>
        <w:jc w:val="left"/>
      </w:pPr>
    </w:p>
    <w:p w14:paraId="3D599DAF" w14:textId="77777777" w:rsidR="00E175F2" w:rsidRPr="00955E19" w:rsidRDefault="00E175F2" w:rsidP="00115F3C">
      <w:pPr>
        <w:pStyle w:val="Normalen"/>
        <w:ind w:left="720"/>
      </w:pPr>
      <w:r w:rsidRPr="00955E19">
        <w:t>________________________</w:t>
      </w:r>
    </w:p>
    <w:p w14:paraId="32030C3B" w14:textId="77777777" w:rsidR="00E175F2" w:rsidRPr="00955E19" w:rsidRDefault="00E175F2" w:rsidP="00115F3C">
      <w:pPr>
        <w:pStyle w:val="Normalen"/>
        <w:ind w:left="720"/>
        <w:rPr>
          <w:b/>
        </w:rPr>
      </w:pPr>
      <w:r w:rsidRPr="00955E19">
        <w:rPr>
          <w:b/>
        </w:rPr>
        <w:t xml:space="preserve">Гергана Атанасова Маринова, </w:t>
      </w:r>
    </w:p>
    <w:p w14:paraId="39F8FC1D" w14:textId="77777777" w:rsidR="00E175F2" w:rsidRPr="00955E19" w:rsidRDefault="00E175F2" w:rsidP="00115F3C">
      <w:pPr>
        <w:pStyle w:val="Normalen"/>
        <w:ind w:firstLine="720"/>
        <w:jc w:val="left"/>
      </w:pPr>
      <w:r w:rsidRPr="00955E19">
        <w:t>Изпълнителен директор</w:t>
      </w:r>
    </w:p>
    <w:p w14:paraId="1FECC5B8" w14:textId="77777777" w:rsidR="00E175F2" w:rsidRPr="00955E19" w:rsidRDefault="00E175F2" w:rsidP="00115F3C">
      <w:pPr>
        <w:pStyle w:val="Normalen"/>
        <w:ind w:left="720"/>
      </w:pPr>
      <w:r w:rsidRPr="00955E19">
        <w:t>на “ГЛЕНМООР КЕПИТАЛ” АДСИЦ</w:t>
      </w:r>
    </w:p>
    <w:p w14:paraId="5969EDDF" w14:textId="77777777" w:rsidR="00E175F2" w:rsidRPr="00955E19" w:rsidRDefault="00E175F2" w:rsidP="00115F3C">
      <w:pPr>
        <w:pStyle w:val="Normalen"/>
      </w:pPr>
    </w:p>
    <w:p w14:paraId="4FD76F88" w14:textId="77777777" w:rsidR="00E175F2" w:rsidRPr="00955E19" w:rsidRDefault="00E175F2" w:rsidP="00115F3C">
      <w:pPr>
        <w:pStyle w:val="Normalen"/>
      </w:pPr>
    </w:p>
    <w:p w14:paraId="16DEA759" w14:textId="77777777" w:rsidR="00E175F2" w:rsidRPr="00955E19" w:rsidRDefault="00E175F2" w:rsidP="00115F3C">
      <w:pPr>
        <w:pStyle w:val="Normalen"/>
        <w:ind w:left="720"/>
        <w:jc w:val="left"/>
        <w:rPr>
          <w:b/>
        </w:rPr>
      </w:pPr>
      <w:r w:rsidRPr="00955E19">
        <w:rPr>
          <w:b/>
        </w:rPr>
        <w:t>За „ЪП ТРЕНД” ООД:</w:t>
      </w:r>
    </w:p>
    <w:p w14:paraId="76C6CD3B" w14:textId="77777777" w:rsidR="00E175F2" w:rsidRPr="00955E19" w:rsidRDefault="00E175F2" w:rsidP="00115F3C">
      <w:pPr>
        <w:pStyle w:val="Normalen"/>
        <w:ind w:left="720"/>
        <w:jc w:val="left"/>
      </w:pPr>
    </w:p>
    <w:p w14:paraId="43BC50B6" w14:textId="7C649917" w:rsidR="00E175F2" w:rsidRPr="00955E19" w:rsidRDefault="00E175F2" w:rsidP="00115F3C">
      <w:pPr>
        <w:pStyle w:val="Normalen"/>
        <w:ind w:left="720"/>
      </w:pPr>
      <w:r w:rsidRPr="00955E19">
        <w:t>________________________</w:t>
      </w:r>
      <w:r w:rsidRPr="00955E19">
        <w:tab/>
      </w:r>
      <w:r w:rsidRPr="00955E19">
        <w:tab/>
      </w:r>
    </w:p>
    <w:p w14:paraId="2A712EC2" w14:textId="3FCEA6DD" w:rsidR="00E175F2" w:rsidRPr="00955E19" w:rsidRDefault="002E5567" w:rsidP="00115F3C">
      <w:pPr>
        <w:spacing w:before="120"/>
        <w:ind w:left="720"/>
        <w:rPr>
          <w:b/>
          <w:szCs w:val="24"/>
        </w:rPr>
      </w:pPr>
      <w:r w:rsidRPr="002E5567">
        <w:rPr>
          <w:b/>
          <w:szCs w:val="24"/>
        </w:rPr>
        <w:t xml:space="preserve">Владимир Малчев </w:t>
      </w:r>
      <w:proofErr w:type="spellStart"/>
      <w:r w:rsidRPr="002E5567">
        <w:rPr>
          <w:b/>
          <w:szCs w:val="24"/>
        </w:rPr>
        <w:t>Малчев</w:t>
      </w:r>
      <w:proofErr w:type="spellEnd"/>
      <w:r w:rsidR="00E175F2" w:rsidRPr="00955E19">
        <w:rPr>
          <w:b/>
          <w:szCs w:val="24"/>
        </w:rPr>
        <w:t>,</w:t>
      </w:r>
      <w:r w:rsidR="00E175F2" w:rsidRPr="00955E19">
        <w:rPr>
          <w:b/>
          <w:szCs w:val="24"/>
        </w:rPr>
        <w:tab/>
      </w:r>
      <w:r w:rsidR="00E175F2" w:rsidRPr="00955E19">
        <w:rPr>
          <w:b/>
          <w:szCs w:val="24"/>
        </w:rPr>
        <w:tab/>
      </w:r>
      <w:r w:rsidR="00E175F2" w:rsidRPr="00955E19">
        <w:rPr>
          <w:b/>
          <w:szCs w:val="24"/>
        </w:rPr>
        <w:tab/>
      </w:r>
    </w:p>
    <w:p w14:paraId="531B9DBE" w14:textId="09918059" w:rsidR="00E175F2" w:rsidRPr="00955E19" w:rsidRDefault="00E175F2" w:rsidP="00115F3C">
      <w:pPr>
        <w:spacing w:before="120"/>
        <w:ind w:left="720"/>
        <w:rPr>
          <w:szCs w:val="24"/>
        </w:rPr>
      </w:pPr>
      <w:r w:rsidRPr="00955E19">
        <w:rPr>
          <w:szCs w:val="24"/>
        </w:rPr>
        <w:t>Управител на ЪП ТРЕНД ООД</w:t>
      </w:r>
      <w:r w:rsidRPr="00955E19">
        <w:rPr>
          <w:szCs w:val="24"/>
        </w:rPr>
        <w:tab/>
      </w:r>
      <w:r w:rsidRPr="00955E19">
        <w:rPr>
          <w:szCs w:val="24"/>
        </w:rPr>
        <w:tab/>
      </w:r>
      <w:r w:rsidRPr="00955E19">
        <w:rPr>
          <w:szCs w:val="24"/>
        </w:rPr>
        <w:tab/>
      </w:r>
    </w:p>
    <w:p w14:paraId="657F76FC" w14:textId="77777777" w:rsidR="00E175F2" w:rsidRPr="00955E19" w:rsidRDefault="00E175F2" w:rsidP="00115F3C">
      <w:pPr>
        <w:spacing w:before="120"/>
        <w:ind w:left="720"/>
        <w:rPr>
          <w:szCs w:val="24"/>
        </w:rPr>
      </w:pPr>
    </w:p>
    <w:p w14:paraId="66049024" w14:textId="77777777" w:rsidR="00E175F2" w:rsidRPr="00955E19" w:rsidRDefault="00E175F2">
      <w:pPr>
        <w:rPr>
          <w:szCs w:val="24"/>
        </w:rPr>
      </w:pPr>
      <w:r w:rsidRPr="00955E19">
        <w:rPr>
          <w:szCs w:val="24"/>
        </w:rPr>
        <w:br w:type="page"/>
      </w:r>
    </w:p>
    <w:p w14:paraId="581A92D0" w14:textId="77777777" w:rsidR="00E175F2" w:rsidRPr="00955E19" w:rsidRDefault="00E175F2" w:rsidP="00152D36">
      <w:pPr>
        <w:spacing w:before="120"/>
        <w:ind w:left="720"/>
        <w:rPr>
          <w:szCs w:val="24"/>
        </w:rPr>
      </w:pPr>
    </w:p>
    <w:p w14:paraId="0E7F1852" w14:textId="77777777" w:rsidR="00E175F2" w:rsidRPr="00955E19" w:rsidRDefault="00E175F2" w:rsidP="00251571">
      <w:pPr>
        <w:pStyle w:val="Heading1"/>
      </w:pPr>
      <w:bookmarkStart w:id="168" w:name="_Toc185677716"/>
      <w:bookmarkStart w:id="169" w:name="_Toc212621659"/>
      <w:bookmarkStart w:id="170" w:name="_Toc288658387"/>
      <w:bookmarkStart w:id="171" w:name="_Toc492995973"/>
      <w:r w:rsidRPr="00955E19">
        <w:t>ПРИЛОЖЕНИЕ № 2</w:t>
      </w:r>
      <w:bookmarkEnd w:id="168"/>
      <w:bookmarkEnd w:id="169"/>
      <w:bookmarkEnd w:id="170"/>
      <w:bookmarkEnd w:id="171"/>
    </w:p>
    <w:p w14:paraId="3CD4C4B3" w14:textId="77777777" w:rsidR="00E175F2" w:rsidRPr="00955E19" w:rsidRDefault="00E175F2" w:rsidP="00152D36"/>
    <w:p w14:paraId="498AE8BC" w14:textId="77777777" w:rsidR="00E175F2" w:rsidRPr="00955E19" w:rsidRDefault="00E175F2" w:rsidP="00152D36"/>
    <w:p w14:paraId="710F48BD" w14:textId="77777777" w:rsidR="00E175F2" w:rsidRPr="00955E19" w:rsidRDefault="00E175F2" w:rsidP="00152D36"/>
    <w:p w14:paraId="72666FB2" w14:textId="77777777" w:rsidR="00E175F2" w:rsidRPr="00955E19" w:rsidRDefault="00E175F2" w:rsidP="00152D36">
      <w:pPr>
        <w:pStyle w:val="Normalen"/>
        <w:jc w:val="center"/>
        <w:rPr>
          <w:b/>
          <w:sz w:val="28"/>
          <w:szCs w:val="28"/>
        </w:rPr>
      </w:pPr>
      <w:r w:rsidRPr="00955E19">
        <w:rPr>
          <w:b/>
          <w:sz w:val="28"/>
          <w:szCs w:val="28"/>
        </w:rPr>
        <w:t>ДЕКЛАРАЦИЯ</w:t>
      </w:r>
    </w:p>
    <w:p w14:paraId="5ED7F560" w14:textId="77777777" w:rsidR="00E175F2" w:rsidRPr="00955E19" w:rsidRDefault="00E175F2" w:rsidP="00152D36">
      <w:pPr>
        <w:pStyle w:val="Normalen"/>
        <w:jc w:val="center"/>
        <w:rPr>
          <w:b/>
        </w:rPr>
      </w:pPr>
      <w:r w:rsidRPr="00955E19">
        <w:rPr>
          <w:b/>
        </w:rPr>
        <w:t>по чл. 81, ал. 5 от ЗППЦК</w:t>
      </w:r>
    </w:p>
    <w:p w14:paraId="1DED4B81" w14:textId="77777777" w:rsidR="00E175F2" w:rsidRPr="00955E19" w:rsidRDefault="00E175F2" w:rsidP="00152D36">
      <w:pPr>
        <w:pStyle w:val="Normalen"/>
      </w:pPr>
    </w:p>
    <w:p w14:paraId="33764F5C" w14:textId="77777777" w:rsidR="00E175F2" w:rsidRPr="00955E19" w:rsidRDefault="00E175F2" w:rsidP="00152D36">
      <w:pPr>
        <w:pStyle w:val="Normalen"/>
      </w:pPr>
    </w:p>
    <w:p w14:paraId="5CCF3870" w14:textId="77777777" w:rsidR="00E175F2" w:rsidRPr="00955E19" w:rsidRDefault="00E175F2" w:rsidP="00115F3C">
      <w:pPr>
        <w:pStyle w:val="Normalen"/>
        <w:rPr>
          <w:b/>
        </w:rPr>
      </w:pPr>
      <w:r w:rsidRPr="00955E19">
        <w:rPr>
          <w:b/>
        </w:rPr>
        <w:t>Долуподписаните:</w:t>
      </w:r>
    </w:p>
    <w:p w14:paraId="14B50D7D" w14:textId="77777777" w:rsidR="00E175F2" w:rsidRPr="00955E19" w:rsidRDefault="00E175F2" w:rsidP="00115F3C">
      <w:pPr>
        <w:pStyle w:val="Normalen"/>
        <w:numPr>
          <w:ilvl w:val="0"/>
          <w:numId w:val="19"/>
        </w:numPr>
      </w:pPr>
      <w:r w:rsidRPr="00955E19">
        <w:rPr>
          <w:b/>
        </w:rPr>
        <w:t xml:space="preserve">Гергана Атанасова Маринова – </w:t>
      </w:r>
      <w:r w:rsidRPr="00955E19">
        <w:t>Изпълнителен директор на “ГЛЕНМООР КЕПИТАЛ” АДСИЦ</w:t>
      </w:r>
      <w:r w:rsidRPr="00955E19">
        <w:rPr>
          <w:b/>
        </w:rPr>
        <w:t>;</w:t>
      </w:r>
    </w:p>
    <w:p w14:paraId="00D31E00" w14:textId="77777777" w:rsidR="00E175F2" w:rsidRPr="00955E19" w:rsidRDefault="00E175F2" w:rsidP="00115F3C">
      <w:pPr>
        <w:pStyle w:val="Normalen"/>
        <w:numPr>
          <w:ilvl w:val="0"/>
          <w:numId w:val="19"/>
        </w:numPr>
      </w:pPr>
      <w:r w:rsidRPr="00955E19">
        <w:rPr>
          <w:b/>
        </w:rPr>
        <w:t xml:space="preserve">Валентина Николаева Димитрова – </w:t>
      </w:r>
      <w:r w:rsidRPr="00955E19">
        <w:t>Председател на Съвета на директорите на “ГЛЕНМООР КЕПИТАЛ” АДСИЦ и Съставител на финансовите отчети на “ГЛЕНМООР КЕПИТАЛ” АДСИЦ;</w:t>
      </w:r>
    </w:p>
    <w:p w14:paraId="3E329235" w14:textId="77777777" w:rsidR="00E175F2" w:rsidRPr="00955E19" w:rsidRDefault="00E175F2" w:rsidP="00115F3C">
      <w:pPr>
        <w:pStyle w:val="Normalen"/>
        <w:numPr>
          <w:ilvl w:val="0"/>
          <w:numId w:val="19"/>
        </w:numPr>
      </w:pPr>
      <w:r w:rsidRPr="00955E19">
        <w:rPr>
          <w:b/>
        </w:rPr>
        <w:t xml:space="preserve">Асен Александров Величков – </w:t>
      </w:r>
      <w:r w:rsidRPr="00955E19">
        <w:t>Член на Съвета на директорите на “ГЛЕНМООР КЕПИТАЛ” АДСИЦ;</w:t>
      </w:r>
    </w:p>
    <w:p w14:paraId="351FDB8A" w14:textId="45FA125B" w:rsidR="00E175F2" w:rsidRPr="001371B0" w:rsidRDefault="001371B0" w:rsidP="001371B0">
      <w:pPr>
        <w:pStyle w:val="Normalen"/>
        <w:numPr>
          <w:ilvl w:val="0"/>
          <w:numId w:val="19"/>
        </w:numPr>
      </w:pPr>
      <w:r w:rsidRPr="001371B0">
        <w:rPr>
          <w:b/>
        </w:rPr>
        <w:t xml:space="preserve">Илия Неделчев Илиев, </w:t>
      </w:r>
      <w:r w:rsidRPr="001371B0">
        <w:t>Управител на „Приморска Одиторска Компания“ ООД (одиторско дружество) – Одитор на междинния финансов отчет на “ГЛЕНМООР КЕПИТАЛ” АДСИЦ към 30 юни 2017 година</w:t>
      </w:r>
      <w:r w:rsidR="00E175F2" w:rsidRPr="001371B0">
        <w:t>;</w:t>
      </w:r>
    </w:p>
    <w:p w14:paraId="22360BBC" w14:textId="77777777" w:rsidR="00E175F2" w:rsidRPr="00955E19" w:rsidRDefault="00E175F2" w:rsidP="00115F3C">
      <w:pPr>
        <w:pStyle w:val="Normalen"/>
      </w:pPr>
    </w:p>
    <w:p w14:paraId="0E6CF388" w14:textId="77777777" w:rsidR="00E175F2" w:rsidRPr="00955E19" w:rsidRDefault="00E175F2" w:rsidP="00115F3C">
      <w:pPr>
        <w:pStyle w:val="Normalen"/>
        <w:ind w:firstLine="720"/>
        <w:rPr>
          <w:b/>
        </w:rPr>
      </w:pPr>
      <w:r w:rsidRPr="00955E19">
        <w:rPr>
          <w:b/>
        </w:rPr>
        <w:t xml:space="preserve">Декларираме, че доколкото ни е известно, съдържащата се в Документа за предлаганите ценни книжа информация е пълна и вярна. </w:t>
      </w:r>
    </w:p>
    <w:p w14:paraId="04C75FC8" w14:textId="77777777" w:rsidR="00E175F2" w:rsidRPr="00955E19" w:rsidRDefault="00E175F2" w:rsidP="00115F3C">
      <w:pPr>
        <w:pStyle w:val="Normalen"/>
      </w:pPr>
    </w:p>
    <w:p w14:paraId="6FB2380C" w14:textId="77777777" w:rsidR="00E175F2" w:rsidRPr="00955E19" w:rsidRDefault="00E175F2" w:rsidP="00115F3C">
      <w:pPr>
        <w:pStyle w:val="Normalen"/>
        <w:ind w:left="3600" w:firstLine="720"/>
      </w:pPr>
    </w:p>
    <w:p w14:paraId="231D0DA3" w14:textId="77777777" w:rsidR="00E175F2" w:rsidRPr="00955E19" w:rsidRDefault="00E175F2" w:rsidP="00115F3C">
      <w:pPr>
        <w:pStyle w:val="Normalen"/>
        <w:ind w:left="3600" w:firstLine="720"/>
      </w:pPr>
      <w:r w:rsidRPr="00955E19">
        <w:t>________________________</w:t>
      </w:r>
      <w:r w:rsidRPr="00955E19">
        <w:tab/>
      </w:r>
      <w:r w:rsidRPr="00955E19">
        <w:tab/>
      </w:r>
      <w:r w:rsidRPr="00955E19">
        <w:tab/>
      </w:r>
    </w:p>
    <w:p w14:paraId="2CA0E1A2" w14:textId="77777777" w:rsidR="00E175F2" w:rsidRPr="00955E19" w:rsidRDefault="00E175F2" w:rsidP="00115F3C">
      <w:pPr>
        <w:pStyle w:val="Normalen"/>
        <w:ind w:left="3600" w:firstLine="720"/>
        <w:rPr>
          <w:b/>
        </w:rPr>
      </w:pPr>
      <w:r w:rsidRPr="00955E19">
        <w:rPr>
          <w:b/>
        </w:rPr>
        <w:t>Гергана Атанасова Маринова</w:t>
      </w:r>
      <w:r w:rsidRPr="00955E19">
        <w:rPr>
          <w:b/>
        </w:rPr>
        <w:tab/>
      </w:r>
      <w:r w:rsidRPr="00955E19">
        <w:rPr>
          <w:b/>
        </w:rPr>
        <w:tab/>
      </w:r>
      <w:r w:rsidRPr="00955E19">
        <w:rPr>
          <w:b/>
        </w:rPr>
        <w:tab/>
      </w:r>
    </w:p>
    <w:p w14:paraId="32FCDF44" w14:textId="77777777" w:rsidR="00E175F2" w:rsidRPr="00955E19" w:rsidRDefault="00E175F2" w:rsidP="00115F3C">
      <w:pPr>
        <w:pStyle w:val="Normalen"/>
        <w:ind w:left="3600"/>
      </w:pPr>
    </w:p>
    <w:p w14:paraId="2A0DFE42" w14:textId="77777777" w:rsidR="00E175F2" w:rsidRPr="00955E19" w:rsidRDefault="00E175F2" w:rsidP="00115F3C">
      <w:pPr>
        <w:pStyle w:val="Normalen"/>
        <w:ind w:left="3600"/>
      </w:pPr>
    </w:p>
    <w:p w14:paraId="75DFF98C" w14:textId="77777777" w:rsidR="00E175F2" w:rsidRPr="00955E19" w:rsidRDefault="00E175F2" w:rsidP="00115F3C">
      <w:pPr>
        <w:pStyle w:val="Normalen"/>
        <w:ind w:left="3600"/>
      </w:pPr>
    </w:p>
    <w:p w14:paraId="2C756C51" w14:textId="77777777" w:rsidR="00E175F2" w:rsidRPr="00955E19" w:rsidRDefault="00E175F2" w:rsidP="00115F3C">
      <w:pPr>
        <w:pStyle w:val="Normalen"/>
        <w:ind w:left="3600" w:firstLine="720"/>
      </w:pPr>
      <w:r w:rsidRPr="00955E19">
        <w:t>________________________</w:t>
      </w:r>
      <w:r w:rsidRPr="00955E19">
        <w:tab/>
      </w:r>
      <w:r w:rsidRPr="00955E19">
        <w:tab/>
      </w:r>
      <w:r w:rsidRPr="00955E19">
        <w:tab/>
      </w:r>
    </w:p>
    <w:p w14:paraId="2FC92E07" w14:textId="77777777" w:rsidR="00E175F2" w:rsidRPr="00955E19" w:rsidRDefault="00E175F2" w:rsidP="00115F3C">
      <w:pPr>
        <w:pStyle w:val="Normalen"/>
        <w:ind w:left="3600" w:firstLine="720"/>
        <w:rPr>
          <w:b/>
        </w:rPr>
      </w:pPr>
      <w:r w:rsidRPr="00955E19">
        <w:rPr>
          <w:b/>
        </w:rPr>
        <w:t>Валентина Николаева Димитрова</w:t>
      </w:r>
    </w:p>
    <w:p w14:paraId="53F78AC6" w14:textId="77777777" w:rsidR="00E175F2" w:rsidRPr="00955E19" w:rsidRDefault="00E175F2" w:rsidP="00115F3C">
      <w:pPr>
        <w:pStyle w:val="Normalen"/>
        <w:ind w:left="3600"/>
      </w:pPr>
    </w:p>
    <w:p w14:paraId="5A93ABAA" w14:textId="77777777" w:rsidR="00E175F2" w:rsidRPr="00955E19" w:rsidRDefault="00E175F2" w:rsidP="00115F3C">
      <w:pPr>
        <w:pStyle w:val="Normalen"/>
        <w:ind w:left="8640"/>
        <w:jc w:val="left"/>
      </w:pPr>
    </w:p>
    <w:p w14:paraId="6E2D7B83" w14:textId="77777777" w:rsidR="00E175F2" w:rsidRPr="00955E19" w:rsidRDefault="00E175F2" w:rsidP="00115F3C">
      <w:pPr>
        <w:pStyle w:val="Normalen"/>
        <w:ind w:left="8640"/>
        <w:jc w:val="left"/>
      </w:pPr>
    </w:p>
    <w:p w14:paraId="61E839DD" w14:textId="77777777" w:rsidR="00E175F2" w:rsidRPr="00955E19" w:rsidRDefault="00E175F2" w:rsidP="00115F3C">
      <w:pPr>
        <w:pStyle w:val="Normalen"/>
        <w:ind w:left="3600" w:firstLine="720"/>
      </w:pPr>
      <w:r w:rsidRPr="00955E19">
        <w:t>________________________</w:t>
      </w:r>
      <w:r w:rsidRPr="00955E19">
        <w:tab/>
      </w:r>
      <w:r w:rsidRPr="00955E19">
        <w:tab/>
      </w:r>
      <w:r w:rsidRPr="00955E19">
        <w:tab/>
      </w:r>
    </w:p>
    <w:p w14:paraId="2500B512" w14:textId="77777777" w:rsidR="00E175F2" w:rsidRPr="00955E19" w:rsidRDefault="00E175F2" w:rsidP="00115F3C">
      <w:pPr>
        <w:pStyle w:val="Normalen"/>
        <w:ind w:left="3600" w:firstLine="720"/>
        <w:rPr>
          <w:b/>
        </w:rPr>
      </w:pPr>
      <w:r w:rsidRPr="00955E19">
        <w:rPr>
          <w:b/>
        </w:rPr>
        <w:t>Асен Александров Величков</w:t>
      </w:r>
      <w:r w:rsidRPr="00955E19">
        <w:rPr>
          <w:b/>
        </w:rPr>
        <w:tab/>
      </w:r>
      <w:r w:rsidRPr="00955E19">
        <w:rPr>
          <w:b/>
        </w:rPr>
        <w:tab/>
      </w:r>
      <w:r w:rsidRPr="00955E19">
        <w:rPr>
          <w:b/>
        </w:rPr>
        <w:tab/>
      </w:r>
    </w:p>
    <w:p w14:paraId="272F2897" w14:textId="77777777" w:rsidR="00E175F2" w:rsidRPr="00955E19" w:rsidRDefault="00E175F2" w:rsidP="00115F3C">
      <w:pPr>
        <w:pStyle w:val="Normalen"/>
        <w:ind w:left="3600"/>
      </w:pPr>
    </w:p>
    <w:p w14:paraId="5734F368" w14:textId="77777777" w:rsidR="00E175F2" w:rsidRPr="00955E19" w:rsidRDefault="00E175F2" w:rsidP="00115F3C">
      <w:pPr>
        <w:pStyle w:val="Normalen"/>
        <w:ind w:left="3600"/>
        <w:jc w:val="left"/>
      </w:pPr>
    </w:p>
    <w:p w14:paraId="256AD2B8" w14:textId="77777777" w:rsidR="00E175F2" w:rsidRPr="00955E19" w:rsidRDefault="00E175F2" w:rsidP="00115F3C">
      <w:pPr>
        <w:pStyle w:val="Normalen"/>
        <w:ind w:left="3600"/>
        <w:jc w:val="left"/>
      </w:pPr>
    </w:p>
    <w:p w14:paraId="0E22B2F1" w14:textId="77777777" w:rsidR="00E175F2" w:rsidRPr="00955E19" w:rsidRDefault="00E175F2" w:rsidP="00115F3C">
      <w:pPr>
        <w:pStyle w:val="Normalen"/>
        <w:ind w:left="3600" w:firstLine="720"/>
      </w:pPr>
      <w:r w:rsidRPr="00955E19">
        <w:t>________________________</w:t>
      </w:r>
      <w:r w:rsidRPr="00955E19">
        <w:tab/>
      </w:r>
      <w:r w:rsidRPr="00955E19">
        <w:tab/>
      </w:r>
      <w:r w:rsidRPr="00955E19">
        <w:tab/>
      </w:r>
    </w:p>
    <w:p w14:paraId="5CE8DAE1" w14:textId="0F2607C5" w:rsidR="00E175F2" w:rsidRPr="00675457" w:rsidRDefault="001371B0" w:rsidP="001371B0">
      <w:pPr>
        <w:pStyle w:val="Normalen"/>
        <w:ind w:left="3600" w:firstLine="720"/>
      </w:pPr>
      <w:r w:rsidRPr="001371B0">
        <w:rPr>
          <w:b/>
        </w:rPr>
        <w:t>Илия Неделчев Илиев</w:t>
      </w:r>
    </w:p>
    <w:sectPr w:rsidR="00E175F2" w:rsidRPr="00675457" w:rsidSect="00AE3A43">
      <w:headerReference w:type="first" r:id="rId12"/>
      <w:pgSz w:w="11906" w:h="16838" w:code="9"/>
      <w:pgMar w:top="1440" w:right="1440" w:bottom="1440" w:left="1440" w:header="432" w:footer="3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1D941" w14:textId="77777777" w:rsidR="00602BAF" w:rsidRDefault="00602BAF">
      <w:r>
        <w:separator/>
      </w:r>
    </w:p>
  </w:endnote>
  <w:endnote w:type="continuationSeparator" w:id="0">
    <w:p w14:paraId="1E97D975" w14:textId="77777777" w:rsidR="00602BAF" w:rsidRDefault="00602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6F95C" w14:textId="77777777" w:rsidR="003654BA" w:rsidRDefault="003654BA" w:rsidP="00FB4F64">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1B88F1FA" w14:textId="77777777" w:rsidR="003654BA" w:rsidRDefault="003654BA" w:rsidP="00FB4F64">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B259" w14:textId="731DB67D" w:rsidR="003654BA" w:rsidRPr="006366C6" w:rsidRDefault="003654BA" w:rsidP="006366C6">
    <w:pPr>
      <w:pStyle w:val="Footer"/>
      <w:jc w:val="right"/>
      <w:rPr>
        <w:sz w:val="20"/>
      </w:rPr>
    </w:pPr>
    <w:r>
      <w:rPr>
        <w:noProof/>
        <w:lang w:val="en-US" w:eastAsia="en-US"/>
      </w:rPr>
      <mc:AlternateContent>
        <mc:Choice Requires="wps">
          <w:drawing>
            <wp:anchor distT="4294967291" distB="4294967291" distL="114300" distR="114300" simplePos="0" relativeHeight="251656192" behindDoc="0" locked="0" layoutInCell="1" allowOverlap="1" wp14:anchorId="57247794" wp14:editId="2D0C49E0">
              <wp:simplePos x="0" y="0"/>
              <wp:positionH relativeFrom="column">
                <wp:posOffset>0</wp:posOffset>
              </wp:positionH>
              <wp:positionV relativeFrom="paragraph">
                <wp:posOffset>-65406</wp:posOffset>
              </wp:positionV>
              <wp:extent cx="5769610" cy="0"/>
              <wp:effectExtent l="0" t="0" r="21590" b="1905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9610" cy="0"/>
                      </a:xfrm>
                      <a:prstGeom prst="straightConnector1">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8CC58A" id="_x0000_t32" coordsize="21600,21600" o:spt="32" o:oned="t" path="m,l21600,21600e" filled="f">
              <v:path arrowok="t" fillok="f" o:connecttype="none"/>
              <o:lock v:ext="edit" shapetype="t"/>
            </v:shapetype>
            <v:shape id="AutoShape 6" o:spid="_x0000_s1026" type="#_x0000_t32" style="position:absolute;margin-left:0;margin-top:-5.15pt;width:454.3pt;height:0;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" strokeweight="1pt">
              <v:stroke dashstyle="1 1" endcap="round"/>
            </v:shape>
          </w:pict>
        </mc:Fallback>
      </mc:AlternateContent>
    </w:r>
    <w:r w:rsidRPr="006366C6">
      <w:rPr>
        <w:rStyle w:val="PageNumber"/>
        <w:sz w:val="20"/>
      </w:rPr>
      <w:fldChar w:fldCharType="begin"/>
    </w:r>
    <w:r w:rsidRPr="006366C6">
      <w:rPr>
        <w:rStyle w:val="PageNumber"/>
        <w:sz w:val="20"/>
      </w:rPr>
      <w:instrText xml:space="preserve"> PAGE </w:instrText>
    </w:r>
    <w:r w:rsidRPr="006366C6">
      <w:rPr>
        <w:rStyle w:val="PageNumber"/>
        <w:sz w:val="20"/>
      </w:rPr>
      <w:fldChar w:fldCharType="separate"/>
    </w:r>
    <w:r w:rsidR="000F1AF2">
      <w:rPr>
        <w:rStyle w:val="PageNumber"/>
        <w:noProof/>
        <w:sz w:val="20"/>
      </w:rPr>
      <w:t>2</w:t>
    </w:r>
    <w:r w:rsidRPr="006366C6">
      <w:rPr>
        <w:rStyle w:val="PageNumber"/>
        <w:sz w:val="20"/>
      </w:rPr>
      <w:fldChar w:fldCharType="end"/>
    </w:r>
  </w:p>
  <w:p w14:paraId="08B3F573" w14:textId="77777777" w:rsidR="003654BA" w:rsidRPr="001467BA" w:rsidRDefault="003654BA" w:rsidP="00146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30FF5" w14:textId="77777777" w:rsidR="00602BAF" w:rsidRDefault="00602BAF">
      <w:r>
        <w:separator/>
      </w:r>
    </w:p>
  </w:footnote>
  <w:footnote w:type="continuationSeparator" w:id="0">
    <w:p w14:paraId="488B3DB7" w14:textId="77777777" w:rsidR="00602BAF" w:rsidRDefault="00602B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3D9" w14:textId="77777777" w:rsidR="003654BA" w:rsidRDefault="003654BA" w:rsidP="00587CCD">
    <w:pPr>
      <w:pStyle w:val="Header"/>
      <w:rPr>
        <w:b/>
        <w:spacing w:val="20"/>
        <w:sz w:val="20"/>
        <w:lang w:val="en-US"/>
      </w:rPr>
    </w:pPr>
  </w:p>
  <w:p w14:paraId="713806A6" w14:textId="77777777" w:rsidR="003654BA" w:rsidRPr="009C35CB" w:rsidRDefault="003654BA" w:rsidP="00BC06F1">
    <w:pPr>
      <w:pStyle w:val="Header"/>
      <w:rPr>
        <w:b/>
        <w:spacing w:val="20"/>
        <w:sz w:val="20"/>
        <w:lang w:val="ru-RU"/>
      </w:rPr>
    </w:pPr>
    <w:r w:rsidRPr="0013694F">
      <w:rPr>
        <w:b/>
        <w:spacing w:val="20"/>
        <w:sz w:val="20"/>
      </w:rPr>
      <w:t>ГЛЕНМООР КЕПИТАЛ АДСИЦ</w:t>
    </w:r>
    <w:r w:rsidRPr="00BC06F1">
      <w:rPr>
        <w:rFonts w:ascii="Times New Roman Bold" w:hAnsi="Times New Roman Bold"/>
        <w:b/>
        <w:spacing w:val="20"/>
        <w:sz w:val="20"/>
      </w:rPr>
      <w:tab/>
    </w:r>
    <w:r w:rsidRPr="00BC06F1">
      <w:rPr>
        <w:b/>
        <w:spacing w:val="20"/>
        <w:sz w:val="20"/>
      </w:rPr>
      <w:t xml:space="preserve"> Документ за предлага</w:t>
    </w:r>
    <w:r>
      <w:rPr>
        <w:b/>
        <w:spacing w:val="20"/>
        <w:sz w:val="20"/>
      </w:rPr>
      <w:t>н</w:t>
    </w:r>
    <w:r w:rsidRPr="00BC06F1">
      <w:rPr>
        <w:b/>
        <w:spacing w:val="20"/>
        <w:sz w:val="20"/>
      </w:rPr>
      <w:t>ите ценни книжа</w:t>
    </w:r>
  </w:p>
  <w:p w14:paraId="0D63FEB3" w14:textId="77777777" w:rsidR="003654BA" w:rsidRPr="00841FAD" w:rsidRDefault="003654BA" w:rsidP="00BC06F1">
    <w:pPr>
      <w:pStyle w:val="Header"/>
      <w:rPr>
        <w:sz w:val="20"/>
      </w:rPr>
    </w:pPr>
    <w:r>
      <w:rPr>
        <w:noProof/>
        <w:lang w:val="en-US" w:eastAsia="en-US"/>
      </w:rPr>
      <mc:AlternateContent>
        <mc:Choice Requires="wps">
          <w:drawing>
            <wp:anchor distT="0" distB="0" distL="114300" distR="114300" simplePos="0" relativeHeight="251659264" behindDoc="0" locked="0" layoutInCell="1" allowOverlap="1" wp14:anchorId="0F6B1F78" wp14:editId="1BA2FF2F">
              <wp:simplePos x="0" y="0"/>
              <wp:positionH relativeFrom="column">
                <wp:posOffset>-9525</wp:posOffset>
              </wp:positionH>
              <wp:positionV relativeFrom="paragraph">
                <wp:posOffset>93980</wp:posOffset>
              </wp:positionV>
              <wp:extent cx="5848350" cy="635"/>
              <wp:effectExtent l="0" t="0" r="19050" b="37465"/>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0" cy="635"/>
                      </a:xfrm>
                      <a:prstGeom prst="straightConnector1">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714CD7" id="_x0000_t32" coordsize="21600,21600" o:spt="32" o:oned="t" path="m,l21600,21600e" filled="f">
              <v:path arrowok="t" fillok="f" o:connecttype="none"/>
              <o:lock v:ext="edit" shapetype="t"/>
            </v:shapetype>
            <v:shape id="AutoShape 18" o:spid="_x0000_s1026" type="#_x0000_t32" style="position:absolute;margin-left:-.75pt;margin-top:7.4pt;width:460.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" strokeweight="1pt">
              <v:stroke dashstyle="1 1" endcap="round"/>
            </v:shape>
          </w:pict>
        </mc:Fallback>
      </mc:AlternateContent>
    </w:r>
  </w:p>
  <w:p w14:paraId="502EDE2F" w14:textId="77777777" w:rsidR="003654BA" w:rsidRPr="009C35CB" w:rsidRDefault="003654BA" w:rsidP="001467BA">
    <w:pPr>
      <w:pStyle w:val="Header"/>
      <w:rPr>
        <w:sz w:val="20"/>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2C57E" w14:textId="77777777" w:rsidR="003654BA" w:rsidRDefault="003654BA" w:rsidP="00EF4FE7">
    <w:pPr>
      <w:pStyle w:val="Header"/>
      <w:rPr>
        <w:sz w:val="20"/>
      </w:rPr>
    </w:pPr>
  </w:p>
  <w:p w14:paraId="052F5250" w14:textId="77777777" w:rsidR="003654BA" w:rsidRPr="00841FAD" w:rsidRDefault="003654BA" w:rsidP="00EF4FE7">
    <w:pPr>
      <w:pStyle w:val="Header"/>
      <w:rPr>
        <w:sz w:val="20"/>
      </w:rPr>
    </w:pPr>
  </w:p>
  <w:p w14:paraId="03756AE2" w14:textId="77777777" w:rsidR="003654BA" w:rsidRPr="001467BA" w:rsidRDefault="003654BA" w:rsidP="007175A9">
    <w:pPr>
      <w:pStyle w:val="Header"/>
      <w:rPr>
        <w:b/>
        <w:spacing w:val="20"/>
        <w:sz w:val="20"/>
      </w:rPr>
    </w:pPr>
    <w:r w:rsidRPr="00186468">
      <w:rPr>
        <w:b/>
        <w:spacing w:val="20"/>
        <w:sz w:val="22"/>
        <w:szCs w:val="22"/>
      </w:rPr>
      <w:t>ГЛЕНМООР КЕПИТАЛ</w:t>
    </w:r>
    <w:r>
      <w:rPr>
        <w:b/>
        <w:spacing w:val="20"/>
        <w:sz w:val="22"/>
        <w:szCs w:val="22"/>
      </w:rPr>
      <w:t xml:space="preserve"> </w:t>
    </w:r>
    <w:r w:rsidRPr="00EA29DD">
      <w:rPr>
        <w:b/>
        <w:spacing w:val="20"/>
        <w:sz w:val="22"/>
        <w:szCs w:val="22"/>
      </w:rPr>
      <w:t>АДСИЦ</w:t>
    </w:r>
    <w:r>
      <w:rPr>
        <w:b/>
        <w:spacing w:val="20"/>
        <w:sz w:val="20"/>
      </w:rPr>
      <w:t xml:space="preserve"> Документ за предлаганите ценни книжа</w:t>
    </w:r>
  </w:p>
  <w:p w14:paraId="4A920CD5" w14:textId="77777777" w:rsidR="003654BA" w:rsidRDefault="003654BA" w:rsidP="007175A9">
    <w:pPr>
      <w:pStyle w:val="Header"/>
      <w:rPr>
        <w:sz w:val="20"/>
      </w:rPr>
    </w:pPr>
    <w:r>
      <w:rPr>
        <w:noProof/>
        <w:lang w:val="en-US" w:eastAsia="en-US"/>
      </w:rPr>
      <mc:AlternateContent>
        <mc:Choice Requires="wps">
          <w:drawing>
            <wp:anchor distT="4294967291" distB="4294967291" distL="114300" distR="114300" simplePos="0" relativeHeight="251657728" behindDoc="0" locked="0" layoutInCell="1" allowOverlap="1" wp14:anchorId="4B7AD96F" wp14:editId="42F466F8">
              <wp:simplePos x="0" y="0"/>
              <wp:positionH relativeFrom="column">
                <wp:posOffset>19050</wp:posOffset>
              </wp:positionH>
              <wp:positionV relativeFrom="paragraph">
                <wp:posOffset>73024</wp:posOffset>
              </wp:positionV>
              <wp:extent cx="5924550" cy="0"/>
              <wp:effectExtent l="0" t="0" r="19050" b="1905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0" cy="0"/>
                      </a:xfrm>
                      <a:prstGeom prst="straightConnector1">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BDB5DB" id="_x0000_t32" coordsize="21600,21600" o:spt="32" o:oned="t" path="m,l21600,21600e" filled="f">
              <v:path arrowok="t" fillok="f" o:connecttype="none"/>
              <o:lock v:ext="edit" shapetype="t"/>
            </v:shapetype>
            <v:shape id="AutoShape 14" o:spid="_x0000_s1026" type="#_x0000_t32" style="position:absolute;margin-left:1.5pt;margin-top:5.75pt;width:466.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" strokeweight="1pt">
              <v:stroke dashstyle="1 1" endcap="round"/>
            </v:shape>
          </w:pict>
        </mc:Fallback>
      </mc:AlternateContent>
    </w:r>
  </w:p>
  <w:p w14:paraId="60033213" w14:textId="77777777" w:rsidR="003654BA" w:rsidRPr="00EF4FE7" w:rsidRDefault="003654BA" w:rsidP="00EF4F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56040"/>
    <w:multiLevelType w:val="hybridMultilevel"/>
    <w:tmpl w:val="647AF4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71687B"/>
    <w:multiLevelType w:val="hybridMultilevel"/>
    <w:tmpl w:val="2824768C"/>
    <w:lvl w:ilvl="0" w:tplc="E6F49D2A">
      <w:start w:val="1"/>
      <w:numFmt w:val="bullet"/>
      <w:lvlText w:val="Ü"/>
      <w:lvlJc w:val="left"/>
      <w:pPr>
        <w:ind w:left="720" w:hanging="360"/>
      </w:pPr>
      <w:rPr>
        <w:rFonts w:ascii="Wingdings" w:hAnsi="Wingdings" w:hint="default"/>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94CD6"/>
    <w:multiLevelType w:val="hybridMultilevel"/>
    <w:tmpl w:val="FAF882E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BF8493C"/>
    <w:multiLevelType w:val="hybridMultilevel"/>
    <w:tmpl w:val="1DBCFEF0"/>
    <w:lvl w:ilvl="0" w:tplc="DEC27CF4">
      <w:start w:val="1"/>
      <w:numFmt w:val="upperRoman"/>
      <w:lvlText w:val="%1."/>
      <w:lvlJc w:val="right"/>
      <w:pPr>
        <w:ind w:left="720" w:hanging="360"/>
      </w:pPr>
      <w:rPr>
        <w:rFonts w:ascii="Times New Roman" w:hAnsi="Times New Roman" w:cs="Times New Roman" w:hint="default"/>
        <w:b/>
        <w:i w:val="0"/>
        <w:color w:val="auto"/>
        <w:sz w:val="20"/>
        <w:szCs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D5E775E"/>
    <w:multiLevelType w:val="hybridMultilevel"/>
    <w:tmpl w:val="443AE680"/>
    <w:lvl w:ilvl="0" w:tplc="2C120B08">
      <w:start w:val="1"/>
      <w:numFmt w:val="bullet"/>
      <w:lvlText w:val=""/>
      <w:lvlJc w:val="left"/>
      <w:pPr>
        <w:ind w:left="720" w:hanging="360"/>
      </w:pPr>
      <w:rPr>
        <w:rFonts w:ascii="Wingdings" w:hAnsi="Wingdings" w:hint="default"/>
        <w:color w:val="1F497D"/>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F3793B"/>
    <w:multiLevelType w:val="hybridMultilevel"/>
    <w:tmpl w:val="72B055DC"/>
    <w:lvl w:ilvl="0" w:tplc="04090005">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513E0F5A">
      <w:numFmt w:val="bullet"/>
      <w:lvlText w:val="-"/>
      <w:lvlJc w:val="left"/>
      <w:pPr>
        <w:tabs>
          <w:tab w:val="num" w:pos="2670"/>
        </w:tabs>
        <w:ind w:left="2670" w:hanging="870"/>
      </w:pPr>
      <w:rPr>
        <w:rFonts w:ascii="TimesNewRoman" w:eastAsia="Times New Roman" w:hAnsi="TimesNewRoman"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D1A00"/>
    <w:multiLevelType w:val="hybridMultilevel"/>
    <w:tmpl w:val="DA0EC370"/>
    <w:lvl w:ilvl="0" w:tplc="21AC214C">
      <w:start w:val="4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D794F"/>
    <w:multiLevelType w:val="multilevel"/>
    <w:tmpl w:val="3C26FD2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15:restartNumberingAfterBreak="0">
    <w:nsid w:val="1D504FEA"/>
    <w:multiLevelType w:val="hybridMultilevel"/>
    <w:tmpl w:val="B2FE32C6"/>
    <w:lvl w:ilvl="0" w:tplc="C8342D26">
      <w:start w:val="1"/>
      <w:numFmt w:val="bullet"/>
      <w:lvlText w:val=""/>
      <w:lvlJc w:val="left"/>
      <w:pPr>
        <w:tabs>
          <w:tab w:val="num" w:pos="360"/>
        </w:tabs>
        <w:ind w:left="357" w:hanging="357"/>
      </w:pPr>
      <w:rPr>
        <w:rFonts w:ascii="Wingdings" w:hAnsi="Wingdings" w:hint="default"/>
        <w:color w:val="000080"/>
      </w:rPr>
    </w:lvl>
    <w:lvl w:ilvl="1" w:tplc="6486C51E" w:tentative="1">
      <w:start w:val="1"/>
      <w:numFmt w:val="bullet"/>
      <w:lvlText w:val="o"/>
      <w:lvlJc w:val="left"/>
      <w:pPr>
        <w:tabs>
          <w:tab w:val="num" w:pos="429"/>
        </w:tabs>
        <w:ind w:left="429" w:hanging="360"/>
      </w:pPr>
      <w:rPr>
        <w:rFonts w:ascii="Courier New" w:hAnsi="Courier New" w:hint="default"/>
      </w:rPr>
    </w:lvl>
    <w:lvl w:ilvl="2" w:tplc="C778F8B0" w:tentative="1">
      <w:start w:val="1"/>
      <w:numFmt w:val="bullet"/>
      <w:lvlText w:val=""/>
      <w:lvlJc w:val="left"/>
      <w:pPr>
        <w:tabs>
          <w:tab w:val="num" w:pos="1149"/>
        </w:tabs>
        <w:ind w:left="1149" w:hanging="360"/>
      </w:pPr>
      <w:rPr>
        <w:rFonts w:ascii="Wingdings" w:hAnsi="Wingdings" w:hint="default"/>
      </w:rPr>
    </w:lvl>
    <w:lvl w:ilvl="3" w:tplc="04AA4B8E" w:tentative="1">
      <w:start w:val="1"/>
      <w:numFmt w:val="bullet"/>
      <w:lvlText w:val=""/>
      <w:lvlJc w:val="left"/>
      <w:pPr>
        <w:tabs>
          <w:tab w:val="num" w:pos="1869"/>
        </w:tabs>
        <w:ind w:left="1869" w:hanging="360"/>
      </w:pPr>
      <w:rPr>
        <w:rFonts w:ascii="Symbol" w:hAnsi="Symbol" w:hint="default"/>
      </w:rPr>
    </w:lvl>
    <w:lvl w:ilvl="4" w:tplc="13B0ACDE" w:tentative="1">
      <w:start w:val="1"/>
      <w:numFmt w:val="bullet"/>
      <w:lvlText w:val="o"/>
      <w:lvlJc w:val="left"/>
      <w:pPr>
        <w:tabs>
          <w:tab w:val="num" w:pos="2589"/>
        </w:tabs>
        <w:ind w:left="2589" w:hanging="360"/>
      </w:pPr>
      <w:rPr>
        <w:rFonts w:ascii="Courier New" w:hAnsi="Courier New" w:hint="default"/>
      </w:rPr>
    </w:lvl>
    <w:lvl w:ilvl="5" w:tplc="5BDA36E2" w:tentative="1">
      <w:start w:val="1"/>
      <w:numFmt w:val="bullet"/>
      <w:lvlText w:val=""/>
      <w:lvlJc w:val="left"/>
      <w:pPr>
        <w:tabs>
          <w:tab w:val="num" w:pos="3309"/>
        </w:tabs>
        <w:ind w:left="3309" w:hanging="360"/>
      </w:pPr>
      <w:rPr>
        <w:rFonts w:ascii="Wingdings" w:hAnsi="Wingdings" w:hint="default"/>
      </w:rPr>
    </w:lvl>
    <w:lvl w:ilvl="6" w:tplc="0BEEE75C" w:tentative="1">
      <w:start w:val="1"/>
      <w:numFmt w:val="bullet"/>
      <w:lvlText w:val=""/>
      <w:lvlJc w:val="left"/>
      <w:pPr>
        <w:tabs>
          <w:tab w:val="num" w:pos="4029"/>
        </w:tabs>
        <w:ind w:left="4029" w:hanging="360"/>
      </w:pPr>
      <w:rPr>
        <w:rFonts w:ascii="Symbol" w:hAnsi="Symbol" w:hint="default"/>
      </w:rPr>
    </w:lvl>
    <w:lvl w:ilvl="7" w:tplc="547A66FE" w:tentative="1">
      <w:start w:val="1"/>
      <w:numFmt w:val="bullet"/>
      <w:lvlText w:val="o"/>
      <w:lvlJc w:val="left"/>
      <w:pPr>
        <w:tabs>
          <w:tab w:val="num" w:pos="4749"/>
        </w:tabs>
        <w:ind w:left="4749" w:hanging="360"/>
      </w:pPr>
      <w:rPr>
        <w:rFonts w:ascii="Courier New" w:hAnsi="Courier New" w:hint="default"/>
      </w:rPr>
    </w:lvl>
    <w:lvl w:ilvl="8" w:tplc="ACC46882" w:tentative="1">
      <w:start w:val="1"/>
      <w:numFmt w:val="bullet"/>
      <w:lvlText w:val=""/>
      <w:lvlJc w:val="left"/>
      <w:pPr>
        <w:tabs>
          <w:tab w:val="num" w:pos="5469"/>
        </w:tabs>
        <w:ind w:left="5469" w:hanging="360"/>
      </w:pPr>
      <w:rPr>
        <w:rFonts w:ascii="Wingdings" w:hAnsi="Wingdings" w:hint="default"/>
      </w:rPr>
    </w:lvl>
  </w:abstractNum>
  <w:abstractNum w:abstractNumId="9" w15:restartNumberingAfterBreak="0">
    <w:nsid w:val="389C0286"/>
    <w:multiLevelType w:val="hybridMultilevel"/>
    <w:tmpl w:val="DB7229C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B0A2014"/>
    <w:multiLevelType w:val="multilevel"/>
    <w:tmpl w:val="6B2CE5FC"/>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1" w15:restartNumberingAfterBreak="0">
    <w:nsid w:val="407A5C38"/>
    <w:multiLevelType w:val="hybridMultilevel"/>
    <w:tmpl w:val="32400C1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9222AE"/>
    <w:multiLevelType w:val="hybridMultilevel"/>
    <w:tmpl w:val="299253AE"/>
    <w:lvl w:ilvl="0" w:tplc="04020005">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2C36A5"/>
    <w:multiLevelType w:val="hybridMultilevel"/>
    <w:tmpl w:val="D5860D1A"/>
    <w:lvl w:ilvl="0" w:tplc="AD2E5F1E">
      <w:start w:val="1"/>
      <w:numFmt w:val="bullet"/>
      <w:lvlText w:val=""/>
      <w:lvlJc w:val="left"/>
      <w:pPr>
        <w:tabs>
          <w:tab w:val="num" w:pos="397"/>
        </w:tabs>
        <w:ind w:left="340" w:hanging="340"/>
      </w:pPr>
      <w:rPr>
        <w:rFonts w:ascii="Wingdings 3" w:hAnsi="Wingdings 3" w:hint="default"/>
        <w:color w:val="800000"/>
      </w:rPr>
    </w:lvl>
    <w:lvl w:ilvl="1" w:tplc="69FA3706">
      <w:start w:val="1"/>
      <w:numFmt w:val="decimal"/>
      <w:lvlText w:val="%2."/>
      <w:lvlJc w:val="left"/>
      <w:pPr>
        <w:tabs>
          <w:tab w:val="num" w:pos="1440"/>
        </w:tabs>
        <w:ind w:left="1440" w:hanging="360"/>
      </w:pPr>
      <w:rPr>
        <w:rFonts w:cs="Times New Roman" w:hint="default"/>
        <w:color w:val="auto"/>
      </w:rPr>
    </w:lvl>
    <w:lvl w:ilvl="2" w:tplc="48E01720">
      <w:start w:val="1"/>
      <w:numFmt w:val="decimal"/>
      <w:lvlText w:val="%3."/>
      <w:lvlJc w:val="left"/>
      <w:pPr>
        <w:tabs>
          <w:tab w:val="num" w:pos="2160"/>
        </w:tabs>
        <w:ind w:left="2160" w:hanging="360"/>
      </w:pPr>
      <w:rPr>
        <w:rFonts w:cs="Times New Roman" w:hint="default"/>
        <w:color w:val="auto"/>
      </w:rPr>
    </w:lvl>
    <w:lvl w:ilvl="3" w:tplc="77C68C82" w:tentative="1">
      <w:start w:val="1"/>
      <w:numFmt w:val="bullet"/>
      <w:lvlText w:val=""/>
      <w:lvlJc w:val="left"/>
      <w:pPr>
        <w:tabs>
          <w:tab w:val="num" w:pos="2880"/>
        </w:tabs>
        <w:ind w:left="2880" w:hanging="360"/>
      </w:pPr>
      <w:rPr>
        <w:rFonts w:ascii="Symbol" w:hAnsi="Symbol" w:hint="default"/>
      </w:rPr>
    </w:lvl>
    <w:lvl w:ilvl="4" w:tplc="C3BEC276" w:tentative="1">
      <w:start w:val="1"/>
      <w:numFmt w:val="bullet"/>
      <w:lvlText w:val="o"/>
      <w:lvlJc w:val="left"/>
      <w:pPr>
        <w:tabs>
          <w:tab w:val="num" w:pos="3600"/>
        </w:tabs>
        <w:ind w:left="3600" w:hanging="360"/>
      </w:pPr>
      <w:rPr>
        <w:rFonts w:ascii="Courier New" w:hAnsi="Courier New" w:hint="default"/>
      </w:rPr>
    </w:lvl>
    <w:lvl w:ilvl="5" w:tplc="CE0EA200" w:tentative="1">
      <w:start w:val="1"/>
      <w:numFmt w:val="bullet"/>
      <w:lvlText w:val=""/>
      <w:lvlJc w:val="left"/>
      <w:pPr>
        <w:tabs>
          <w:tab w:val="num" w:pos="4320"/>
        </w:tabs>
        <w:ind w:left="4320" w:hanging="360"/>
      </w:pPr>
      <w:rPr>
        <w:rFonts w:ascii="Wingdings" w:hAnsi="Wingdings" w:hint="default"/>
      </w:rPr>
    </w:lvl>
    <w:lvl w:ilvl="6" w:tplc="79CAB264" w:tentative="1">
      <w:start w:val="1"/>
      <w:numFmt w:val="bullet"/>
      <w:lvlText w:val=""/>
      <w:lvlJc w:val="left"/>
      <w:pPr>
        <w:tabs>
          <w:tab w:val="num" w:pos="5040"/>
        </w:tabs>
        <w:ind w:left="5040" w:hanging="360"/>
      </w:pPr>
      <w:rPr>
        <w:rFonts w:ascii="Symbol" w:hAnsi="Symbol" w:hint="default"/>
      </w:rPr>
    </w:lvl>
    <w:lvl w:ilvl="7" w:tplc="3202FE9E" w:tentative="1">
      <w:start w:val="1"/>
      <w:numFmt w:val="bullet"/>
      <w:lvlText w:val="o"/>
      <w:lvlJc w:val="left"/>
      <w:pPr>
        <w:tabs>
          <w:tab w:val="num" w:pos="5760"/>
        </w:tabs>
        <w:ind w:left="5760" w:hanging="360"/>
      </w:pPr>
      <w:rPr>
        <w:rFonts w:ascii="Courier New" w:hAnsi="Courier New" w:hint="default"/>
      </w:rPr>
    </w:lvl>
    <w:lvl w:ilvl="8" w:tplc="871CA7F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B050BA"/>
    <w:multiLevelType w:val="hybridMultilevel"/>
    <w:tmpl w:val="63E49512"/>
    <w:lvl w:ilvl="0" w:tplc="21AC214C">
      <w:start w:val="4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841847"/>
    <w:multiLevelType w:val="hybridMultilevel"/>
    <w:tmpl w:val="460A585A"/>
    <w:lvl w:ilvl="0" w:tplc="0402000D">
      <w:start w:val="1"/>
      <w:numFmt w:val="bullet"/>
      <w:lvlText w:val=""/>
      <w:lvlJc w:val="left"/>
      <w:pPr>
        <w:ind w:left="1470" w:hanging="360"/>
      </w:pPr>
      <w:rPr>
        <w:rFonts w:ascii="Wingdings" w:hAnsi="Wingdings" w:hint="default"/>
      </w:rPr>
    </w:lvl>
    <w:lvl w:ilvl="1" w:tplc="04020003" w:tentative="1">
      <w:start w:val="1"/>
      <w:numFmt w:val="bullet"/>
      <w:lvlText w:val="o"/>
      <w:lvlJc w:val="left"/>
      <w:pPr>
        <w:ind w:left="2190" w:hanging="360"/>
      </w:pPr>
      <w:rPr>
        <w:rFonts w:ascii="Courier New" w:hAnsi="Courier New" w:hint="default"/>
      </w:rPr>
    </w:lvl>
    <w:lvl w:ilvl="2" w:tplc="04020005" w:tentative="1">
      <w:start w:val="1"/>
      <w:numFmt w:val="bullet"/>
      <w:lvlText w:val=""/>
      <w:lvlJc w:val="left"/>
      <w:pPr>
        <w:ind w:left="2910" w:hanging="360"/>
      </w:pPr>
      <w:rPr>
        <w:rFonts w:ascii="Wingdings" w:hAnsi="Wingdings" w:hint="default"/>
      </w:rPr>
    </w:lvl>
    <w:lvl w:ilvl="3" w:tplc="04020001" w:tentative="1">
      <w:start w:val="1"/>
      <w:numFmt w:val="bullet"/>
      <w:lvlText w:val=""/>
      <w:lvlJc w:val="left"/>
      <w:pPr>
        <w:ind w:left="3630" w:hanging="360"/>
      </w:pPr>
      <w:rPr>
        <w:rFonts w:ascii="Symbol" w:hAnsi="Symbol" w:hint="default"/>
      </w:rPr>
    </w:lvl>
    <w:lvl w:ilvl="4" w:tplc="04020003" w:tentative="1">
      <w:start w:val="1"/>
      <w:numFmt w:val="bullet"/>
      <w:lvlText w:val="o"/>
      <w:lvlJc w:val="left"/>
      <w:pPr>
        <w:ind w:left="4350" w:hanging="360"/>
      </w:pPr>
      <w:rPr>
        <w:rFonts w:ascii="Courier New" w:hAnsi="Courier New" w:hint="default"/>
      </w:rPr>
    </w:lvl>
    <w:lvl w:ilvl="5" w:tplc="04020005" w:tentative="1">
      <w:start w:val="1"/>
      <w:numFmt w:val="bullet"/>
      <w:lvlText w:val=""/>
      <w:lvlJc w:val="left"/>
      <w:pPr>
        <w:ind w:left="5070" w:hanging="360"/>
      </w:pPr>
      <w:rPr>
        <w:rFonts w:ascii="Wingdings" w:hAnsi="Wingdings" w:hint="default"/>
      </w:rPr>
    </w:lvl>
    <w:lvl w:ilvl="6" w:tplc="04020001" w:tentative="1">
      <w:start w:val="1"/>
      <w:numFmt w:val="bullet"/>
      <w:lvlText w:val=""/>
      <w:lvlJc w:val="left"/>
      <w:pPr>
        <w:ind w:left="5790" w:hanging="360"/>
      </w:pPr>
      <w:rPr>
        <w:rFonts w:ascii="Symbol" w:hAnsi="Symbol" w:hint="default"/>
      </w:rPr>
    </w:lvl>
    <w:lvl w:ilvl="7" w:tplc="04020003" w:tentative="1">
      <w:start w:val="1"/>
      <w:numFmt w:val="bullet"/>
      <w:lvlText w:val="o"/>
      <w:lvlJc w:val="left"/>
      <w:pPr>
        <w:ind w:left="6510" w:hanging="360"/>
      </w:pPr>
      <w:rPr>
        <w:rFonts w:ascii="Courier New" w:hAnsi="Courier New" w:hint="default"/>
      </w:rPr>
    </w:lvl>
    <w:lvl w:ilvl="8" w:tplc="04020005" w:tentative="1">
      <w:start w:val="1"/>
      <w:numFmt w:val="bullet"/>
      <w:lvlText w:val=""/>
      <w:lvlJc w:val="left"/>
      <w:pPr>
        <w:ind w:left="7230" w:hanging="360"/>
      </w:pPr>
      <w:rPr>
        <w:rFonts w:ascii="Wingdings" w:hAnsi="Wingdings" w:hint="default"/>
      </w:rPr>
    </w:lvl>
  </w:abstractNum>
  <w:abstractNum w:abstractNumId="16" w15:restartNumberingAfterBreak="0">
    <w:nsid w:val="4C8B449D"/>
    <w:multiLevelType w:val="hybridMultilevel"/>
    <w:tmpl w:val="526A14E8"/>
    <w:lvl w:ilvl="0" w:tplc="6C00B584">
      <w:start w:val="1"/>
      <w:numFmt w:val="decimal"/>
      <w:lvlText w:val="%1."/>
      <w:lvlJc w:val="left"/>
      <w:pPr>
        <w:tabs>
          <w:tab w:val="num" w:pos="720"/>
        </w:tabs>
        <w:ind w:left="720" w:hanging="360"/>
      </w:pPr>
      <w:rPr>
        <w:rFonts w:cs="Times New Roman"/>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26655EE"/>
    <w:multiLevelType w:val="hybridMultilevel"/>
    <w:tmpl w:val="C2F6E890"/>
    <w:lvl w:ilvl="0" w:tplc="0E4E4B0C">
      <w:start w:val="1"/>
      <w:numFmt w:val="bullet"/>
      <w:lvlText w:val="–"/>
      <w:lvlJc w:val="left"/>
      <w:pPr>
        <w:ind w:left="720" w:hanging="360"/>
      </w:pPr>
      <w:rPr>
        <w:rFonts w:ascii="Times New Roman" w:hAnsi="Times New Roman" w:hint="default"/>
        <w:color w:val="80000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5110EDC"/>
    <w:multiLevelType w:val="hybridMultilevel"/>
    <w:tmpl w:val="1FE2A0AE"/>
    <w:lvl w:ilvl="0" w:tplc="88967D6C">
      <w:start w:val="1"/>
      <w:numFmt w:val="decimal"/>
      <w:lvlText w:val="%1."/>
      <w:lvlJc w:val="left"/>
      <w:pPr>
        <w:ind w:left="720" w:hanging="360"/>
      </w:pPr>
      <w:rPr>
        <w:rFonts w:ascii="Calibri"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87057E3"/>
    <w:multiLevelType w:val="hybridMultilevel"/>
    <w:tmpl w:val="A132A31E"/>
    <w:lvl w:ilvl="0" w:tplc="04020001">
      <w:start w:val="29"/>
      <w:numFmt w:val="bullet"/>
      <w:lvlText w:val=""/>
      <w:lvlJc w:val="left"/>
      <w:pPr>
        <w:ind w:left="720" w:hanging="360"/>
      </w:pPr>
      <w:rPr>
        <w:rFonts w:ascii="Symbol" w:eastAsia="Times New Roman"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89B4C6E"/>
    <w:multiLevelType w:val="hybridMultilevel"/>
    <w:tmpl w:val="C5ACCE38"/>
    <w:lvl w:ilvl="0" w:tplc="6E60DE8A">
      <w:start w:val="1"/>
      <w:numFmt w:val="bullet"/>
      <w:lvlText w:val=""/>
      <w:lvlJc w:val="left"/>
      <w:pPr>
        <w:tabs>
          <w:tab w:val="num" w:pos="720"/>
        </w:tabs>
        <w:ind w:left="720" w:hanging="360"/>
      </w:pPr>
      <w:rPr>
        <w:rFonts w:ascii="Symbol" w:hAnsi="Symbol" w:hint="default"/>
      </w:rPr>
    </w:lvl>
    <w:lvl w:ilvl="1" w:tplc="057E002E" w:tentative="1">
      <w:start w:val="1"/>
      <w:numFmt w:val="bullet"/>
      <w:lvlText w:val="o"/>
      <w:lvlJc w:val="left"/>
      <w:pPr>
        <w:tabs>
          <w:tab w:val="num" w:pos="1440"/>
        </w:tabs>
        <w:ind w:left="1440" w:hanging="360"/>
      </w:pPr>
      <w:rPr>
        <w:rFonts w:ascii="Courier New" w:hAnsi="Courier New" w:hint="default"/>
      </w:rPr>
    </w:lvl>
    <w:lvl w:ilvl="2" w:tplc="4F70145E" w:tentative="1">
      <w:start w:val="1"/>
      <w:numFmt w:val="bullet"/>
      <w:lvlText w:val=""/>
      <w:lvlJc w:val="left"/>
      <w:pPr>
        <w:tabs>
          <w:tab w:val="num" w:pos="2160"/>
        </w:tabs>
        <w:ind w:left="2160" w:hanging="360"/>
      </w:pPr>
      <w:rPr>
        <w:rFonts w:ascii="Wingdings" w:hAnsi="Wingdings" w:hint="default"/>
      </w:rPr>
    </w:lvl>
    <w:lvl w:ilvl="3" w:tplc="A7B2E4DA" w:tentative="1">
      <w:start w:val="1"/>
      <w:numFmt w:val="bullet"/>
      <w:lvlText w:val=""/>
      <w:lvlJc w:val="left"/>
      <w:pPr>
        <w:tabs>
          <w:tab w:val="num" w:pos="2880"/>
        </w:tabs>
        <w:ind w:left="2880" w:hanging="360"/>
      </w:pPr>
      <w:rPr>
        <w:rFonts w:ascii="Symbol" w:hAnsi="Symbol" w:hint="default"/>
      </w:rPr>
    </w:lvl>
    <w:lvl w:ilvl="4" w:tplc="3BE08B16" w:tentative="1">
      <w:start w:val="1"/>
      <w:numFmt w:val="bullet"/>
      <w:lvlText w:val="o"/>
      <w:lvlJc w:val="left"/>
      <w:pPr>
        <w:tabs>
          <w:tab w:val="num" w:pos="3600"/>
        </w:tabs>
        <w:ind w:left="3600" w:hanging="360"/>
      </w:pPr>
      <w:rPr>
        <w:rFonts w:ascii="Courier New" w:hAnsi="Courier New" w:hint="default"/>
      </w:rPr>
    </w:lvl>
    <w:lvl w:ilvl="5" w:tplc="67DE474C" w:tentative="1">
      <w:start w:val="1"/>
      <w:numFmt w:val="bullet"/>
      <w:lvlText w:val=""/>
      <w:lvlJc w:val="left"/>
      <w:pPr>
        <w:tabs>
          <w:tab w:val="num" w:pos="4320"/>
        </w:tabs>
        <w:ind w:left="4320" w:hanging="360"/>
      </w:pPr>
      <w:rPr>
        <w:rFonts w:ascii="Wingdings" w:hAnsi="Wingdings" w:hint="default"/>
      </w:rPr>
    </w:lvl>
    <w:lvl w:ilvl="6" w:tplc="B72EF42C" w:tentative="1">
      <w:start w:val="1"/>
      <w:numFmt w:val="bullet"/>
      <w:lvlText w:val=""/>
      <w:lvlJc w:val="left"/>
      <w:pPr>
        <w:tabs>
          <w:tab w:val="num" w:pos="5040"/>
        </w:tabs>
        <w:ind w:left="5040" w:hanging="360"/>
      </w:pPr>
      <w:rPr>
        <w:rFonts w:ascii="Symbol" w:hAnsi="Symbol" w:hint="default"/>
      </w:rPr>
    </w:lvl>
    <w:lvl w:ilvl="7" w:tplc="F8FEAB98" w:tentative="1">
      <w:start w:val="1"/>
      <w:numFmt w:val="bullet"/>
      <w:lvlText w:val="o"/>
      <w:lvlJc w:val="left"/>
      <w:pPr>
        <w:tabs>
          <w:tab w:val="num" w:pos="5760"/>
        </w:tabs>
        <w:ind w:left="5760" w:hanging="360"/>
      </w:pPr>
      <w:rPr>
        <w:rFonts w:ascii="Courier New" w:hAnsi="Courier New" w:hint="default"/>
      </w:rPr>
    </w:lvl>
    <w:lvl w:ilvl="8" w:tplc="6A20B3A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1B23C0"/>
    <w:multiLevelType w:val="hybridMultilevel"/>
    <w:tmpl w:val="7E18FAAA"/>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7B43E6"/>
    <w:multiLevelType w:val="hybridMultilevel"/>
    <w:tmpl w:val="31480936"/>
    <w:lvl w:ilvl="0" w:tplc="04020005">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698693F"/>
    <w:multiLevelType w:val="hybridMultilevel"/>
    <w:tmpl w:val="B204CF6E"/>
    <w:lvl w:ilvl="0" w:tplc="ECDEBE40">
      <w:start w:val="1"/>
      <w:numFmt w:val="bullet"/>
      <w:lvlText w:val="Ü"/>
      <w:lvlJc w:val="left"/>
      <w:pPr>
        <w:ind w:left="720" w:hanging="360"/>
      </w:pPr>
      <w:rPr>
        <w:rFonts w:ascii="Wingdings" w:hAnsi="Wingdings" w:hint="default"/>
        <w:color w:val="1F497D"/>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6A258F"/>
    <w:multiLevelType w:val="hybridMultilevel"/>
    <w:tmpl w:val="48DA24E0"/>
    <w:lvl w:ilvl="0" w:tplc="04020001">
      <w:start w:val="1"/>
      <w:numFmt w:val="decimal"/>
      <w:lvlText w:val="%1."/>
      <w:lvlJc w:val="left"/>
      <w:pPr>
        <w:tabs>
          <w:tab w:val="num" w:pos="720"/>
        </w:tabs>
        <w:ind w:left="720" w:hanging="360"/>
      </w:pPr>
      <w:rPr>
        <w:rFonts w:cs="Times New Roman" w:hint="default"/>
        <w:color w:val="auto"/>
      </w:rPr>
    </w:lvl>
    <w:lvl w:ilvl="1" w:tplc="04020003" w:tentative="1">
      <w:start w:val="1"/>
      <w:numFmt w:val="lowerLetter"/>
      <w:lvlText w:val="%2."/>
      <w:lvlJc w:val="left"/>
      <w:pPr>
        <w:tabs>
          <w:tab w:val="num" w:pos="720"/>
        </w:tabs>
        <w:ind w:left="720" w:hanging="360"/>
      </w:pPr>
      <w:rPr>
        <w:rFonts w:cs="Times New Roman"/>
      </w:rPr>
    </w:lvl>
    <w:lvl w:ilvl="2" w:tplc="04020005" w:tentative="1">
      <w:start w:val="1"/>
      <w:numFmt w:val="lowerRoman"/>
      <w:lvlText w:val="%3."/>
      <w:lvlJc w:val="right"/>
      <w:pPr>
        <w:tabs>
          <w:tab w:val="num" w:pos="1440"/>
        </w:tabs>
        <w:ind w:left="1440" w:hanging="180"/>
      </w:pPr>
      <w:rPr>
        <w:rFonts w:cs="Times New Roman"/>
      </w:rPr>
    </w:lvl>
    <w:lvl w:ilvl="3" w:tplc="04020001" w:tentative="1">
      <w:start w:val="1"/>
      <w:numFmt w:val="decimal"/>
      <w:lvlText w:val="%4."/>
      <w:lvlJc w:val="left"/>
      <w:pPr>
        <w:tabs>
          <w:tab w:val="num" w:pos="2160"/>
        </w:tabs>
        <w:ind w:left="2160" w:hanging="360"/>
      </w:pPr>
      <w:rPr>
        <w:rFonts w:cs="Times New Roman"/>
      </w:rPr>
    </w:lvl>
    <w:lvl w:ilvl="4" w:tplc="04020003" w:tentative="1">
      <w:start w:val="1"/>
      <w:numFmt w:val="lowerLetter"/>
      <w:lvlText w:val="%5."/>
      <w:lvlJc w:val="left"/>
      <w:pPr>
        <w:tabs>
          <w:tab w:val="num" w:pos="2880"/>
        </w:tabs>
        <w:ind w:left="2880" w:hanging="360"/>
      </w:pPr>
      <w:rPr>
        <w:rFonts w:cs="Times New Roman"/>
      </w:rPr>
    </w:lvl>
    <w:lvl w:ilvl="5" w:tplc="04020005" w:tentative="1">
      <w:start w:val="1"/>
      <w:numFmt w:val="lowerRoman"/>
      <w:lvlText w:val="%6."/>
      <w:lvlJc w:val="right"/>
      <w:pPr>
        <w:tabs>
          <w:tab w:val="num" w:pos="3600"/>
        </w:tabs>
        <w:ind w:left="3600" w:hanging="180"/>
      </w:pPr>
      <w:rPr>
        <w:rFonts w:cs="Times New Roman"/>
      </w:rPr>
    </w:lvl>
    <w:lvl w:ilvl="6" w:tplc="04020001" w:tentative="1">
      <w:start w:val="1"/>
      <w:numFmt w:val="decimal"/>
      <w:lvlText w:val="%7."/>
      <w:lvlJc w:val="left"/>
      <w:pPr>
        <w:tabs>
          <w:tab w:val="num" w:pos="4320"/>
        </w:tabs>
        <w:ind w:left="4320" w:hanging="360"/>
      </w:pPr>
      <w:rPr>
        <w:rFonts w:cs="Times New Roman"/>
      </w:rPr>
    </w:lvl>
    <w:lvl w:ilvl="7" w:tplc="04020003" w:tentative="1">
      <w:start w:val="1"/>
      <w:numFmt w:val="lowerLetter"/>
      <w:lvlText w:val="%8."/>
      <w:lvlJc w:val="left"/>
      <w:pPr>
        <w:tabs>
          <w:tab w:val="num" w:pos="5040"/>
        </w:tabs>
        <w:ind w:left="5040" w:hanging="360"/>
      </w:pPr>
      <w:rPr>
        <w:rFonts w:cs="Times New Roman"/>
      </w:rPr>
    </w:lvl>
    <w:lvl w:ilvl="8" w:tplc="04020005" w:tentative="1">
      <w:start w:val="1"/>
      <w:numFmt w:val="lowerRoman"/>
      <w:lvlText w:val="%9."/>
      <w:lvlJc w:val="right"/>
      <w:pPr>
        <w:tabs>
          <w:tab w:val="num" w:pos="5760"/>
        </w:tabs>
        <w:ind w:left="5760" w:hanging="180"/>
      </w:pPr>
      <w:rPr>
        <w:rFonts w:cs="Times New Roman"/>
      </w:rPr>
    </w:lvl>
  </w:abstractNum>
  <w:abstractNum w:abstractNumId="25" w15:restartNumberingAfterBreak="0">
    <w:nsid w:val="7A2B0481"/>
    <w:multiLevelType w:val="hybridMultilevel"/>
    <w:tmpl w:val="E94E0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24"/>
  </w:num>
  <w:num w:numId="4">
    <w:abstractNumId w:val="11"/>
  </w:num>
  <w:num w:numId="5">
    <w:abstractNumId w:val="20"/>
  </w:num>
  <w:num w:numId="6">
    <w:abstractNumId w:val="5"/>
  </w:num>
  <w:num w:numId="7">
    <w:abstractNumId w:val="9"/>
  </w:num>
  <w:num w:numId="8">
    <w:abstractNumId w:val="10"/>
  </w:num>
  <w:num w:numId="9">
    <w:abstractNumId w:val="22"/>
  </w:num>
  <w:num w:numId="10">
    <w:abstractNumId w:val="10"/>
  </w:num>
  <w:num w:numId="11">
    <w:abstractNumId w:val="12"/>
  </w:num>
  <w:num w:numId="12">
    <w:abstractNumId w:val="10"/>
  </w:num>
  <w:num w:numId="13">
    <w:abstractNumId w:val="10"/>
  </w:num>
  <w:num w:numId="14">
    <w:abstractNumId w:val="10"/>
  </w:num>
  <w:num w:numId="15">
    <w:abstractNumId w:val="10"/>
  </w:num>
  <w:num w:numId="16">
    <w:abstractNumId w:val="10"/>
  </w:num>
  <w:num w:numId="17">
    <w:abstractNumId w:val="21"/>
  </w:num>
  <w:num w:numId="18">
    <w:abstractNumId w:val="10"/>
  </w:num>
  <w:num w:numId="19">
    <w:abstractNumId w:val="16"/>
  </w:num>
  <w:num w:numId="20">
    <w:abstractNumId w:val="10"/>
  </w:num>
  <w:num w:numId="21">
    <w:abstractNumId w:val="10"/>
  </w:num>
  <w:num w:numId="22">
    <w:abstractNumId w:val="18"/>
  </w:num>
  <w:num w:numId="23">
    <w:abstractNumId w:val="4"/>
  </w:num>
  <w:num w:numId="24">
    <w:abstractNumId w:val="1"/>
  </w:num>
  <w:num w:numId="25">
    <w:abstractNumId w:val="2"/>
  </w:num>
  <w:num w:numId="26">
    <w:abstractNumId w:val="3"/>
  </w:num>
  <w:num w:numId="27">
    <w:abstractNumId w:val="23"/>
  </w:num>
  <w:num w:numId="28">
    <w:abstractNumId w:val="25"/>
  </w:num>
  <w:num w:numId="29">
    <w:abstractNumId w:val="0"/>
  </w:num>
  <w:num w:numId="30">
    <w:abstractNumId w:val="15"/>
  </w:num>
  <w:num w:numId="31">
    <w:abstractNumId w:val="7"/>
  </w:num>
  <w:num w:numId="32">
    <w:abstractNumId w:val="17"/>
  </w:num>
  <w:num w:numId="33">
    <w:abstractNumId w:val="6"/>
  </w:num>
  <w:num w:numId="34">
    <w:abstractNumId w:val="14"/>
  </w:num>
  <w:num w:numId="3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6C52"/>
    <w:rsid w:val="0000038F"/>
    <w:rsid w:val="00000D4C"/>
    <w:rsid w:val="00001FF2"/>
    <w:rsid w:val="00002217"/>
    <w:rsid w:val="0000244E"/>
    <w:rsid w:val="00003251"/>
    <w:rsid w:val="00003512"/>
    <w:rsid w:val="00003D77"/>
    <w:rsid w:val="00003DE2"/>
    <w:rsid w:val="000043F0"/>
    <w:rsid w:val="000061FB"/>
    <w:rsid w:val="000066B7"/>
    <w:rsid w:val="00007216"/>
    <w:rsid w:val="00007DDF"/>
    <w:rsid w:val="0001039C"/>
    <w:rsid w:val="00010CA8"/>
    <w:rsid w:val="00011435"/>
    <w:rsid w:val="0001173B"/>
    <w:rsid w:val="00012392"/>
    <w:rsid w:val="00012545"/>
    <w:rsid w:val="0001296D"/>
    <w:rsid w:val="0001300D"/>
    <w:rsid w:val="00014250"/>
    <w:rsid w:val="00014CB7"/>
    <w:rsid w:val="000150F8"/>
    <w:rsid w:val="00015406"/>
    <w:rsid w:val="000154B6"/>
    <w:rsid w:val="0001599D"/>
    <w:rsid w:val="00015B2C"/>
    <w:rsid w:val="000168C7"/>
    <w:rsid w:val="00017276"/>
    <w:rsid w:val="000176C4"/>
    <w:rsid w:val="00020051"/>
    <w:rsid w:val="00020583"/>
    <w:rsid w:val="00020D5F"/>
    <w:rsid w:val="000214AE"/>
    <w:rsid w:val="00022C93"/>
    <w:rsid w:val="00023246"/>
    <w:rsid w:val="00023C40"/>
    <w:rsid w:val="000256FC"/>
    <w:rsid w:val="0002636D"/>
    <w:rsid w:val="00026B0F"/>
    <w:rsid w:val="00026F88"/>
    <w:rsid w:val="00027417"/>
    <w:rsid w:val="00027D51"/>
    <w:rsid w:val="00030010"/>
    <w:rsid w:val="00030096"/>
    <w:rsid w:val="00030820"/>
    <w:rsid w:val="0003111C"/>
    <w:rsid w:val="000325BA"/>
    <w:rsid w:val="00033944"/>
    <w:rsid w:val="00034119"/>
    <w:rsid w:val="00034D8C"/>
    <w:rsid w:val="00035DE4"/>
    <w:rsid w:val="00036806"/>
    <w:rsid w:val="00036B5C"/>
    <w:rsid w:val="000372A6"/>
    <w:rsid w:val="000372D7"/>
    <w:rsid w:val="000372E8"/>
    <w:rsid w:val="0003784D"/>
    <w:rsid w:val="0003784F"/>
    <w:rsid w:val="00040994"/>
    <w:rsid w:val="00040DEF"/>
    <w:rsid w:val="00041E62"/>
    <w:rsid w:val="00042B8C"/>
    <w:rsid w:val="000431BD"/>
    <w:rsid w:val="00043579"/>
    <w:rsid w:val="0004392B"/>
    <w:rsid w:val="00043DD2"/>
    <w:rsid w:val="00044016"/>
    <w:rsid w:val="000442B7"/>
    <w:rsid w:val="000442FA"/>
    <w:rsid w:val="00045098"/>
    <w:rsid w:val="00045977"/>
    <w:rsid w:val="00045DE8"/>
    <w:rsid w:val="00046917"/>
    <w:rsid w:val="00047B4E"/>
    <w:rsid w:val="00050345"/>
    <w:rsid w:val="00051021"/>
    <w:rsid w:val="000525E5"/>
    <w:rsid w:val="00052D6C"/>
    <w:rsid w:val="00053DE5"/>
    <w:rsid w:val="000540A3"/>
    <w:rsid w:val="00054259"/>
    <w:rsid w:val="0005445C"/>
    <w:rsid w:val="000546E3"/>
    <w:rsid w:val="0005513F"/>
    <w:rsid w:val="000552BE"/>
    <w:rsid w:val="0005551A"/>
    <w:rsid w:val="00055751"/>
    <w:rsid w:val="00055E6E"/>
    <w:rsid w:val="00056BDB"/>
    <w:rsid w:val="000576B1"/>
    <w:rsid w:val="000576FE"/>
    <w:rsid w:val="000579C3"/>
    <w:rsid w:val="00057B3A"/>
    <w:rsid w:val="00060715"/>
    <w:rsid w:val="00060834"/>
    <w:rsid w:val="00060E32"/>
    <w:rsid w:val="000610E0"/>
    <w:rsid w:val="0006120B"/>
    <w:rsid w:val="00061640"/>
    <w:rsid w:val="000618D8"/>
    <w:rsid w:val="000624B3"/>
    <w:rsid w:val="000624EF"/>
    <w:rsid w:val="000627AB"/>
    <w:rsid w:val="0006352E"/>
    <w:rsid w:val="00063C56"/>
    <w:rsid w:val="00064220"/>
    <w:rsid w:val="00064CF2"/>
    <w:rsid w:val="000650CE"/>
    <w:rsid w:val="0006543C"/>
    <w:rsid w:val="00065905"/>
    <w:rsid w:val="0006631A"/>
    <w:rsid w:val="00066638"/>
    <w:rsid w:val="000669BC"/>
    <w:rsid w:val="000673AA"/>
    <w:rsid w:val="000678DF"/>
    <w:rsid w:val="0007027C"/>
    <w:rsid w:val="000702E1"/>
    <w:rsid w:val="00071F89"/>
    <w:rsid w:val="0007235D"/>
    <w:rsid w:val="0007387F"/>
    <w:rsid w:val="00073B36"/>
    <w:rsid w:val="00074796"/>
    <w:rsid w:val="00074B1C"/>
    <w:rsid w:val="0007586A"/>
    <w:rsid w:val="000759A1"/>
    <w:rsid w:val="00076F0A"/>
    <w:rsid w:val="000778B3"/>
    <w:rsid w:val="0007793C"/>
    <w:rsid w:val="000801E5"/>
    <w:rsid w:val="00080A00"/>
    <w:rsid w:val="00081420"/>
    <w:rsid w:val="00081C39"/>
    <w:rsid w:val="00082A92"/>
    <w:rsid w:val="00083744"/>
    <w:rsid w:val="00083F52"/>
    <w:rsid w:val="00084548"/>
    <w:rsid w:val="00084DF4"/>
    <w:rsid w:val="00085067"/>
    <w:rsid w:val="00085730"/>
    <w:rsid w:val="00085F02"/>
    <w:rsid w:val="0008652B"/>
    <w:rsid w:val="00086C23"/>
    <w:rsid w:val="00086DCB"/>
    <w:rsid w:val="000873E4"/>
    <w:rsid w:val="00090DD9"/>
    <w:rsid w:val="000914A6"/>
    <w:rsid w:val="0009181E"/>
    <w:rsid w:val="00092751"/>
    <w:rsid w:val="00093CC2"/>
    <w:rsid w:val="00094037"/>
    <w:rsid w:val="00094326"/>
    <w:rsid w:val="00094B4E"/>
    <w:rsid w:val="00094E9B"/>
    <w:rsid w:val="000952B0"/>
    <w:rsid w:val="000962CF"/>
    <w:rsid w:val="00097840"/>
    <w:rsid w:val="00097AB9"/>
    <w:rsid w:val="00097FD4"/>
    <w:rsid w:val="000A03D8"/>
    <w:rsid w:val="000A14DD"/>
    <w:rsid w:val="000A20A0"/>
    <w:rsid w:val="000A2679"/>
    <w:rsid w:val="000A29D4"/>
    <w:rsid w:val="000A459D"/>
    <w:rsid w:val="000A4868"/>
    <w:rsid w:val="000A553E"/>
    <w:rsid w:val="000A5916"/>
    <w:rsid w:val="000A5A4E"/>
    <w:rsid w:val="000A5A5A"/>
    <w:rsid w:val="000A615E"/>
    <w:rsid w:val="000A6D97"/>
    <w:rsid w:val="000A7376"/>
    <w:rsid w:val="000A7A11"/>
    <w:rsid w:val="000A7D4B"/>
    <w:rsid w:val="000B05D6"/>
    <w:rsid w:val="000B0DFF"/>
    <w:rsid w:val="000B103C"/>
    <w:rsid w:val="000B1963"/>
    <w:rsid w:val="000B1BD8"/>
    <w:rsid w:val="000B210E"/>
    <w:rsid w:val="000B3C3F"/>
    <w:rsid w:val="000B498E"/>
    <w:rsid w:val="000B4BE2"/>
    <w:rsid w:val="000B5932"/>
    <w:rsid w:val="000B5CA6"/>
    <w:rsid w:val="000B5E21"/>
    <w:rsid w:val="000B6ABB"/>
    <w:rsid w:val="000B6EC4"/>
    <w:rsid w:val="000B710C"/>
    <w:rsid w:val="000B7655"/>
    <w:rsid w:val="000B78F8"/>
    <w:rsid w:val="000B794B"/>
    <w:rsid w:val="000C09D1"/>
    <w:rsid w:val="000C0EE4"/>
    <w:rsid w:val="000C142E"/>
    <w:rsid w:val="000C1564"/>
    <w:rsid w:val="000C2BE9"/>
    <w:rsid w:val="000C2C84"/>
    <w:rsid w:val="000C37AC"/>
    <w:rsid w:val="000C3B0D"/>
    <w:rsid w:val="000C4208"/>
    <w:rsid w:val="000C46FA"/>
    <w:rsid w:val="000C4A2F"/>
    <w:rsid w:val="000C4E86"/>
    <w:rsid w:val="000C578C"/>
    <w:rsid w:val="000C5DDF"/>
    <w:rsid w:val="000C66B3"/>
    <w:rsid w:val="000C6A7E"/>
    <w:rsid w:val="000C71D1"/>
    <w:rsid w:val="000D0460"/>
    <w:rsid w:val="000D2565"/>
    <w:rsid w:val="000D2591"/>
    <w:rsid w:val="000D3021"/>
    <w:rsid w:val="000D3242"/>
    <w:rsid w:val="000D473C"/>
    <w:rsid w:val="000D50C1"/>
    <w:rsid w:val="000D537D"/>
    <w:rsid w:val="000D55E6"/>
    <w:rsid w:val="000D5D3A"/>
    <w:rsid w:val="000D650F"/>
    <w:rsid w:val="000D67CC"/>
    <w:rsid w:val="000D6F06"/>
    <w:rsid w:val="000D7078"/>
    <w:rsid w:val="000E003F"/>
    <w:rsid w:val="000E00BF"/>
    <w:rsid w:val="000E18AC"/>
    <w:rsid w:val="000E1DF9"/>
    <w:rsid w:val="000E2F47"/>
    <w:rsid w:val="000E3937"/>
    <w:rsid w:val="000E5451"/>
    <w:rsid w:val="000E5966"/>
    <w:rsid w:val="000E6304"/>
    <w:rsid w:val="000E6CCA"/>
    <w:rsid w:val="000E70A5"/>
    <w:rsid w:val="000E76B9"/>
    <w:rsid w:val="000E7EA4"/>
    <w:rsid w:val="000F0923"/>
    <w:rsid w:val="000F1197"/>
    <w:rsid w:val="000F152A"/>
    <w:rsid w:val="000F170F"/>
    <w:rsid w:val="000F1AF2"/>
    <w:rsid w:val="000F21BC"/>
    <w:rsid w:val="000F2DBE"/>
    <w:rsid w:val="000F3C15"/>
    <w:rsid w:val="000F574F"/>
    <w:rsid w:val="000F61A8"/>
    <w:rsid w:val="000F6694"/>
    <w:rsid w:val="000F731E"/>
    <w:rsid w:val="00100A63"/>
    <w:rsid w:val="001012C0"/>
    <w:rsid w:val="0010205B"/>
    <w:rsid w:val="00103B11"/>
    <w:rsid w:val="00104B97"/>
    <w:rsid w:val="001054D4"/>
    <w:rsid w:val="001063EA"/>
    <w:rsid w:val="00106B4E"/>
    <w:rsid w:val="00107DC1"/>
    <w:rsid w:val="00111E4D"/>
    <w:rsid w:val="00112775"/>
    <w:rsid w:val="00112C48"/>
    <w:rsid w:val="00113929"/>
    <w:rsid w:val="0011469C"/>
    <w:rsid w:val="00114CB3"/>
    <w:rsid w:val="00114CC2"/>
    <w:rsid w:val="00115F3C"/>
    <w:rsid w:val="00115FDC"/>
    <w:rsid w:val="001173D8"/>
    <w:rsid w:val="00117F8E"/>
    <w:rsid w:val="00121B3D"/>
    <w:rsid w:val="001240A3"/>
    <w:rsid w:val="00124234"/>
    <w:rsid w:val="001249EB"/>
    <w:rsid w:val="001252FE"/>
    <w:rsid w:val="00125A70"/>
    <w:rsid w:val="00126132"/>
    <w:rsid w:val="001279AD"/>
    <w:rsid w:val="00127AB4"/>
    <w:rsid w:val="001317EB"/>
    <w:rsid w:val="0013192F"/>
    <w:rsid w:val="00131A33"/>
    <w:rsid w:val="00131B11"/>
    <w:rsid w:val="00132689"/>
    <w:rsid w:val="00132D5A"/>
    <w:rsid w:val="00132E29"/>
    <w:rsid w:val="00134EAC"/>
    <w:rsid w:val="00135060"/>
    <w:rsid w:val="001356BD"/>
    <w:rsid w:val="0013579D"/>
    <w:rsid w:val="00135901"/>
    <w:rsid w:val="001359C7"/>
    <w:rsid w:val="00136237"/>
    <w:rsid w:val="00136584"/>
    <w:rsid w:val="0013694F"/>
    <w:rsid w:val="001371B0"/>
    <w:rsid w:val="00140153"/>
    <w:rsid w:val="001402F8"/>
    <w:rsid w:val="0014062F"/>
    <w:rsid w:val="00140C83"/>
    <w:rsid w:val="00141D2C"/>
    <w:rsid w:val="001420CC"/>
    <w:rsid w:val="00142838"/>
    <w:rsid w:val="00142A13"/>
    <w:rsid w:val="00143395"/>
    <w:rsid w:val="00145035"/>
    <w:rsid w:val="0014568B"/>
    <w:rsid w:val="001459E5"/>
    <w:rsid w:val="00145A29"/>
    <w:rsid w:val="001461B4"/>
    <w:rsid w:val="00146267"/>
    <w:rsid w:val="001463D6"/>
    <w:rsid w:val="001467BA"/>
    <w:rsid w:val="00146B47"/>
    <w:rsid w:val="0014748C"/>
    <w:rsid w:val="00147CDF"/>
    <w:rsid w:val="00150D38"/>
    <w:rsid w:val="001529A2"/>
    <w:rsid w:val="00152D36"/>
    <w:rsid w:val="001535B4"/>
    <w:rsid w:val="0015415D"/>
    <w:rsid w:val="00154B80"/>
    <w:rsid w:val="00155585"/>
    <w:rsid w:val="00155943"/>
    <w:rsid w:val="00156168"/>
    <w:rsid w:val="00156BB5"/>
    <w:rsid w:val="00156C46"/>
    <w:rsid w:val="00157564"/>
    <w:rsid w:val="00157C3C"/>
    <w:rsid w:val="00160272"/>
    <w:rsid w:val="00160E14"/>
    <w:rsid w:val="00161031"/>
    <w:rsid w:val="001610FC"/>
    <w:rsid w:val="00161163"/>
    <w:rsid w:val="00161551"/>
    <w:rsid w:val="00163522"/>
    <w:rsid w:val="00164E01"/>
    <w:rsid w:val="001661AE"/>
    <w:rsid w:val="001666D3"/>
    <w:rsid w:val="0016672C"/>
    <w:rsid w:val="0016724A"/>
    <w:rsid w:val="00167B45"/>
    <w:rsid w:val="00170649"/>
    <w:rsid w:val="001715DA"/>
    <w:rsid w:val="00171872"/>
    <w:rsid w:val="00171C08"/>
    <w:rsid w:val="00172188"/>
    <w:rsid w:val="001724F6"/>
    <w:rsid w:val="001727D2"/>
    <w:rsid w:val="00172C8A"/>
    <w:rsid w:val="00172E82"/>
    <w:rsid w:val="00173512"/>
    <w:rsid w:val="00173771"/>
    <w:rsid w:val="0017459A"/>
    <w:rsid w:val="00174966"/>
    <w:rsid w:val="00175918"/>
    <w:rsid w:val="001759DD"/>
    <w:rsid w:val="00175EA2"/>
    <w:rsid w:val="00177923"/>
    <w:rsid w:val="001779DA"/>
    <w:rsid w:val="00181908"/>
    <w:rsid w:val="00181D05"/>
    <w:rsid w:val="00181F9C"/>
    <w:rsid w:val="001822E9"/>
    <w:rsid w:val="00182546"/>
    <w:rsid w:val="001828F3"/>
    <w:rsid w:val="00182A5C"/>
    <w:rsid w:val="001831CA"/>
    <w:rsid w:val="0018332C"/>
    <w:rsid w:val="00183A4E"/>
    <w:rsid w:val="00183FF4"/>
    <w:rsid w:val="001854BC"/>
    <w:rsid w:val="00185B48"/>
    <w:rsid w:val="00185EF6"/>
    <w:rsid w:val="00185F94"/>
    <w:rsid w:val="00186468"/>
    <w:rsid w:val="001865CC"/>
    <w:rsid w:val="00186780"/>
    <w:rsid w:val="00186E7F"/>
    <w:rsid w:val="00187A2D"/>
    <w:rsid w:val="00187B9C"/>
    <w:rsid w:val="00190B63"/>
    <w:rsid w:val="001911D8"/>
    <w:rsid w:val="00191A09"/>
    <w:rsid w:val="00192BBD"/>
    <w:rsid w:val="00193F80"/>
    <w:rsid w:val="00194BE4"/>
    <w:rsid w:val="00194DFD"/>
    <w:rsid w:val="0019553D"/>
    <w:rsid w:val="0019691B"/>
    <w:rsid w:val="00196D5C"/>
    <w:rsid w:val="00197FCF"/>
    <w:rsid w:val="001A0DFE"/>
    <w:rsid w:val="001A0E52"/>
    <w:rsid w:val="001A1992"/>
    <w:rsid w:val="001A199D"/>
    <w:rsid w:val="001A1BE3"/>
    <w:rsid w:val="001A28C5"/>
    <w:rsid w:val="001A37EF"/>
    <w:rsid w:val="001A3D7F"/>
    <w:rsid w:val="001A4093"/>
    <w:rsid w:val="001A4EE2"/>
    <w:rsid w:val="001A549A"/>
    <w:rsid w:val="001A589B"/>
    <w:rsid w:val="001A7516"/>
    <w:rsid w:val="001A7674"/>
    <w:rsid w:val="001B0089"/>
    <w:rsid w:val="001B0191"/>
    <w:rsid w:val="001B0957"/>
    <w:rsid w:val="001B1DD3"/>
    <w:rsid w:val="001B24BA"/>
    <w:rsid w:val="001B2C40"/>
    <w:rsid w:val="001B2D4A"/>
    <w:rsid w:val="001B30D4"/>
    <w:rsid w:val="001B31EC"/>
    <w:rsid w:val="001B48B5"/>
    <w:rsid w:val="001B4E30"/>
    <w:rsid w:val="001B519C"/>
    <w:rsid w:val="001B51EB"/>
    <w:rsid w:val="001B58BD"/>
    <w:rsid w:val="001B5E49"/>
    <w:rsid w:val="001B7D5C"/>
    <w:rsid w:val="001C18BE"/>
    <w:rsid w:val="001C1DAC"/>
    <w:rsid w:val="001C241F"/>
    <w:rsid w:val="001C2F55"/>
    <w:rsid w:val="001C4022"/>
    <w:rsid w:val="001C412A"/>
    <w:rsid w:val="001C44B0"/>
    <w:rsid w:val="001C4A27"/>
    <w:rsid w:val="001C4EA5"/>
    <w:rsid w:val="001C5C06"/>
    <w:rsid w:val="001C6E81"/>
    <w:rsid w:val="001C741F"/>
    <w:rsid w:val="001C7BA5"/>
    <w:rsid w:val="001D070B"/>
    <w:rsid w:val="001D1909"/>
    <w:rsid w:val="001D1B85"/>
    <w:rsid w:val="001D2020"/>
    <w:rsid w:val="001D22BF"/>
    <w:rsid w:val="001D3005"/>
    <w:rsid w:val="001D4066"/>
    <w:rsid w:val="001D4AA6"/>
    <w:rsid w:val="001D4CFA"/>
    <w:rsid w:val="001D4F1D"/>
    <w:rsid w:val="001D500A"/>
    <w:rsid w:val="001D5301"/>
    <w:rsid w:val="001D60D5"/>
    <w:rsid w:val="001D65E4"/>
    <w:rsid w:val="001D6BE6"/>
    <w:rsid w:val="001D7183"/>
    <w:rsid w:val="001D796C"/>
    <w:rsid w:val="001D7AEB"/>
    <w:rsid w:val="001E0010"/>
    <w:rsid w:val="001E0530"/>
    <w:rsid w:val="001E0833"/>
    <w:rsid w:val="001E186F"/>
    <w:rsid w:val="001E18F3"/>
    <w:rsid w:val="001E2805"/>
    <w:rsid w:val="001E2A71"/>
    <w:rsid w:val="001E4919"/>
    <w:rsid w:val="001E4CF8"/>
    <w:rsid w:val="001E4D49"/>
    <w:rsid w:val="001E63F0"/>
    <w:rsid w:val="001E66A0"/>
    <w:rsid w:val="001E7AD8"/>
    <w:rsid w:val="001E7C04"/>
    <w:rsid w:val="001F0C02"/>
    <w:rsid w:val="001F0D18"/>
    <w:rsid w:val="001F0E72"/>
    <w:rsid w:val="001F1002"/>
    <w:rsid w:val="001F118A"/>
    <w:rsid w:val="001F142B"/>
    <w:rsid w:val="001F16A1"/>
    <w:rsid w:val="001F1A7C"/>
    <w:rsid w:val="001F1C08"/>
    <w:rsid w:val="001F1C8B"/>
    <w:rsid w:val="001F284D"/>
    <w:rsid w:val="001F2F46"/>
    <w:rsid w:val="001F3DA0"/>
    <w:rsid w:val="001F4956"/>
    <w:rsid w:val="001F49DA"/>
    <w:rsid w:val="001F7055"/>
    <w:rsid w:val="001F7A7E"/>
    <w:rsid w:val="0020018A"/>
    <w:rsid w:val="002004A3"/>
    <w:rsid w:val="00200634"/>
    <w:rsid w:val="0020072B"/>
    <w:rsid w:val="00201798"/>
    <w:rsid w:val="00201DAC"/>
    <w:rsid w:val="00201F5F"/>
    <w:rsid w:val="00202085"/>
    <w:rsid w:val="00202FF6"/>
    <w:rsid w:val="00203B76"/>
    <w:rsid w:val="00203FDD"/>
    <w:rsid w:val="00204847"/>
    <w:rsid w:val="0020488F"/>
    <w:rsid w:val="00205860"/>
    <w:rsid w:val="00205C8C"/>
    <w:rsid w:val="00206643"/>
    <w:rsid w:val="00206B3B"/>
    <w:rsid w:val="00206B8A"/>
    <w:rsid w:val="002075C8"/>
    <w:rsid w:val="0021006C"/>
    <w:rsid w:val="00210C01"/>
    <w:rsid w:val="00210D05"/>
    <w:rsid w:val="00212C0A"/>
    <w:rsid w:val="00212D42"/>
    <w:rsid w:val="002139F7"/>
    <w:rsid w:val="00213A68"/>
    <w:rsid w:val="00213B55"/>
    <w:rsid w:val="0021444E"/>
    <w:rsid w:val="00214586"/>
    <w:rsid w:val="002145C3"/>
    <w:rsid w:val="00216587"/>
    <w:rsid w:val="00217812"/>
    <w:rsid w:val="0022024F"/>
    <w:rsid w:val="00220381"/>
    <w:rsid w:val="002208FE"/>
    <w:rsid w:val="0022090E"/>
    <w:rsid w:val="00220AAC"/>
    <w:rsid w:val="00221B37"/>
    <w:rsid w:val="00222A8A"/>
    <w:rsid w:val="00222AC3"/>
    <w:rsid w:val="00222FD5"/>
    <w:rsid w:val="00223AAE"/>
    <w:rsid w:val="00223B10"/>
    <w:rsid w:val="00223ED2"/>
    <w:rsid w:val="00224168"/>
    <w:rsid w:val="002256CD"/>
    <w:rsid w:val="00227783"/>
    <w:rsid w:val="0022782D"/>
    <w:rsid w:val="00230A09"/>
    <w:rsid w:val="00233308"/>
    <w:rsid w:val="002336C6"/>
    <w:rsid w:val="00233718"/>
    <w:rsid w:val="0023445A"/>
    <w:rsid w:val="00234612"/>
    <w:rsid w:val="00234FFE"/>
    <w:rsid w:val="002358C1"/>
    <w:rsid w:val="002362FE"/>
    <w:rsid w:val="00236820"/>
    <w:rsid w:val="00236B58"/>
    <w:rsid w:val="002373FD"/>
    <w:rsid w:val="00237ECF"/>
    <w:rsid w:val="00237FE5"/>
    <w:rsid w:val="0024003C"/>
    <w:rsid w:val="0024104B"/>
    <w:rsid w:val="00241361"/>
    <w:rsid w:val="00241A42"/>
    <w:rsid w:val="00242688"/>
    <w:rsid w:val="0024329F"/>
    <w:rsid w:val="00243EE0"/>
    <w:rsid w:val="00244580"/>
    <w:rsid w:val="002449FE"/>
    <w:rsid w:val="00244B5F"/>
    <w:rsid w:val="00244E7B"/>
    <w:rsid w:val="002457C0"/>
    <w:rsid w:val="002462DF"/>
    <w:rsid w:val="002467CB"/>
    <w:rsid w:val="00246A2B"/>
    <w:rsid w:val="002476EA"/>
    <w:rsid w:val="002503F5"/>
    <w:rsid w:val="0025044C"/>
    <w:rsid w:val="00250A6C"/>
    <w:rsid w:val="00250AF7"/>
    <w:rsid w:val="002511FB"/>
    <w:rsid w:val="00251571"/>
    <w:rsid w:val="00251B61"/>
    <w:rsid w:val="00252AFA"/>
    <w:rsid w:val="00252C18"/>
    <w:rsid w:val="00254035"/>
    <w:rsid w:val="0025422C"/>
    <w:rsid w:val="002545E5"/>
    <w:rsid w:val="00254D0A"/>
    <w:rsid w:val="002565D5"/>
    <w:rsid w:val="00256990"/>
    <w:rsid w:val="002575B3"/>
    <w:rsid w:val="00257807"/>
    <w:rsid w:val="002603B6"/>
    <w:rsid w:val="00260523"/>
    <w:rsid w:val="00260563"/>
    <w:rsid w:val="00260881"/>
    <w:rsid w:val="00261469"/>
    <w:rsid w:val="0026187C"/>
    <w:rsid w:val="00261E2C"/>
    <w:rsid w:val="00262213"/>
    <w:rsid w:val="002626B6"/>
    <w:rsid w:val="00262FCD"/>
    <w:rsid w:val="00263DC4"/>
    <w:rsid w:val="002645AD"/>
    <w:rsid w:val="00264750"/>
    <w:rsid w:val="002654AD"/>
    <w:rsid w:val="00265B00"/>
    <w:rsid w:val="00265C1E"/>
    <w:rsid w:val="00265D4B"/>
    <w:rsid w:val="00265F07"/>
    <w:rsid w:val="002664DF"/>
    <w:rsid w:val="002679A2"/>
    <w:rsid w:val="00267CE3"/>
    <w:rsid w:val="00267D8D"/>
    <w:rsid w:val="00270B47"/>
    <w:rsid w:val="00270F0A"/>
    <w:rsid w:val="00271302"/>
    <w:rsid w:val="00271F37"/>
    <w:rsid w:val="0027233A"/>
    <w:rsid w:val="0027279F"/>
    <w:rsid w:val="002731CA"/>
    <w:rsid w:val="00273483"/>
    <w:rsid w:val="00273944"/>
    <w:rsid w:val="00274C44"/>
    <w:rsid w:val="00275C2F"/>
    <w:rsid w:val="002770CC"/>
    <w:rsid w:val="00277B9E"/>
    <w:rsid w:val="00277EC0"/>
    <w:rsid w:val="002805DF"/>
    <w:rsid w:val="00281336"/>
    <w:rsid w:val="00281675"/>
    <w:rsid w:val="00281E51"/>
    <w:rsid w:val="00282C0C"/>
    <w:rsid w:val="00283045"/>
    <w:rsid w:val="00283B27"/>
    <w:rsid w:val="0028417B"/>
    <w:rsid w:val="0028590B"/>
    <w:rsid w:val="00285E3F"/>
    <w:rsid w:val="002868D9"/>
    <w:rsid w:val="00287376"/>
    <w:rsid w:val="0028795B"/>
    <w:rsid w:val="00291298"/>
    <w:rsid w:val="00291513"/>
    <w:rsid w:val="0029196C"/>
    <w:rsid w:val="00292579"/>
    <w:rsid w:val="00293371"/>
    <w:rsid w:val="002945C0"/>
    <w:rsid w:val="0029641E"/>
    <w:rsid w:val="00296714"/>
    <w:rsid w:val="00296843"/>
    <w:rsid w:val="00296C53"/>
    <w:rsid w:val="00296CDD"/>
    <w:rsid w:val="00297AC6"/>
    <w:rsid w:val="002A0130"/>
    <w:rsid w:val="002A07BC"/>
    <w:rsid w:val="002A13A0"/>
    <w:rsid w:val="002A1520"/>
    <w:rsid w:val="002A2565"/>
    <w:rsid w:val="002A2E07"/>
    <w:rsid w:val="002A31B4"/>
    <w:rsid w:val="002A342A"/>
    <w:rsid w:val="002A353A"/>
    <w:rsid w:val="002A387C"/>
    <w:rsid w:val="002A3DDC"/>
    <w:rsid w:val="002A3F7D"/>
    <w:rsid w:val="002A4E51"/>
    <w:rsid w:val="002A4F64"/>
    <w:rsid w:val="002A5636"/>
    <w:rsid w:val="002A6754"/>
    <w:rsid w:val="002A67D7"/>
    <w:rsid w:val="002A6A47"/>
    <w:rsid w:val="002A6B27"/>
    <w:rsid w:val="002A7AFB"/>
    <w:rsid w:val="002B0E26"/>
    <w:rsid w:val="002B1092"/>
    <w:rsid w:val="002B17E7"/>
    <w:rsid w:val="002B1C32"/>
    <w:rsid w:val="002B325E"/>
    <w:rsid w:val="002B5F06"/>
    <w:rsid w:val="002B6108"/>
    <w:rsid w:val="002B6C96"/>
    <w:rsid w:val="002B6EB8"/>
    <w:rsid w:val="002B78FF"/>
    <w:rsid w:val="002C0062"/>
    <w:rsid w:val="002C0ED8"/>
    <w:rsid w:val="002C1603"/>
    <w:rsid w:val="002C170D"/>
    <w:rsid w:val="002C17F9"/>
    <w:rsid w:val="002C1D5E"/>
    <w:rsid w:val="002C20D9"/>
    <w:rsid w:val="002C287D"/>
    <w:rsid w:val="002C31AC"/>
    <w:rsid w:val="002C31BD"/>
    <w:rsid w:val="002C34C7"/>
    <w:rsid w:val="002C3B94"/>
    <w:rsid w:val="002C3DDE"/>
    <w:rsid w:val="002C447D"/>
    <w:rsid w:val="002C50AC"/>
    <w:rsid w:val="002C55EA"/>
    <w:rsid w:val="002C62D7"/>
    <w:rsid w:val="002C652B"/>
    <w:rsid w:val="002C67ED"/>
    <w:rsid w:val="002C7670"/>
    <w:rsid w:val="002D072C"/>
    <w:rsid w:val="002D1041"/>
    <w:rsid w:val="002D1440"/>
    <w:rsid w:val="002D209E"/>
    <w:rsid w:val="002D301A"/>
    <w:rsid w:val="002D38D1"/>
    <w:rsid w:val="002D4C18"/>
    <w:rsid w:val="002D4FAC"/>
    <w:rsid w:val="002D5339"/>
    <w:rsid w:val="002D55B4"/>
    <w:rsid w:val="002D5B10"/>
    <w:rsid w:val="002D5C98"/>
    <w:rsid w:val="002D7A7F"/>
    <w:rsid w:val="002E0921"/>
    <w:rsid w:val="002E0AA2"/>
    <w:rsid w:val="002E0D7A"/>
    <w:rsid w:val="002E1965"/>
    <w:rsid w:val="002E201D"/>
    <w:rsid w:val="002E2037"/>
    <w:rsid w:val="002E214A"/>
    <w:rsid w:val="002E270E"/>
    <w:rsid w:val="002E3D33"/>
    <w:rsid w:val="002E530B"/>
    <w:rsid w:val="002E539A"/>
    <w:rsid w:val="002E5481"/>
    <w:rsid w:val="002E5567"/>
    <w:rsid w:val="002E5770"/>
    <w:rsid w:val="002E5EDF"/>
    <w:rsid w:val="002E627E"/>
    <w:rsid w:val="002E634B"/>
    <w:rsid w:val="002E6BC8"/>
    <w:rsid w:val="002E6FF5"/>
    <w:rsid w:val="002E7656"/>
    <w:rsid w:val="002E76A9"/>
    <w:rsid w:val="002E7871"/>
    <w:rsid w:val="002E7CB9"/>
    <w:rsid w:val="002F090F"/>
    <w:rsid w:val="002F0955"/>
    <w:rsid w:val="002F0997"/>
    <w:rsid w:val="002F145B"/>
    <w:rsid w:val="002F1732"/>
    <w:rsid w:val="002F2310"/>
    <w:rsid w:val="002F2622"/>
    <w:rsid w:val="002F2D68"/>
    <w:rsid w:val="002F35B0"/>
    <w:rsid w:val="002F3723"/>
    <w:rsid w:val="002F4919"/>
    <w:rsid w:val="002F4BDC"/>
    <w:rsid w:val="002F5005"/>
    <w:rsid w:val="002F6CD4"/>
    <w:rsid w:val="002F7B41"/>
    <w:rsid w:val="00303414"/>
    <w:rsid w:val="003034E3"/>
    <w:rsid w:val="00303A24"/>
    <w:rsid w:val="00304544"/>
    <w:rsid w:val="00305227"/>
    <w:rsid w:val="003061F6"/>
    <w:rsid w:val="003118F2"/>
    <w:rsid w:val="00312BC1"/>
    <w:rsid w:val="00312C0D"/>
    <w:rsid w:val="00313698"/>
    <w:rsid w:val="00315903"/>
    <w:rsid w:val="00316063"/>
    <w:rsid w:val="0031679E"/>
    <w:rsid w:val="00316C28"/>
    <w:rsid w:val="00317022"/>
    <w:rsid w:val="003175C5"/>
    <w:rsid w:val="003176B5"/>
    <w:rsid w:val="00317A4A"/>
    <w:rsid w:val="00317B86"/>
    <w:rsid w:val="00317FA4"/>
    <w:rsid w:val="00320570"/>
    <w:rsid w:val="003206AC"/>
    <w:rsid w:val="00320812"/>
    <w:rsid w:val="00321DF3"/>
    <w:rsid w:val="00321FCD"/>
    <w:rsid w:val="003226E4"/>
    <w:rsid w:val="0032295A"/>
    <w:rsid w:val="00322D40"/>
    <w:rsid w:val="003241A0"/>
    <w:rsid w:val="003247CA"/>
    <w:rsid w:val="00324962"/>
    <w:rsid w:val="003254AB"/>
    <w:rsid w:val="00325968"/>
    <w:rsid w:val="0032660B"/>
    <w:rsid w:val="003267FA"/>
    <w:rsid w:val="00326999"/>
    <w:rsid w:val="00327393"/>
    <w:rsid w:val="00327823"/>
    <w:rsid w:val="0033069D"/>
    <w:rsid w:val="00330BF0"/>
    <w:rsid w:val="00330DDD"/>
    <w:rsid w:val="00331385"/>
    <w:rsid w:val="00331D7D"/>
    <w:rsid w:val="00333017"/>
    <w:rsid w:val="0033323A"/>
    <w:rsid w:val="00335846"/>
    <w:rsid w:val="003359BB"/>
    <w:rsid w:val="00335B56"/>
    <w:rsid w:val="003363B7"/>
    <w:rsid w:val="00337160"/>
    <w:rsid w:val="003401B4"/>
    <w:rsid w:val="003401F6"/>
    <w:rsid w:val="00340D46"/>
    <w:rsid w:val="00341B11"/>
    <w:rsid w:val="00343156"/>
    <w:rsid w:val="00343B12"/>
    <w:rsid w:val="00344401"/>
    <w:rsid w:val="00344D56"/>
    <w:rsid w:val="00345439"/>
    <w:rsid w:val="003455EF"/>
    <w:rsid w:val="00345D32"/>
    <w:rsid w:val="00345D7F"/>
    <w:rsid w:val="00345E55"/>
    <w:rsid w:val="00345E82"/>
    <w:rsid w:val="00345FB3"/>
    <w:rsid w:val="00345FBE"/>
    <w:rsid w:val="00346551"/>
    <w:rsid w:val="003465D9"/>
    <w:rsid w:val="003468A5"/>
    <w:rsid w:val="00347160"/>
    <w:rsid w:val="003477DB"/>
    <w:rsid w:val="00347838"/>
    <w:rsid w:val="00347C4E"/>
    <w:rsid w:val="003518E5"/>
    <w:rsid w:val="00351F2B"/>
    <w:rsid w:val="0035328D"/>
    <w:rsid w:val="0035355D"/>
    <w:rsid w:val="00354052"/>
    <w:rsid w:val="00355380"/>
    <w:rsid w:val="003559BF"/>
    <w:rsid w:val="00355CF6"/>
    <w:rsid w:val="003562DD"/>
    <w:rsid w:val="00356CAB"/>
    <w:rsid w:val="00357999"/>
    <w:rsid w:val="00357AB6"/>
    <w:rsid w:val="00357AE9"/>
    <w:rsid w:val="00360FE5"/>
    <w:rsid w:val="0036140D"/>
    <w:rsid w:val="0036184B"/>
    <w:rsid w:val="0036188A"/>
    <w:rsid w:val="0036271F"/>
    <w:rsid w:val="00362D64"/>
    <w:rsid w:val="0036310C"/>
    <w:rsid w:val="00363626"/>
    <w:rsid w:val="00363720"/>
    <w:rsid w:val="0036413C"/>
    <w:rsid w:val="0036470D"/>
    <w:rsid w:val="00364C61"/>
    <w:rsid w:val="003654BA"/>
    <w:rsid w:val="00365516"/>
    <w:rsid w:val="00365B98"/>
    <w:rsid w:val="00367744"/>
    <w:rsid w:val="003703D8"/>
    <w:rsid w:val="003704DA"/>
    <w:rsid w:val="00370A41"/>
    <w:rsid w:val="00371732"/>
    <w:rsid w:val="00371C9F"/>
    <w:rsid w:val="0037249E"/>
    <w:rsid w:val="0037272E"/>
    <w:rsid w:val="003728C4"/>
    <w:rsid w:val="003739F9"/>
    <w:rsid w:val="00373CA6"/>
    <w:rsid w:val="003748E5"/>
    <w:rsid w:val="003755F3"/>
    <w:rsid w:val="00376446"/>
    <w:rsid w:val="00376CE1"/>
    <w:rsid w:val="00377146"/>
    <w:rsid w:val="00377486"/>
    <w:rsid w:val="00377BB9"/>
    <w:rsid w:val="0038217A"/>
    <w:rsid w:val="00382578"/>
    <w:rsid w:val="00382A94"/>
    <w:rsid w:val="00382CA4"/>
    <w:rsid w:val="00382CAA"/>
    <w:rsid w:val="00382CB1"/>
    <w:rsid w:val="00383184"/>
    <w:rsid w:val="00384583"/>
    <w:rsid w:val="003851BF"/>
    <w:rsid w:val="00385393"/>
    <w:rsid w:val="00385AC5"/>
    <w:rsid w:val="0038652D"/>
    <w:rsid w:val="00386E0C"/>
    <w:rsid w:val="00387ECB"/>
    <w:rsid w:val="00390712"/>
    <w:rsid w:val="00390A3B"/>
    <w:rsid w:val="00390EFD"/>
    <w:rsid w:val="0039127D"/>
    <w:rsid w:val="00391361"/>
    <w:rsid w:val="003921B7"/>
    <w:rsid w:val="0039231E"/>
    <w:rsid w:val="00392E95"/>
    <w:rsid w:val="00393325"/>
    <w:rsid w:val="00395F74"/>
    <w:rsid w:val="00396464"/>
    <w:rsid w:val="00396F75"/>
    <w:rsid w:val="00397393"/>
    <w:rsid w:val="00397951"/>
    <w:rsid w:val="003A0642"/>
    <w:rsid w:val="003A0941"/>
    <w:rsid w:val="003A14ED"/>
    <w:rsid w:val="003A162C"/>
    <w:rsid w:val="003A1F46"/>
    <w:rsid w:val="003A20CF"/>
    <w:rsid w:val="003A24F7"/>
    <w:rsid w:val="003A4424"/>
    <w:rsid w:val="003A54AF"/>
    <w:rsid w:val="003A597B"/>
    <w:rsid w:val="003A5DAD"/>
    <w:rsid w:val="003A6052"/>
    <w:rsid w:val="003A659B"/>
    <w:rsid w:val="003A67DC"/>
    <w:rsid w:val="003A6D14"/>
    <w:rsid w:val="003A71D6"/>
    <w:rsid w:val="003A74F3"/>
    <w:rsid w:val="003A7997"/>
    <w:rsid w:val="003B035A"/>
    <w:rsid w:val="003B1D8E"/>
    <w:rsid w:val="003B3179"/>
    <w:rsid w:val="003B3451"/>
    <w:rsid w:val="003B3D10"/>
    <w:rsid w:val="003B3DAD"/>
    <w:rsid w:val="003B414C"/>
    <w:rsid w:val="003B42D8"/>
    <w:rsid w:val="003B566C"/>
    <w:rsid w:val="003B57F7"/>
    <w:rsid w:val="003B5A93"/>
    <w:rsid w:val="003B5D14"/>
    <w:rsid w:val="003B5EBB"/>
    <w:rsid w:val="003B60F0"/>
    <w:rsid w:val="003B653D"/>
    <w:rsid w:val="003B66AE"/>
    <w:rsid w:val="003B6896"/>
    <w:rsid w:val="003B6F9E"/>
    <w:rsid w:val="003B72B1"/>
    <w:rsid w:val="003B7DAA"/>
    <w:rsid w:val="003B7FB9"/>
    <w:rsid w:val="003C0C2D"/>
    <w:rsid w:val="003C0DE8"/>
    <w:rsid w:val="003C1005"/>
    <w:rsid w:val="003C1DC7"/>
    <w:rsid w:val="003C242E"/>
    <w:rsid w:val="003C3E19"/>
    <w:rsid w:val="003C3EFA"/>
    <w:rsid w:val="003C3FB1"/>
    <w:rsid w:val="003C414B"/>
    <w:rsid w:val="003C432D"/>
    <w:rsid w:val="003C444E"/>
    <w:rsid w:val="003C4769"/>
    <w:rsid w:val="003C63E4"/>
    <w:rsid w:val="003C7285"/>
    <w:rsid w:val="003C7ABA"/>
    <w:rsid w:val="003C7E49"/>
    <w:rsid w:val="003D00BA"/>
    <w:rsid w:val="003D0C63"/>
    <w:rsid w:val="003D155D"/>
    <w:rsid w:val="003D1A58"/>
    <w:rsid w:val="003D232D"/>
    <w:rsid w:val="003D23F8"/>
    <w:rsid w:val="003D2780"/>
    <w:rsid w:val="003D2FF5"/>
    <w:rsid w:val="003D34DE"/>
    <w:rsid w:val="003D47C3"/>
    <w:rsid w:val="003D4C9B"/>
    <w:rsid w:val="003D4E4C"/>
    <w:rsid w:val="003D5B83"/>
    <w:rsid w:val="003D64FC"/>
    <w:rsid w:val="003D6BE8"/>
    <w:rsid w:val="003D70B3"/>
    <w:rsid w:val="003E0748"/>
    <w:rsid w:val="003E1001"/>
    <w:rsid w:val="003E104C"/>
    <w:rsid w:val="003E11A5"/>
    <w:rsid w:val="003E2437"/>
    <w:rsid w:val="003E39A8"/>
    <w:rsid w:val="003E3A2D"/>
    <w:rsid w:val="003E44EE"/>
    <w:rsid w:val="003E4AE6"/>
    <w:rsid w:val="003E5AAB"/>
    <w:rsid w:val="003E5CF2"/>
    <w:rsid w:val="003E64A2"/>
    <w:rsid w:val="003E7A6A"/>
    <w:rsid w:val="003F0700"/>
    <w:rsid w:val="003F147A"/>
    <w:rsid w:val="003F2B7F"/>
    <w:rsid w:val="003F2E83"/>
    <w:rsid w:val="003F3172"/>
    <w:rsid w:val="003F3CAB"/>
    <w:rsid w:val="003F44D8"/>
    <w:rsid w:val="003F4E40"/>
    <w:rsid w:val="003F56A1"/>
    <w:rsid w:val="003F587D"/>
    <w:rsid w:val="003F5ACD"/>
    <w:rsid w:val="003F607F"/>
    <w:rsid w:val="003F6541"/>
    <w:rsid w:val="003F6F7D"/>
    <w:rsid w:val="003F78D0"/>
    <w:rsid w:val="003F7DED"/>
    <w:rsid w:val="004004F6"/>
    <w:rsid w:val="00400F94"/>
    <w:rsid w:val="004012EA"/>
    <w:rsid w:val="004013C8"/>
    <w:rsid w:val="00401527"/>
    <w:rsid w:val="00401886"/>
    <w:rsid w:val="00401F70"/>
    <w:rsid w:val="00402E6E"/>
    <w:rsid w:val="0040444F"/>
    <w:rsid w:val="00404618"/>
    <w:rsid w:val="00407960"/>
    <w:rsid w:val="00407A72"/>
    <w:rsid w:val="00407B2F"/>
    <w:rsid w:val="00407CC7"/>
    <w:rsid w:val="00407E80"/>
    <w:rsid w:val="00407FE0"/>
    <w:rsid w:val="0041000E"/>
    <w:rsid w:val="004107F3"/>
    <w:rsid w:val="00410920"/>
    <w:rsid w:val="00410CAE"/>
    <w:rsid w:val="00412047"/>
    <w:rsid w:val="004123E2"/>
    <w:rsid w:val="00412785"/>
    <w:rsid w:val="004127EB"/>
    <w:rsid w:val="004139A0"/>
    <w:rsid w:val="004143AA"/>
    <w:rsid w:val="00417493"/>
    <w:rsid w:val="004205BB"/>
    <w:rsid w:val="004212BE"/>
    <w:rsid w:val="00421523"/>
    <w:rsid w:val="00421D31"/>
    <w:rsid w:val="00422C03"/>
    <w:rsid w:val="00422C0F"/>
    <w:rsid w:val="00422D4A"/>
    <w:rsid w:val="00423475"/>
    <w:rsid w:val="004234D9"/>
    <w:rsid w:val="00423ACC"/>
    <w:rsid w:val="004251B1"/>
    <w:rsid w:val="00425289"/>
    <w:rsid w:val="004254DB"/>
    <w:rsid w:val="004255BC"/>
    <w:rsid w:val="00425CD7"/>
    <w:rsid w:val="00425D20"/>
    <w:rsid w:val="00426125"/>
    <w:rsid w:val="00426553"/>
    <w:rsid w:val="0042688D"/>
    <w:rsid w:val="00426911"/>
    <w:rsid w:val="00426B6E"/>
    <w:rsid w:val="00426BD5"/>
    <w:rsid w:val="00426BD6"/>
    <w:rsid w:val="004278DB"/>
    <w:rsid w:val="00427F5A"/>
    <w:rsid w:val="004305F5"/>
    <w:rsid w:val="0043070E"/>
    <w:rsid w:val="00430DAA"/>
    <w:rsid w:val="00431945"/>
    <w:rsid w:val="00431A81"/>
    <w:rsid w:val="00432008"/>
    <w:rsid w:val="004334EB"/>
    <w:rsid w:val="00434C67"/>
    <w:rsid w:val="00435154"/>
    <w:rsid w:val="0043551C"/>
    <w:rsid w:val="00435751"/>
    <w:rsid w:val="00435F84"/>
    <w:rsid w:val="004403E0"/>
    <w:rsid w:val="0044176A"/>
    <w:rsid w:val="00441AF3"/>
    <w:rsid w:val="004422BD"/>
    <w:rsid w:val="00444237"/>
    <w:rsid w:val="00444666"/>
    <w:rsid w:val="00444E62"/>
    <w:rsid w:val="0044522E"/>
    <w:rsid w:val="00445FBC"/>
    <w:rsid w:val="00446821"/>
    <w:rsid w:val="00447854"/>
    <w:rsid w:val="0044797D"/>
    <w:rsid w:val="00450191"/>
    <w:rsid w:val="004508AD"/>
    <w:rsid w:val="0045144E"/>
    <w:rsid w:val="0045168C"/>
    <w:rsid w:val="004528E3"/>
    <w:rsid w:val="00453C63"/>
    <w:rsid w:val="00454083"/>
    <w:rsid w:val="00454591"/>
    <w:rsid w:val="004548E7"/>
    <w:rsid w:val="00454A04"/>
    <w:rsid w:val="00455362"/>
    <w:rsid w:val="00456495"/>
    <w:rsid w:val="004564A7"/>
    <w:rsid w:val="00456648"/>
    <w:rsid w:val="004567E0"/>
    <w:rsid w:val="00457417"/>
    <w:rsid w:val="004577DA"/>
    <w:rsid w:val="0046004C"/>
    <w:rsid w:val="00460995"/>
    <w:rsid w:val="00461AB7"/>
    <w:rsid w:val="004627DF"/>
    <w:rsid w:val="00462DA9"/>
    <w:rsid w:val="00462ED2"/>
    <w:rsid w:val="0046343D"/>
    <w:rsid w:val="00463E9A"/>
    <w:rsid w:val="0046430E"/>
    <w:rsid w:val="0046450C"/>
    <w:rsid w:val="00465AD4"/>
    <w:rsid w:val="0046635D"/>
    <w:rsid w:val="00467308"/>
    <w:rsid w:val="00467754"/>
    <w:rsid w:val="00467CEA"/>
    <w:rsid w:val="00467ECA"/>
    <w:rsid w:val="00471405"/>
    <w:rsid w:val="004719E0"/>
    <w:rsid w:val="00471B28"/>
    <w:rsid w:val="00471B69"/>
    <w:rsid w:val="00471C21"/>
    <w:rsid w:val="00472686"/>
    <w:rsid w:val="004726CD"/>
    <w:rsid w:val="00473AFD"/>
    <w:rsid w:val="004747B7"/>
    <w:rsid w:val="00474E78"/>
    <w:rsid w:val="0047610F"/>
    <w:rsid w:val="004762D7"/>
    <w:rsid w:val="004767CA"/>
    <w:rsid w:val="00476BFA"/>
    <w:rsid w:val="0047729D"/>
    <w:rsid w:val="004800F5"/>
    <w:rsid w:val="00480646"/>
    <w:rsid w:val="00480921"/>
    <w:rsid w:val="00480BAC"/>
    <w:rsid w:val="004815DB"/>
    <w:rsid w:val="00481B04"/>
    <w:rsid w:val="00481B24"/>
    <w:rsid w:val="004835A4"/>
    <w:rsid w:val="0048504C"/>
    <w:rsid w:val="00485B73"/>
    <w:rsid w:val="00485D42"/>
    <w:rsid w:val="004867A4"/>
    <w:rsid w:val="00486A92"/>
    <w:rsid w:val="00486FD5"/>
    <w:rsid w:val="004873B9"/>
    <w:rsid w:val="0048789C"/>
    <w:rsid w:val="0049082D"/>
    <w:rsid w:val="00491276"/>
    <w:rsid w:val="004914FA"/>
    <w:rsid w:val="0049196B"/>
    <w:rsid w:val="00491AEA"/>
    <w:rsid w:val="0049220C"/>
    <w:rsid w:val="0049273A"/>
    <w:rsid w:val="00494861"/>
    <w:rsid w:val="004950FE"/>
    <w:rsid w:val="00495A05"/>
    <w:rsid w:val="0049632B"/>
    <w:rsid w:val="004979E1"/>
    <w:rsid w:val="00497AEB"/>
    <w:rsid w:val="004A114F"/>
    <w:rsid w:val="004A1E38"/>
    <w:rsid w:val="004A2D9B"/>
    <w:rsid w:val="004A31D6"/>
    <w:rsid w:val="004A31F0"/>
    <w:rsid w:val="004A403D"/>
    <w:rsid w:val="004A41F4"/>
    <w:rsid w:val="004A4B37"/>
    <w:rsid w:val="004A4F5B"/>
    <w:rsid w:val="004A4F67"/>
    <w:rsid w:val="004A530D"/>
    <w:rsid w:val="004A78BC"/>
    <w:rsid w:val="004A7C2D"/>
    <w:rsid w:val="004B13C2"/>
    <w:rsid w:val="004B1510"/>
    <w:rsid w:val="004B1559"/>
    <w:rsid w:val="004B1CE2"/>
    <w:rsid w:val="004B1E70"/>
    <w:rsid w:val="004B2A12"/>
    <w:rsid w:val="004B2E29"/>
    <w:rsid w:val="004B2FE2"/>
    <w:rsid w:val="004B3772"/>
    <w:rsid w:val="004B3BA3"/>
    <w:rsid w:val="004B3C56"/>
    <w:rsid w:val="004B46A7"/>
    <w:rsid w:val="004B4E08"/>
    <w:rsid w:val="004B4EC8"/>
    <w:rsid w:val="004B581E"/>
    <w:rsid w:val="004B6095"/>
    <w:rsid w:val="004B6147"/>
    <w:rsid w:val="004B6F9A"/>
    <w:rsid w:val="004B78E5"/>
    <w:rsid w:val="004C0A9B"/>
    <w:rsid w:val="004C0AEC"/>
    <w:rsid w:val="004C0DDF"/>
    <w:rsid w:val="004C1227"/>
    <w:rsid w:val="004C1E06"/>
    <w:rsid w:val="004C2860"/>
    <w:rsid w:val="004C41BC"/>
    <w:rsid w:val="004C4D8F"/>
    <w:rsid w:val="004C5002"/>
    <w:rsid w:val="004C5176"/>
    <w:rsid w:val="004C52A2"/>
    <w:rsid w:val="004C57C1"/>
    <w:rsid w:val="004C585A"/>
    <w:rsid w:val="004C6799"/>
    <w:rsid w:val="004D0338"/>
    <w:rsid w:val="004D0369"/>
    <w:rsid w:val="004D0852"/>
    <w:rsid w:val="004D0B7C"/>
    <w:rsid w:val="004D0CF8"/>
    <w:rsid w:val="004D10EC"/>
    <w:rsid w:val="004D210B"/>
    <w:rsid w:val="004D2B3C"/>
    <w:rsid w:val="004D3BED"/>
    <w:rsid w:val="004D3D56"/>
    <w:rsid w:val="004D4E00"/>
    <w:rsid w:val="004D5805"/>
    <w:rsid w:val="004D687D"/>
    <w:rsid w:val="004D6F11"/>
    <w:rsid w:val="004E0182"/>
    <w:rsid w:val="004E0C7E"/>
    <w:rsid w:val="004E18A2"/>
    <w:rsid w:val="004E1961"/>
    <w:rsid w:val="004E1B42"/>
    <w:rsid w:val="004E222B"/>
    <w:rsid w:val="004E2ECC"/>
    <w:rsid w:val="004E3400"/>
    <w:rsid w:val="004E3AF3"/>
    <w:rsid w:val="004E3B34"/>
    <w:rsid w:val="004E4022"/>
    <w:rsid w:val="004E442E"/>
    <w:rsid w:val="004E48A1"/>
    <w:rsid w:val="004E5878"/>
    <w:rsid w:val="004E5A9D"/>
    <w:rsid w:val="004E63EE"/>
    <w:rsid w:val="004E6DF5"/>
    <w:rsid w:val="004E72AF"/>
    <w:rsid w:val="004E7349"/>
    <w:rsid w:val="004E75B1"/>
    <w:rsid w:val="004E7E6D"/>
    <w:rsid w:val="004F06CC"/>
    <w:rsid w:val="004F2878"/>
    <w:rsid w:val="004F2F94"/>
    <w:rsid w:val="004F3ECB"/>
    <w:rsid w:val="004F4606"/>
    <w:rsid w:val="004F5307"/>
    <w:rsid w:val="004F5824"/>
    <w:rsid w:val="004F5B5E"/>
    <w:rsid w:val="004F7127"/>
    <w:rsid w:val="004F7B5A"/>
    <w:rsid w:val="00500E92"/>
    <w:rsid w:val="00500FDE"/>
    <w:rsid w:val="005014EA"/>
    <w:rsid w:val="00501569"/>
    <w:rsid w:val="00501B29"/>
    <w:rsid w:val="005020CC"/>
    <w:rsid w:val="00502447"/>
    <w:rsid w:val="0050257A"/>
    <w:rsid w:val="00502AC0"/>
    <w:rsid w:val="005032EF"/>
    <w:rsid w:val="00503D8A"/>
    <w:rsid w:val="0050406E"/>
    <w:rsid w:val="005046F8"/>
    <w:rsid w:val="00505235"/>
    <w:rsid w:val="00505F8A"/>
    <w:rsid w:val="005069FF"/>
    <w:rsid w:val="00506F40"/>
    <w:rsid w:val="00507722"/>
    <w:rsid w:val="0051000A"/>
    <w:rsid w:val="00510333"/>
    <w:rsid w:val="005104E5"/>
    <w:rsid w:val="0051103E"/>
    <w:rsid w:val="005112AF"/>
    <w:rsid w:val="0051184A"/>
    <w:rsid w:val="00511A86"/>
    <w:rsid w:val="00511A92"/>
    <w:rsid w:val="0051209F"/>
    <w:rsid w:val="005123CE"/>
    <w:rsid w:val="00512568"/>
    <w:rsid w:val="0051279C"/>
    <w:rsid w:val="00512F5A"/>
    <w:rsid w:val="005130F7"/>
    <w:rsid w:val="00514B7F"/>
    <w:rsid w:val="00514EAA"/>
    <w:rsid w:val="005153B0"/>
    <w:rsid w:val="00515806"/>
    <w:rsid w:val="00516588"/>
    <w:rsid w:val="0051740C"/>
    <w:rsid w:val="0051764E"/>
    <w:rsid w:val="00521048"/>
    <w:rsid w:val="00521C30"/>
    <w:rsid w:val="005221FF"/>
    <w:rsid w:val="0052245A"/>
    <w:rsid w:val="0052285A"/>
    <w:rsid w:val="00522D70"/>
    <w:rsid w:val="00523329"/>
    <w:rsid w:val="00524164"/>
    <w:rsid w:val="00524B0D"/>
    <w:rsid w:val="00524BDC"/>
    <w:rsid w:val="0052792B"/>
    <w:rsid w:val="00527CC5"/>
    <w:rsid w:val="00530321"/>
    <w:rsid w:val="005311EF"/>
    <w:rsid w:val="0053195F"/>
    <w:rsid w:val="005320A7"/>
    <w:rsid w:val="0053254E"/>
    <w:rsid w:val="00532DD3"/>
    <w:rsid w:val="00532F00"/>
    <w:rsid w:val="005348B1"/>
    <w:rsid w:val="005348DC"/>
    <w:rsid w:val="00534FDE"/>
    <w:rsid w:val="00536102"/>
    <w:rsid w:val="00536E6A"/>
    <w:rsid w:val="00536FA9"/>
    <w:rsid w:val="00537760"/>
    <w:rsid w:val="00540592"/>
    <w:rsid w:val="0054069C"/>
    <w:rsid w:val="005413AC"/>
    <w:rsid w:val="005424D1"/>
    <w:rsid w:val="005429C0"/>
    <w:rsid w:val="00543D32"/>
    <w:rsid w:val="00544520"/>
    <w:rsid w:val="005446F2"/>
    <w:rsid w:val="00544F08"/>
    <w:rsid w:val="00546E13"/>
    <w:rsid w:val="00546F16"/>
    <w:rsid w:val="00547205"/>
    <w:rsid w:val="00547C8E"/>
    <w:rsid w:val="00550C53"/>
    <w:rsid w:val="00551465"/>
    <w:rsid w:val="005523E3"/>
    <w:rsid w:val="00552AFE"/>
    <w:rsid w:val="00553273"/>
    <w:rsid w:val="005538D0"/>
    <w:rsid w:val="005539F8"/>
    <w:rsid w:val="00554685"/>
    <w:rsid w:val="00554C5F"/>
    <w:rsid w:val="00554D3F"/>
    <w:rsid w:val="005560DE"/>
    <w:rsid w:val="00556100"/>
    <w:rsid w:val="00556992"/>
    <w:rsid w:val="005573B0"/>
    <w:rsid w:val="005575CB"/>
    <w:rsid w:val="00557DC8"/>
    <w:rsid w:val="0056026E"/>
    <w:rsid w:val="005602F0"/>
    <w:rsid w:val="00560756"/>
    <w:rsid w:val="0056130A"/>
    <w:rsid w:val="00562859"/>
    <w:rsid w:val="005629F0"/>
    <w:rsid w:val="005633BC"/>
    <w:rsid w:val="00563FDC"/>
    <w:rsid w:val="00564109"/>
    <w:rsid w:val="005648FF"/>
    <w:rsid w:val="005651B9"/>
    <w:rsid w:val="005652D9"/>
    <w:rsid w:val="00566B07"/>
    <w:rsid w:val="0056753E"/>
    <w:rsid w:val="00567E6A"/>
    <w:rsid w:val="00570E8F"/>
    <w:rsid w:val="005712DE"/>
    <w:rsid w:val="00571D74"/>
    <w:rsid w:val="00572A6B"/>
    <w:rsid w:val="00572FBB"/>
    <w:rsid w:val="00573A48"/>
    <w:rsid w:val="00573B1A"/>
    <w:rsid w:val="00573FB6"/>
    <w:rsid w:val="005745BD"/>
    <w:rsid w:val="005747CB"/>
    <w:rsid w:val="00574C7D"/>
    <w:rsid w:val="00574D74"/>
    <w:rsid w:val="005758BE"/>
    <w:rsid w:val="00575DCD"/>
    <w:rsid w:val="00576B90"/>
    <w:rsid w:val="0058039F"/>
    <w:rsid w:val="00581F5E"/>
    <w:rsid w:val="00581FA3"/>
    <w:rsid w:val="005822B6"/>
    <w:rsid w:val="005830F8"/>
    <w:rsid w:val="00583346"/>
    <w:rsid w:val="00583F02"/>
    <w:rsid w:val="005845A4"/>
    <w:rsid w:val="00584613"/>
    <w:rsid w:val="00584AC8"/>
    <w:rsid w:val="00584F85"/>
    <w:rsid w:val="00586615"/>
    <w:rsid w:val="005867D6"/>
    <w:rsid w:val="00586DE7"/>
    <w:rsid w:val="005874A3"/>
    <w:rsid w:val="0058777E"/>
    <w:rsid w:val="005879DE"/>
    <w:rsid w:val="00587CCD"/>
    <w:rsid w:val="0059132A"/>
    <w:rsid w:val="00591676"/>
    <w:rsid w:val="00591D82"/>
    <w:rsid w:val="00591DA6"/>
    <w:rsid w:val="00592EB7"/>
    <w:rsid w:val="00593830"/>
    <w:rsid w:val="00593B1E"/>
    <w:rsid w:val="00594073"/>
    <w:rsid w:val="00594109"/>
    <w:rsid w:val="00594200"/>
    <w:rsid w:val="005947AF"/>
    <w:rsid w:val="00595076"/>
    <w:rsid w:val="00595214"/>
    <w:rsid w:val="005954D4"/>
    <w:rsid w:val="0059597B"/>
    <w:rsid w:val="00595F08"/>
    <w:rsid w:val="005963CE"/>
    <w:rsid w:val="00596758"/>
    <w:rsid w:val="00597849"/>
    <w:rsid w:val="005A0D22"/>
    <w:rsid w:val="005A0D9D"/>
    <w:rsid w:val="005A1707"/>
    <w:rsid w:val="005A1DFF"/>
    <w:rsid w:val="005A1ED1"/>
    <w:rsid w:val="005A232C"/>
    <w:rsid w:val="005A26A6"/>
    <w:rsid w:val="005A3B21"/>
    <w:rsid w:val="005A4443"/>
    <w:rsid w:val="005A545E"/>
    <w:rsid w:val="005A60FA"/>
    <w:rsid w:val="005A642E"/>
    <w:rsid w:val="005A6E81"/>
    <w:rsid w:val="005A7913"/>
    <w:rsid w:val="005A7A42"/>
    <w:rsid w:val="005A7BFF"/>
    <w:rsid w:val="005B045E"/>
    <w:rsid w:val="005B0857"/>
    <w:rsid w:val="005B0AE3"/>
    <w:rsid w:val="005B17C7"/>
    <w:rsid w:val="005B2F35"/>
    <w:rsid w:val="005B3653"/>
    <w:rsid w:val="005B3D8D"/>
    <w:rsid w:val="005B3E66"/>
    <w:rsid w:val="005B42AD"/>
    <w:rsid w:val="005B5008"/>
    <w:rsid w:val="005B533C"/>
    <w:rsid w:val="005B57EE"/>
    <w:rsid w:val="005B5922"/>
    <w:rsid w:val="005B6BE0"/>
    <w:rsid w:val="005B6EE1"/>
    <w:rsid w:val="005B79E5"/>
    <w:rsid w:val="005B7B5E"/>
    <w:rsid w:val="005B7E2C"/>
    <w:rsid w:val="005C001D"/>
    <w:rsid w:val="005C16B1"/>
    <w:rsid w:val="005C19D1"/>
    <w:rsid w:val="005C1A8C"/>
    <w:rsid w:val="005C1BF4"/>
    <w:rsid w:val="005C1FB3"/>
    <w:rsid w:val="005C213A"/>
    <w:rsid w:val="005C370D"/>
    <w:rsid w:val="005C3FDA"/>
    <w:rsid w:val="005C48FC"/>
    <w:rsid w:val="005C4D23"/>
    <w:rsid w:val="005C549F"/>
    <w:rsid w:val="005C653B"/>
    <w:rsid w:val="005C6AA5"/>
    <w:rsid w:val="005C7403"/>
    <w:rsid w:val="005C7445"/>
    <w:rsid w:val="005D18FF"/>
    <w:rsid w:val="005D1B77"/>
    <w:rsid w:val="005D28B3"/>
    <w:rsid w:val="005D2ED1"/>
    <w:rsid w:val="005D32DF"/>
    <w:rsid w:val="005D381C"/>
    <w:rsid w:val="005D3866"/>
    <w:rsid w:val="005D3C3B"/>
    <w:rsid w:val="005D40A2"/>
    <w:rsid w:val="005D4924"/>
    <w:rsid w:val="005D496F"/>
    <w:rsid w:val="005D5079"/>
    <w:rsid w:val="005D5112"/>
    <w:rsid w:val="005D56EA"/>
    <w:rsid w:val="005D68A4"/>
    <w:rsid w:val="005D712E"/>
    <w:rsid w:val="005D729B"/>
    <w:rsid w:val="005D7B12"/>
    <w:rsid w:val="005D7E51"/>
    <w:rsid w:val="005E03F8"/>
    <w:rsid w:val="005E0625"/>
    <w:rsid w:val="005E08C6"/>
    <w:rsid w:val="005E0BF7"/>
    <w:rsid w:val="005E0C84"/>
    <w:rsid w:val="005E1496"/>
    <w:rsid w:val="005E1584"/>
    <w:rsid w:val="005E17B2"/>
    <w:rsid w:val="005E2BD8"/>
    <w:rsid w:val="005E2C8A"/>
    <w:rsid w:val="005E3720"/>
    <w:rsid w:val="005E4698"/>
    <w:rsid w:val="005E490A"/>
    <w:rsid w:val="005E4A4F"/>
    <w:rsid w:val="005E4C11"/>
    <w:rsid w:val="005E57CD"/>
    <w:rsid w:val="005E78A7"/>
    <w:rsid w:val="005E7B01"/>
    <w:rsid w:val="005F0031"/>
    <w:rsid w:val="005F06A7"/>
    <w:rsid w:val="005F0DD2"/>
    <w:rsid w:val="005F1879"/>
    <w:rsid w:val="005F1F07"/>
    <w:rsid w:val="005F2877"/>
    <w:rsid w:val="005F2FEC"/>
    <w:rsid w:val="005F41C0"/>
    <w:rsid w:val="005F4B0E"/>
    <w:rsid w:val="005F4B99"/>
    <w:rsid w:val="005F4F0A"/>
    <w:rsid w:val="005F5369"/>
    <w:rsid w:val="005F5883"/>
    <w:rsid w:val="005F5CEE"/>
    <w:rsid w:val="005F5EC9"/>
    <w:rsid w:val="005F6A86"/>
    <w:rsid w:val="005F72B7"/>
    <w:rsid w:val="006000F1"/>
    <w:rsid w:val="006006E4"/>
    <w:rsid w:val="006009B5"/>
    <w:rsid w:val="00600A91"/>
    <w:rsid w:val="006015A7"/>
    <w:rsid w:val="00601782"/>
    <w:rsid w:val="00601C22"/>
    <w:rsid w:val="006021F6"/>
    <w:rsid w:val="00602BAF"/>
    <w:rsid w:val="00602EE9"/>
    <w:rsid w:val="0060328F"/>
    <w:rsid w:val="006036AB"/>
    <w:rsid w:val="00603C31"/>
    <w:rsid w:val="006047D9"/>
    <w:rsid w:val="00604A1B"/>
    <w:rsid w:val="00604D9C"/>
    <w:rsid w:val="00605F12"/>
    <w:rsid w:val="00606D40"/>
    <w:rsid w:val="00606FC4"/>
    <w:rsid w:val="00607766"/>
    <w:rsid w:val="00610C5F"/>
    <w:rsid w:val="00610D9E"/>
    <w:rsid w:val="006115B5"/>
    <w:rsid w:val="006127A1"/>
    <w:rsid w:val="00612983"/>
    <w:rsid w:val="0061303C"/>
    <w:rsid w:val="0061376C"/>
    <w:rsid w:val="0061459B"/>
    <w:rsid w:val="006148AC"/>
    <w:rsid w:val="0061501D"/>
    <w:rsid w:val="006152A6"/>
    <w:rsid w:val="006158BA"/>
    <w:rsid w:val="00615D21"/>
    <w:rsid w:val="00616A2A"/>
    <w:rsid w:val="0062034A"/>
    <w:rsid w:val="00620956"/>
    <w:rsid w:val="00621D06"/>
    <w:rsid w:val="00622428"/>
    <w:rsid w:val="00622B1F"/>
    <w:rsid w:val="00622F4F"/>
    <w:rsid w:val="00623570"/>
    <w:rsid w:val="00623C02"/>
    <w:rsid w:val="0062437B"/>
    <w:rsid w:val="00625141"/>
    <w:rsid w:val="00626382"/>
    <w:rsid w:val="00626702"/>
    <w:rsid w:val="00626967"/>
    <w:rsid w:val="00627057"/>
    <w:rsid w:val="0062739D"/>
    <w:rsid w:val="00630E94"/>
    <w:rsid w:val="00630EC4"/>
    <w:rsid w:val="00631EE9"/>
    <w:rsid w:val="0063252B"/>
    <w:rsid w:val="00632918"/>
    <w:rsid w:val="00633720"/>
    <w:rsid w:val="00633FB6"/>
    <w:rsid w:val="00634405"/>
    <w:rsid w:val="00634782"/>
    <w:rsid w:val="00634B6C"/>
    <w:rsid w:val="006352E5"/>
    <w:rsid w:val="006356FF"/>
    <w:rsid w:val="006366C6"/>
    <w:rsid w:val="006368E2"/>
    <w:rsid w:val="00637849"/>
    <w:rsid w:val="0064030E"/>
    <w:rsid w:val="00641ADF"/>
    <w:rsid w:val="00641C92"/>
    <w:rsid w:val="00642721"/>
    <w:rsid w:val="00643520"/>
    <w:rsid w:val="00643559"/>
    <w:rsid w:val="00643777"/>
    <w:rsid w:val="00643D6C"/>
    <w:rsid w:val="00644427"/>
    <w:rsid w:val="0064484B"/>
    <w:rsid w:val="00645CF2"/>
    <w:rsid w:val="00645DBB"/>
    <w:rsid w:val="006461AF"/>
    <w:rsid w:val="006464CE"/>
    <w:rsid w:val="00647C69"/>
    <w:rsid w:val="0065056E"/>
    <w:rsid w:val="006513F0"/>
    <w:rsid w:val="00652B9A"/>
    <w:rsid w:val="006534AB"/>
    <w:rsid w:val="00653A6F"/>
    <w:rsid w:val="0065430B"/>
    <w:rsid w:val="00654E31"/>
    <w:rsid w:val="00655D1F"/>
    <w:rsid w:val="00655DAB"/>
    <w:rsid w:val="00655F0A"/>
    <w:rsid w:val="00655F56"/>
    <w:rsid w:val="006566CB"/>
    <w:rsid w:val="006568A4"/>
    <w:rsid w:val="00656F34"/>
    <w:rsid w:val="00657650"/>
    <w:rsid w:val="0065773E"/>
    <w:rsid w:val="006577E6"/>
    <w:rsid w:val="006601CB"/>
    <w:rsid w:val="0066033B"/>
    <w:rsid w:val="006612CF"/>
    <w:rsid w:val="00661AF0"/>
    <w:rsid w:val="00661F84"/>
    <w:rsid w:val="00662028"/>
    <w:rsid w:val="00662143"/>
    <w:rsid w:val="00662848"/>
    <w:rsid w:val="00662C15"/>
    <w:rsid w:val="006642D0"/>
    <w:rsid w:val="00664827"/>
    <w:rsid w:val="00664843"/>
    <w:rsid w:val="0066524A"/>
    <w:rsid w:val="006656A3"/>
    <w:rsid w:val="006658BA"/>
    <w:rsid w:val="00666133"/>
    <w:rsid w:val="0066639A"/>
    <w:rsid w:val="00666BE2"/>
    <w:rsid w:val="0066744F"/>
    <w:rsid w:val="006676EC"/>
    <w:rsid w:val="006677C2"/>
    <w:rsid w:val="0067042E"/>
    <w:rsid w:val="00670570"/>
    <w:rsid w:val="0067102C"/>
    <w:rsid w:val="006716EE"/>
    <w:rsid w:val="0067181D"/>
    <w:rsid w:val="00671EFA"/>
    <w:rsid w:val="006726BD"/>
    <w:rsid w:val="0067278E"/>
    <w:rsid w:val="00672C99"/>
    <w:rsid w:val="00673B38"/>
    <w:rsid w:val="0067424C"/>
    <w:rsid w:val="0067468B"/>
    <w:rsid w:val="006749E3"/>
    <w:rsid w:val="00674EB3"/>
    <w:rsid w:val="00675457"/>
    <w:rsid w:val="00675E9F"/>
    <w:rsid w:val="00676D52"/>
    <w:rsid w:val="00677F9F"/>
    <w:rsid w:val="006800E5"/>
    <w:rsid w:val="006805DC"/>
    <w:rsid w:val="00680739"/>
    <w:rsid w:val="00680EF0"/>
    <w:rsid w:val="006811C5"/>
    <w:rsid w:val="006815A2"/>
    <w:rsid w:val="00681780"/>
    <w:rsid w:val="006818E0"/>
    <w:rsid w:val="00681D75"/>
    <w:rsid w:val="0068271D"/>
    <w:rsid w:val="00683445"/>
    <w:rsid w:val="0068468F"/>
    <w:rsid w:val="00684913"/>
    <w:rsid w:val="00684B77"/>
    <w:rsid w:val="00684C2C"/>
    <w:rsid w:val="006851E5"/>
    <w:rsid w:val="00685422"/>
    <w:rsid w:val="00686BCC"/>
    <w:rsid w:val="00687196"/>
    <w:rsid w:val="0068753A"/>
    <w:rsid w:val="00690173"/>
    <w:rsid w:val="006902A7"/>
    <w:rsid w:val="006903D1"/>
    <w:rsid w:val="006907F8"/>
    <w:rsid w:val="00691FEB"/>
    <w:rsid w:val="006928BC"/>
    <w:rsid w:val="00692D8C"/>
    <w:rsid w:val="0069367B"/>
    <w:rsid w:val="006941CF"/>
    <w:rsid w:val="00694822"/>
    <w:rsid w:val="00695C61"/>
    <w:rsid w:val="00695E41"/>
    <w:rsid w:val="006973F0"/>
    <w:rsid w:val="006A0858"/>
    <w:rsid w:val="006A14A3"/>
    <w:rsid w:val="006A1863"/>
    <w:rsid w:val="006A23BD"/>
    <w:rsid w:val="006A2BCC"/>
    <w:rsid w:val="006A2DD5"/>
    <w:rsid w:val="006A2E35"/>
    <w:rsid w:val="006A3135"/>
    <w:rsid w:val="006A373C"/>
    <w:rsid w:val="006A379E"/>
    <w:rsid w:val="006A3C81"/>
    <w:rsid w:val="006A5300"/>
    <w:rsid w:val="006A5322"/>
    <w:rsid w:val="006A5CD9"/>
    <w:rsid w:val="006A69F3"/>
    <w:rsid w:val="006A6B5C"/>
    <w:rsid w:val="006A6DC6"/>
    <w:rsid w:val="006A709F"/>
    <w:rsid w:val="006A73FB"/>
    <w:rsid w:val="006A7661"/>
    <w:rsid w:val="006A780B"/>
    <w:rsid w:val="006A7E42"/>
    <w:rsid w:val="006B060B"/>
    <w:rsid w:val="006B08B6"/>
    <w:rsid w:val="006B0C06"/>
    <w:rsid w:val="006B13FC"/>
    <w:rsid w:val="006B1E10"/>
    <w:rsid w:val="006B27E0"/>
    <w:rsid w:val="006B308C"/>
    <w:rsid w:val="006B3204"/>
    <w:rsid w:val="006B3B99"/>
    <w:rsid w:val="006B4294"/>
    <w:rsid w:val="006B486F"/>
    <w:rsid w:val="006B5477"/>
    <w:rsid w:val="006B653D"/>
    <w:rsid w:val="006B6813"/>
    <w:rsid w:val="006B6B52"/>
    <w:rsid w:val="006B6F16"/>
    <w:rsid w:val="006B776C"/>
    <w:rsid w:val="006B7A64"/>
    <w:rsid w:val="006B7D04"/>
    <w:rsid w:val="006B7E13"/>
    <w:rsid w:val="006C0246"/>
    <w:rsid w:val="006C03BA"/>
    <w:rsid w:val="006C247C"/>
    <w:rsid w:val="006C249B"/>
    <w:rsid w:val="006C2FAB"/>
    <w:rsid w:val="006C3240"/>
    <w:rsid w:val="006C355A"/>
    <w:rsid w:val="006C37EE"/>
    <w:rsid w:val="006C3CD8"/>
    <w:rsid w:val="006C4833"/>
    <w:rsid w:val="006C4840"/>
    <w:rsid w:val="006C6A52"/>
    <w:rsid w:val="006C6AFA"/>
    <w:rsid w:val="006C72C2"/>
    <w:rsid w:val="006C7A58"/>
    <w:rsid w:val="006C7B63"/>
    <w:rsid w:val="006C7DA9"/>
    <w:rsid w:val="006D02B9"/>
    <w:rsid w:val="006D0362"/>
    <w:rsid w:val="006D1AA6"/>
    <w:rsid w:val="006D2559"/>
    <w:rsid w:val="006D280F"/>
    <w:rsid w:val="006D2A5C"/>
    <w:rsid w:val="006D2C42"/>
    <w:rsid w:val="006D2EE0"/>
    <w:rsid w:val="006D352A"/>
    <w:rsid w:val="006D353E"/>
    <w:rsid w:val="006D3935"/>
    <w:rsid w:val="006D42D5"/>
    <w:rsid w:val="006D42FF"/>
    <w:rsid w:val="006D46E3"/>
    <w:rsid w:val="006D4AE7"/>
    <w:rsid w:val="006D530B"/>
    <w:rsid w:val="006D5687"/>
    <w:rsid w:val="006D59B4"/>
    <w:rsid w:val="006D6050"/>
    <w:rsid w:val="006D729A"/>
    <w:rsid w:val="006D7BF9"/>
    <w:rsid w:val="006D7D02"/>
    <w:rsid w:val="006E1414"/>
    <w:rsid w:val="006E1848"/>
    <w:rsid w:val="006E1D70"/>
    <w:rsid w:val="006E28C2"/>
    <w:rsid w:val="006E40C7"/>
    <w:rsid w:val="006E436C"/>
    <w:rsid w:val="006E4BFF"/>
    <w:rsid w:val="006E5AB3"/>
    <w:rsid w:val="006E5C0D"/>
    <w:rsid w:val="006E608B"/>
    <w:rsid w:val="006E6659"/>
    <w:rsid w:val="006E6DD0"/>
    <w:rsid w:val="006E75F7"/>
    <w:rsid w:val="006E76E7"/>
    <w:rsid w:val="006E7A12"/>
    <w:rsid w:val="006F0341"/>
    <w:rsid w:val="006F1265"/>
    <w:rsid w:val="006F28AA"/>
    <w:rsid w:val="006F2DC8"/>
    <w:rsid w:val="006F2FC9"/>
    <w:rsid w:val="006F3051"/>
    <w:rsid w:val="006F3110"/>
    <w:rsid w:val="006F3A1E"/>
    <w:rsid w:val="006F3EF5"/>
    <w:rsid w:val="006F55D6"/>
    <w:rsid w:val="006F5BC9"/>
    <w:rsid w:val="006F61A4"/>
    <w:rsid w:val="006F631E"/>
    <w:rsid w:val="006F6770"/>
    <w:rsid w:val="006F6C90"/>
    <w:rsid w:val="006F707F"/>
    <w:rsid w:val="006F72C8"/>
    <w:rsid w:val="006F7387"/>
    <w:rsid w:val="00700F71"/>
    <w:rsid w:val="007017C9"/>
    <w:rsid w:val="00701D81"/>
    <w:rsid w:val="007034F9"/>
    <w:rsid w:val="0070468D"/>
    <w:rsid w:val="00704823"/>
    <w:rsid w:val="0070502C"/>
    <w:rsid w:val="00705A54"/>
    <w:rsid w:val="00705BAD"/>
    <w:rsid w:val="00705E09"/>
    <w:rsid w:val="0070657B"/>
    <w:rsid w:val="0070682F"/>
    <w:rsid w:val="00706A51"/>
    <w:rsid w:val="00706C81"/>
    <w:rsid w:val="007071F6"/>
    <w:rsid w:val="007076B4"/>
    <w:rsid w:val="00707CA8"/>
    <w:rsid w:val="0071006D"/>
    <w:rsid w:val="0071015F"/>
    <w:rsid w:val="00710952"/>
    <w:rsid w:val="0071184F"/>
    <w:rsid w:val="00711D73"/>
    <w:rsid w:val="007124EA"/>
    <w:rsid w:val="00712BFB"/>
    <w:rsid w:val="00712CBE"/>
    <w:rsid w:val="00713812"/>
    <w:rsid w:val="0071396A"/>
    <w:rsid w:val="00715546"/>
    <w:rsid w:val="007157B1"/>
    <w:rsid w:val="007157F1"/>
    <w:rsid w:val="0071595F"/>
    <w:rsid w:val="00716199"/>
    <w:rsid w:val="0071664B"/>
    <w:rsid w:val="00716D75"/>
    <w:rsid w:val="00716E52"/>
    <w:rsid w:val="007171C3"/>
    <w:rsid w:val="007173C9"/>
    <w:rsid w:val="00717494"/>
    <w:rsid w:val="007175A9"/>
    <w:rsid w:val="00720111"/>
    <w:rsid w:val="0072060C"/>
    <w:rsid w:val="00720F57"/>
    <w:rsid w:val="00721214"/>
    <w:rsid w:val="00721238"/>
    <w:rsid w:val="0072192B"/>
    <w:rsid w:val="00721BB9"/>
    <w:rsid w:val="00721C4F"/>
    <w:rsid w:val="00721F68"/>
    <w:rsid w:val="0072225B"/>
    <w:rsid w:val="00722E06"/>
    <w:rsid w:val="00722E6A"/>
    <w:rsid w:val="00723E96"/>
    <w:rsid w:val="007240B3"/>
    <w:rsid w:val="007259C9"/>
    <w:rsid w:val="00726012"/>
    <w:rsid w:val="0072618A"/>
    <w:rsid w:val="00726373"/>
    <w:rsid w:val="0072648D"/>
    <w:rsid w:val="00726903"/>
    <w:rsid w:val="00730AEB"/>
    <w:rsid w:val="007313AB"/>
    <w:rsid w:val="007318CC"/>
    <w:rsid w:val="00732050"/>
    <w:rsid w:val="007334B8"/>
    <w:rsid w:val="0073377D"/>
    <w:rsid w:val="00733941"/>
    <w:rsid w:val="00734A6B"/>
    <w:rsid w:val="00734C90"/>
    <w:rsid w:val="0073568E"/>
    <w:rsid w:val="007401FF"/>
    <w:rsid w:val="00740AD5"/>
    <w:rsid w:val="00740C02"/>
    <w:rsid w:val="00741A94"/>
    <w:rsid w:val="00744C0D"/>
    <w:rsid w:val="0074521E"/>
    <w:rsid w:val="0074527F"/>
    <w:rsid w:val="007454D4"/>
    <w:rsid w:val="00745F67"/>
    <w:rsid w:val="0074680F"/>
    <w:rsid w:val="007472BF"/>
    <w:rsid w:val="007476A2"/>
    <w:rsid w:val="00750B74"/>
    <w:rsid w:val="00751547"/>
    <w:rsid w:val="0075155A"/>
    <w:rsid w:val="00754ABF"/>
    <w:rsid w:val="00754CBA"/>
    <w:rsid w:val="007556A9"/>
    <w:rsid w:val="00755D4E"/>
    <w:rsid w:val="00755FD9"/>
    <w:rsid w:val="00756337"/>
    <w:rsid w:val="0075698F"/>
    <w:rsid w:val="00757310"/>
    <w:rsid w:val="00757635"/>
    <w:rsid w:val="0075787B"/>
    <w:rsid w:val="00757BBA"/>
    <w:rsid w:val="00760429"/>
    <w:rsid w:val="00760AF8"/>
    <w:rsid w:val="00761B4B"/>
    <w:rsid w:val="00762581"/>
    <w:rsid w:val="007626DF"/>
    <w:rsid w:val="007627C8"/>
    <w:rsid w:val="0076298B"/>
    <w:rsid w:val="00762C9F"/>
    <w:rsid w:val="00763117"/>
    <w:rsid w:val="00763D0D"/>
    <w:rsid w:val="00764572"/>
    <w:rsid w:val="007655A9"/>
    <w:rsid w:val="00765B8F"/>
    <w:rsid w:val="00766199"/>
    <w:rsid w:val="00767423"/>
    <w:rsid w:val="00767E6D"/>
    <w:rsid w:val="0077006B"/>
    <w:rsid w:val="0077009E"/>
    <w:rsid w:val="00770E0A"/>
    <w:rsid w:val="00771803"/>
    <w:rsid w:val="00772888"/>
    <w:rsid w:val="0077346E"/>
    <w:rsid w:val="007734DE"/>
    <w:rsid w:val="007737FB"/>
    <w:rsid w:val="00773A34"/>
    <w:rsid w:val="00773B87"/>
    <w:rsid w:val="00774CF9"/>
    <w:rsid w:val="007761F2"/>
    <w:rsid w:val="00776599"/>
    <w:rsid w:val="00776A12"/>
    <w:rsid w:val="00776D42"/>
    <w:rsid w:val="00777CD3"/>
    <w:rsid w:val="00777CDB"/>
    <w:rsid w:val="0078120D"/>
    <w:rsid w:val="007815BE"/>
    <w:rsid w:val="00781731"/>
    <w:rsid w:val="00781BDC"/>
    <w:rsid w:val="00781C00"/>
    <w:rsid w:val="00782B2A"/>
    <w:rsid w:val="00783602"/>
    <w:rsid w:val="00783D4F"/>
    <w:rsid w:val="007845C9"/>
    <w:rsid w:val="0078495B"/>
    <w:rsid w:val="0078541C"/>
    <w:rsid w:val="00785A5D"/>
    <w:rsid w:val="00786526"/>
    <w:rsid w:val="00786C58"/>
    <w:rsid w:val="00787538"/>
    <w:rsid w:val="0078759C"/>
    <w:rsid w:val="007879BC"/>
    <w:rsid w:val="00787C21"/>
    <w:rsid w:val="00794421"/>
    <w:rsid w:val="007945F9"/>
    <w:rsid w:val="00794A6F"/>
    <w:rsid w:val="00795F28"/>
    <w:rsid w:val="007977E7"/>
    <w:rsid w:val="007979E8"/>
    <w:rsid w:val="00797A5C"/>
    <w:rsid w:val="00797EAB"/>
    <w:rsid w:val="007A02BB"/>
    <w:rsid w:val="007A1248"/>
    <w:rsid w:val="007A136E"/>
    <w:rsid w:val="007A2E00"/>
    <w:rsid w:val="007A2EE3"/>
    <w:rsid w:val="007A38D7"/>
    <w:rsid w:val="007A3C34"/>
    <w:rsid w:val="007A572B"/>
    <w:rsid w:val="007A5849"/>
    <w:rsid w:val="007A6B7D"/>
    <w:rsid w:val="007A718C"/>
    <w:rsid w:val="007A7D9E"/>
    <w:rsid w:val="007B024D"/>
    <w:rsid w:val="007B117A"/>
    <w:rsid w:val="007B194F"/>
    <w:rsid w:val="007B259B"/>
    <w:rsid w:val="007B2CC7"/>
    <w:rsid w:val="007B3348"/>
    <w:rsid w:val="007B3D8F"/>
    <w:rsid w:val="007B433F"/>
    <w:rsid w:val="007B4556"/>
    <w:rsid w:val="007B4F1A"/>
    <w:rsid w:val="007B507D"/>
    <w:rsid w:val="007B5166"/>
    <w:rsid w:val="007B5298"/>
    <w:rsid w:val="007B565E"/>
    <w:rsid w:val="007B5747"/>
    <w:rsid w:val="007B5D3A"/>
    <w:rsid w:val="007B6380"/>
    <w:rsid w:val="007B7B5D"/>
    <w:rsid w:val="007C0FB9"/>
    <w:rsid w:val="007C1943"/>
    <w:rsid w:val="007C2DD4"/>
    <w:rsid w:val="007C3166"/>
    <w:rsid w:val="007C3ACC"/>
    <w:rsid w:val="007C3BEC"/>
    <w:rsid w:val="007C3CD3"/>
    <w:rsid w:val="007C3DD2"/>
    <w:rsid w:val="007C3F99"/>
    <w:rsid w:val="007C47C3"/>
    <w:rsid w:val="007C6520"/>
    <w:rsid w:val="007C658A"/>
    <w:rsid w:val="007C6739"/>
    <w:rsid w:val="007C67A8"/>
    <w:rsid w:val="007C6859"/>
    <w:rsid w:val="007C6AA7"/>
    <w:rsid w:val="007C746B"/>
    <w:rsid w:val="007D01FF"/>
    <w:rsid w:val="007D0210"/>
    <w:rsid w:val="007D049F"/>
    <w:rsid w:val="007D110D"/>
    <w:rsid w:val="007D1379"/>
    <w:rsid w:val="007D16CD"/>
    <w:rsid w:val="007D1A92"/>
    <w:rsid w:val="007D1D3C"/>
    <w:rsid w:val="007D2C9C"/>
    <w:rsid w:val="007D3230"/>
    <w:rsid w:val="007D3376"/>
    <w:rsid w:val="007D35C2"/>
    <w:rsid w:val="007D3CDE"/>
    <w:rsid w:val="007D4817"/>
    <w:rsid w:val="007D5056"/>
    <w:rsid w:val="007D5DF6"/>
    <w:rsid w:val="007D682A"/>
    <w:rsid w:val="007D7E7C"/>
    <w:rsid w:val="007E0BDA"/>
    <w:rsid w:val="007E0E7A"/>
    <w:rsid w:val="007E1A47"/>
    <w:rsid w:val="007E1A9E"/>
    <w:rsid w:val="007E23AA"/>
    <w:rsid w:val="007E2DE2"/>
    <w:rsid w:val="007E321F"/>
    <w:rsid w:val="007E4105"/>
    <w:rsid w:val="007E41D4"/>
    <w:rsid w:val="007E4431"/>
    <w:rsid w:val="007E4499"/>
    <w:rsid w:val="007E487D"/>
    <w:rsid w:val="007E4D86"/>
    <w:rsid w:val="007E5A59"/>
    <w:rsid w:val="007E63F0"/>
    <w:rsid w:val="007E651F"/>
    <w:rsid w:val="007E6868"/>
    <w:rsid w:val="007E6954"/>
    <w:rsid w:val="007E6E87"/>
    <w:rsid w:val="007E74C7"/>
    <w:rsid w:val="007E7D5A"/>
    <w:rsid w:val="007E7E2E"/>
    <w:rsid w:val="007F16CD"/>
    <w:rsid w:val="007F1DCF"/>
    <w:rsid w:val="007F2662"/>
    <w:rsid w:val="007F3251"/>
    <w:rsid w:val="007F3C75"/>
    <w:rsid w:val="007F4157"/>
    <w:rsid w:val="007F4427"/>
    <w:rsid w:val="007F46E9"/>
    <w:rsid w:val="007F4DE6"/>
    <w:rsid w:val="007F503F"/>
    <w:rsid w:val="007F5A66"/>
    <w:rsid w:val="007F5B1A"/>
    <w:rsid w:val="007F6541"/>
    <w:rsid w:val="007F7941"/>
    <w:rsid w:val="007F7C10"/>
    <w:rsid w:val="00800065"/>
    <w:rsid w:val="00800CE1"/>
    <w:rsid w:val="00800DE8"/>
    <w:rsid w:val="008015AC"/>
    <w:rsid w:val="008024E3"/>
    <w:rsid w:val="00803707"/>
    <w:rsid w:val="00804076"/>
    <w:rsid w:val="0080488E"/>
    <w:rsid w:val="008052C3"/>
    <w:rsid w:val="0080591A"/>
    <w:rsid w:val="00805A6F"/>
    <w:rsid w:val="00807650"/>
    <w:rsid w:val="00807809"/>
    <w:rsid w:val="00807DC6"/>
    <w:rsid w:val="00807EBA"/>
    <w:rsid w:val="00807F69"/>
    <w:rsid w:val="0081103F"/>
    <w:rsid w:val="00811B5F"/>
    <w:rsid w:val="008124DB"/>
    <w:rsid w:val="008134E9"/>
    <w:rsid w:val="00813660"/>
    <w:rsid w:val="00813F50"/>
    <w:rsid w:val="008141CA"/>
    <w:rsid w:val="00814B00"/>
    <w:rsid w:val="00814C27"/>
    <w:rsid w:val="00815351"/>
    <w:rsid w:val="00815E16"/>
    <w:rsid w:val="00816751"/>
    <w:rsid w:val="008169A5"/>
    <w:rsid w:val="00816ECE"/>
    <w:rsid w:val="008170CC"/>
    <w:rsid w:val="0082118A"/>
    <w:rsid w:val="00821D31"/>
    <w:rsid w:val="00823125"/>
    <w:rsid w:val="008231BF"/>
    <w:rsid w:val="00823631"/>
    <w:rsid w:val="008238E4"/>
    <w:rsid w:val="00824606"/>
    <w:rsid w:val="0082604E"/>
    <w:rsid w:val="0082638B"/>
    <w:rsid w:val="00826B35"/>
    <w:rsid w:val="00826D97"/>
    <w:rsid w:val="008277A9"/>
    <w:rsid w:val="00827C2B"/>
    <w:rsid w:val="00827C6E"/>
    <w:rsid w:val="00827F85"/>
    <w:rsid w:val="00830713"/>
    <w:rsid w:val="0083073B"/>
    <w:rsid w:val="00831769"/>
    <w:rsid w:val="00831B31"/>
    <w:rsid w:val="00832641"/>
    <w:rsid w:val="00832EB4"/>
    <w:rsid w:val="0083329C"/>
    <w:rsid w:val="00833860"/>
    <w:rsid w:val="00833CC7"/>
    <w:rsid w:val="008353AA"/>
    <w:rsid w:val="00835E2B"/>
    <w:rsid w:val="00836D67"/>
    <w:rsid w:val="008377F0"/>
    <w:rsid w:val="00840033"/>
    <w:rsid w:val="00840D11"/>
    <w:rsid w:val="008413D3"/>
    <w:rsid w:val="0084173E"/>
    <w:rsid w:val="00841A24"/>
    <w:rsid w:val="00841FAD"/>
    <w:rsid w:val="00842196"/>
    <w:rsid w:val="008424EA"/>
    <w:rsid w:val="0084309D"/>
    <w:rsid w:val="008435C8"/>
    <w:rsid w:val="00843A55"/>
    <w:rsid w:val="00844944"/>
    <w:rsid w:val="00844BD4"/>
    <w:rsid w:val="00844F5B"/>
    <w:rsid w:val="008451BE"/>
    <w:rsid w:val="0084582D"/>
    <w:rsid w:val="0084626D"/>
    <w:rsid w:val="008468CE"/>
    <w:rsid w:val="00846AA2"/>
    <w:rsid w:val="00846B9C"/>
    <w:rsid w:val="0084716E"/>
    <w:rsid w:val="00847F3F"/>
    <w:rsid w:val="008505A2"/>
    <w:rsid w:val="00850AB9"/>
    <w:rsid w:val="008515B1"/>
    <w:rsid w:val="008515B7"/>
    <w:rsid w:val="0085166F"/>
    <w:rsid w:val="00851C02"/>
    <w:rsid w:val="00851D4A"/>
    <w:rsid w:val="00851D8A"/>
    <w:rsid w:val="00851F12"/>
    <w:rsid w:val="0085236E"/>
    <w:rsid w:val="00852926"/>
    <w:rsid w:val="008532B6"/>
    <w:rsid w:val="00853467"/>
    <w:rsid w:val="00853BC5"/>
    <w:rsid w:val="0085465B"/>
    <w:rsid w:val="008547AE"/>
    <w:rsid w:val="008552FD"/>
    <w:rsid w:val="0085534E"/>
    <w:rsid w:val="00856919"/>
    <w:rsid w:val="00857B0C"/>
    <w:rsid w:val="008605E6"/>
    <w:rsid w:val="00860C48"/>
    <w:rsid w:val="00860C8E"/>
    <w:rsid w:val="0086158B"/>
    <w:rsid w:val="00861BF2"/>
    <w:rsid w:val="00862228"/>
    <w:rsid w:val="008624CD"/>
    <w:rsid w:val="008629B1"/>
    <w:rsid w:val="00863491"/>
    <w:rsid w:val="0086580B"/>
    <w:rsid w:val="00865BCC"/>
    <w:rsid w:val="00865DB2"/>
    <w:rsid w:val="00870BBE"/>
    <w:rsid w:val="0087159F"/>
    <w:rsid w:val="008716CD"/>
    <w:rsid w:val="00873F16"/>
    <w:rsid w:val="00874D3C"/>
    <w:rsid w:val="00874EB5"/>
    <w:rsid w:val="0087508E"/>
    <w:rsid w:val="00875154"/>
    <w:rsid w:val="008769A3"/>
    <w:rsid w:val="00877036"/>
    <w:rsid w:val="00877781"/>
    <w:rsid w:val="00877C92"/>
    <w:rsid w:val="008805CD"/>
    <w:rsid w:val="00880677"/>
    <w:rsid w:val="0088098C"/>
    <w:rsid w:val="008816A4"/>
    <w:rsid w:val="008818E5"/>
    <w:rsid w:val="00881DD0"/>
    <w:rsid w:val="008824AC"/>
    <w:rsid w:val="00882834"/>
    <w:rsid w:val="00882EDE"/>
    <w:rsid w:val="0088337D"/>
    <w:rsid w:val="008834AF"/>
    <w:rsid w:val="008835D7"/>
    <w:rsid w:val="008842BD"/>
    <w:rsid w:val="00884574"/>
    <w:rsid w:val="00884655"/>
    <w:rsid w:val="0088465D"/>
    <w:rsid w:val="00884FFD"/>
    <w:rsid w:val="00885211"/>
    <w:rsid w:val="0088613A"/>
    <w:rsid w:val="00886FA2"/>
    <w:rsid w:val="00887389"/>
    <w:rsid w:val="00890171"/>
    <w:rsid w:val="00891BE4"/>
    <w:rsid w:val="00891C42"/>
    <w:rsid w:val="008922D2"/>
    <w:rsid w:val="00892F77"/>
    <w:rsid w:val="00892FE0"/>
    <w:rsid w:val="00893290"/>
    <w:rsid w:val="00894215"/>
    <w:rsid w:val="00894B7C"/>
    <w:rsid w:val="00894CCB"/>
    <w:rsid w:val="00895F86"/>
    <w:rsid w:val="00896B99"/>
    <w:rsid w:val="0089772D"/>
    <w:rsid w:val="008A145D"/>
    <w:rsid w:val="008A156B"/>
    <w:rsid w:val="008A15BC"/>
    <w:rsid w:val="008A1722"/>
    <w:rsid w:val="008A1882"/>
    <w:rsid w:val="008A1C69"/>
    <w:rsid w:val="008A1DB8"/>
    <w:rsid w:val="008A390C"/>
    <w:rsid w:val="008A46F9"/>
    <w:rsid w:val="008A5910"/>
    <w:rsid w:val="008A5B4F"/>
    <w:rsid w:val="008A5E7E"/>
    <w:rsid w:val="008A66B0"/>
    <w:rsid w:val="008A7130"/>
    <w:rsid w:val="008B0A95"/>
    <w:rsid w:val="008B1067"/>
    <w:rsid w:val="008B1B03"/>
    <w:rsid w:val="008B239E"/>
    <w:rsid w:val="008B3D5F"/>
    <w:rsid w:val="008B5FCC"/>
    <w:rsid w:val="008B6138"/>
    <w:rsid w:val="008B6B03"/>
    <w:rsid w:val="008B72E0"/>
    <w:rsid w:val="008C025D"/>
    <w:rsid w:val="008C02D1"/>
    <w:rsid w:val="008C03C1"/>
    <w:rsid w:val="008C1086"/>
    <w:rsid w:val="008C1D74"/>
    <w:rsid w:val="008C2129"/>
    <w:rsid w:val="008C2241"/>
    <w:rsid w:val="008C2379"/>
    <w:rsid w:val="008C2766"/>
    <w:rsid w:val="008C2AC5"/>
    <w:rsid w:val="008C460E"/>
    <w:rsid w:val="008C59C4"/>
    <w:rsid w:val="008C63F7"/>
    <w:rsid w:val="008C7367"/>
    <w:rsid w:val="008C7667"/>
    <w:rsid w:val="008D11CA"/>
    <w:rsid w:val="008D1529"/>
    <w:rsid w:val="008D2D0B"/>
    <w:rsid w:val="008D4247"/>
    <w:rsid w:val="008D4D1A"/>
    <w:rsid w:val="008D4F08"/>
    <w:rsid w:val="008D50F3"/>
    <w:rsid w:val="008D5D76"/>
    <w:rsid w:val="008D71C2"/>
    <w:rsid w:val="008E00EA"/>
    <w:rsid w:val="008E09C1"/>
    <w:rsid w:val="008E0AC6"/>
    <w:rsid w:val="008E12DA"/>
    <w:rsid w:val="008E1806"/>
    <w:rsid w:val="008E1EFD"/>
    <w:rsid w:val="008E2599"/>
    <w:rsid w:val="008E2EA0"/>
    <w:rsid w:val="008E368B"/>
    <w:rsid w:val="008E37AC"/>
    <w:rsid w:val="008E3828"/>
    <w:rsid w:val="008E4028"/>
    <w:rsid w:val="008E4512"/>
    <w:rsid w:val="008E4BC3"/>
    <w:rsid w:val="008E51B1"/>
    <w:rsid w:val="008E5778"/>
    <w:rsid w:val="008E5C6D"/>
    <w:rsid w:val="008E5EFF"/>
    <w:rsid w:val="008E6601"/>
    <w:rsid w:val="008E66BA"/>
    <w:rsid w:val="008E7230"/>
    <w:rsid w:val="008F0400"/>
    <w:rsid w:val="008F0CA2"/>
    <w:rsid w:val="008F0FC5"/>
    <w:rsid w:val="008F20E5"/>
    <w:rsid w:val="008F217D"/>
    <w:rsid w:val="008F37BA"/>
    <w:rsid w:val="008F4094"/>
    <w:rsid w:val="008F431A"/>
    <w:rsid w:val="008F4CC1"/>
    <w:rsid w:val="008F52AB"/>
    <w:rsid w:val="008F562E"/>
    <w:rsid w:val="008F5848"/>
    <w:rsid w:val="008F5D6B"/>
    <w:rsid w:val="008F5DF6"/>
    <w:rsid w:val="008F695E"/>
    <w:rsid w:val="008F6E29"/>
    <w:rsid w:val="008F6F51"/>
    <w:rsid w:val="008F6F78"/>
    <w:rsid w:val="008F7F35"/>
    <w:rsid w:val="009000A4"/>
    <w:rsid w:val="00900357"/>
    <w:rsid w:val="00900834"/>
    <w:rsid w:val="00900A26"/>
    <w:rsid w:val="0090118E"/>
    <w:rsid w:val="009012A7"/>
    <w:rsid w:val="00901AAE"/>
    <w:rsid w:val="009020D2"/>
    <w:rsid w:val="0090264D"/>
    <w:rsid w:val="00902913"/>
    <w:rsid w:val="009032CA"/>
    <w:rsid w:val="00903327"/>
    <w:rsid w:val="00903552"/>
    <w:rsid w:val="00903E15"/>
    <w:rsid w:val="00903FB1"/>
    <w:rsid w:val="00904563"/>
    <w:rsid w:val="009047ED"/>
    <w:rsid w:val="00905D9F"/>
    <w:rsid w:val="00905DDE"/>
    <w:rsid w:val="0090722A"/>
    <w:rsid w:val="00907304"/>
    <w:rsid w:val="009074A2"/>
    <w:rsid w:val="0090770F"/>
    <w:rsid w:val="009100C5"/>
    <w:rsid w:val="00910310"/>
    <w:rsid w:val="0091040E"/>
    <w:rsid w:val="009104EB"/>
    <w:rsid w:val="009111E8"/>
    <w:rsid w:val="00911B95"/>
    <w:rsid w:val="00911F05"/>
    <w:rsid w:val="00912516"/>
    <w:rsid w:val="00912F6E"/>
    <w:rsid w:val="00914300"/>
    <w:rsid w:val="00914B17"/>
    <w:rsid w:val="00915026"/>
    <w:rsid w:val="00916174"/>
    <w:rsid w:val="009167EF"/>
    <w:rsid w:val="00916AD4"/>
    <w:rsid w:val="00916D36"/>
    <w:rsid w:val="00920524"/>
    <w:rsid w:val="00920CE6"/>
    <w:rsid w:val="00921072"/>
    <w:rsid w:val="009212C1"/>
    <w:rsid w:val="009214EA"/>
    <w:rsid w:val="0092184F"/>
    <w:rsid w:val="0092257C"/>
    <w:rsid w:val="009225AD"/>
    <w:rsid w:val="009233F5"/>
    <w:rsid w:val="00923419"/>
    <w:rsid w:val="00923FA8"/>
    <w:rsid w:val="00923FC3"/>
    <w:rsid w:val="0092447B"/>
    <w:rsid w:val="00924501"/>
    <w:rsid w:val="00924644"/>
    <w:rsid w:val="0092518F"/>
    <w:rsid w:val="00925418"/>
    <w:rsid w:val="00925EA9"/>
    <w:rsid w:val="00926337"/>
    <w:rsid w:val="009268E5"/>
    <w:rsid w:val="00927BC3"/>
    <w:rsid w:val="0093036D"/>
    <w:rsid w:val="00930DCE"/>
    <w:rsid w:val="009310C5"/>
    <w:rsid w:val="00932191"/>
    <w:rsid w:val="00932524"/>
    <w:rsid w:val="00932867"/>
    <w:rsid w:val="0093303C"/>
    <w:rsid w:val="009331D8"/>
    <w:rsid w:val="00933BB5"/>
    <w:rsid w:val="00934010"/>
    <w:rsid w:val="009347CE"/>
    <w:rsid w:val="009350C7"/>
    <w:rsid w:val="0093548F"/>
    <w:rsid w:val="009362E7"/>
    <w:rsid w:val="0093675C"/>
    <w:rsid w:val="00936C52"/>
    <w:rsid w:val="00937A4B"/>
    <w:rsid w:val="00937B9C"/>
    <w:rsid w:val="009404BC"/>
    <w:rsid w:val="00940505"/>
    <w:rsid w:val="00940521"/>
    <w:rsid w:val="00940927"/>
    <w:rsid w:val="00940A92"/>
    <w:rsid w:val="00940BD4"/>
    <w:rsid w:val="00940C20"/>
    <w:rsid w:val="00940DA7"/>
    <w:rsid w:val="009412A8"/>
    <w:rsid w:val="00941558"/>
    <w:rsid w:val="00941645"/>
    <w:rsid w:val="00941A04"/>
    <w:rsid w:val="00941E5B"/>
    <w:rsid w:val="00942968"/>
    <w:rsid w:val="00942DEC"/>
    <w:rsid w:val="0094308F"/>
    <w:rsid w:val="00943E72"/>
    <w:rsid w:val="00944D32"/>
    <w:rsid w:val="00944DA2"/>
    <w:rsid w:val="009451DD"/>
    <w:rsid w:val="00945DA7"/>
    <w:rsid w:val="00945EFD"/>
    <w:rsid w:val="009469E8"/>
    <w:rsid w:val="00947E3D"/>
    <w:rsid w:val="009507FF"/>
    <w:rsid w:val="009509D6"/>
    <w:rsid w:val="0095110E"/>
    <w:rsid w:val="00952323"/>
    <w:rsid w:val="009524EA"/>
    <w:rsid w:val="00952608"/>
    <w:rsid w:val="00953D50"/>
    <w:rsid w:val="0095459D"/>
    <w:rsid w:val="00954CF1"/>
    <w:rsid w:val="00954DC7"/>
    <w:rsid w:val="00954FB7"/>
    <w:rsid w:val="00955118"/>
    <w:rsid w:val="00955A2C"/>
    <w:rsid w:val="00955BCE"/>
    <w:rsid w:val="00955E19"/>
    <w:rsid w:val="00957430"/>
    <w:rsid w:val="00957646"/>
    <w:rsid w:val="00957A65"/>
    <w:rsid w:val="009607B3"/>
    <w:rsid w:val="00960ED9"/>
    <w:rsid w:val="00960F67"/>
    <w:rsid w:val="0096209F"/>
    <w:rsid w:val="00962215"/>
    <w:rsid w:val="009622BC"/>
    <w:rsid w:val="0096282A"/>
    <w:rsid w:val="00962F29"/>
    <w:rsid w:val="009634B8"/>
    <w:rsid w:val="0096365A"/>
    <w:rsid w:val="009638BE"/>
    <w:rsid w:val="00963AFC"/>
    <w:rsid w:val="00964809"/>
    <w:rsid w:val="00964884"/>
    <w:rsid w:val="00964F05"/>
    <w:rsid w:val="00964F83"/>
    <w:rsid w:val="00965085"/>
    <w:rsid w:val="009650D5"/>
    <w:rsid w:val="0096551C"/>
    <w:rsid w:val="00966F79"/>
    <w:rsid w:val="009673D2"/>
    <w:rsid w:val="00967A22"/>
    <w:rsid w:val="00967FDB"/>
    <w:rsid w:val="009700BE"/>
    <w:rsid w:val="009709D2"/>
    <w:rsid w:val="009710E1"/>
    <w:rsid w:val="009712F3"/>
    <w:rsid w:val="00971921"/>
    <w:rsid w:val="00971B9A"/>
    <w:rsid w:val="0097227F"/>
    <w:rsid w:val="00973280"/>
    <w:rsid w:val="00973729"/>
    <w:rsid w:val="00974058"/>
    <w:rsid w:val="009746A8"/>
    <w:rsid w:val="0097542D"/>
    <w:rsid w:val="0097562F"/>
    <w:rsid w:val="00975F11"/>
    <w:rsid w:val="009770E9"/>
    <w:rsid w:val="00977C59"/>
    <w:rsid w:val="00977DBA"/>
    <w:rsid w:val="00977E0F"/>
    <w:rsid w:val="009807AE"/>
    <w:rsid w:val="00980CBA"/>
    <w:rsid w:val="00981081"/>
    <w:rsid w:val="0098135C"/>
    <w:rsid w:val="00981E3C"/>
    <w:rsid w:val="00982832"/>
    <w:rsid w:val="00982E89"/>
    <w:rsid w:val="009830D9"/>
    <w:rsid w:val="009832E1"/>
    <w:rsid w:val="00983A90"/>
    <w:rsid w:val="00983E71"/>
    <w:rsid w:val="009841E9"/>
    <w:rsid w:val="0098456E"/>
    <w:rsid w:val="00984CE2"/>
    <w:rsid w:val="00984DDD"/>
    <w:rsid w:val="009852FB"/>
    <w:rsid w:val="00987BA2"/>
    <w:rsid w:val="00987CA5"/>
    <w:rsid w:val="00987F2F"/>
    <w:rsid w:val="00990C10"/>
    <w:rsid w:val="00991287"/>
    <w:rsid w:val="0099170C"/>
    <w:rsid w:val="009923AE"/>
    <w:rsid w:val="00993472"/>
    <w:rsid w:val="009937E0"/>
    <w:rsid w:val="009937F8"/>
    <w:rsid w:val="00993BE4"/>
    <w:rsid w:val="00994435"/>
    <w:rsid w:val="0099602F"/>
    <w:rsid w:val="00996163"/>
    <w:rsid w:val="0099624B"/>
    <w:rsid w:val="009964FE"/>
    <w:rsid w:val="00996578"/>
    <w:rsid w:val="009967A8"/>
    <w:rsid w:val="00996BA1"/>
    <w:rsid w:val="00996EE5"/>
    <w:rsid w:val="009974A0"/>
    <w:rsid w:val="00997EEB"/>
    <w:rsid w:val="009A06EA"/>
    <w:rsid w:val="009A1AD5"/>
    <w:rsid w:val="009A1B97"/>
    <w:rsid w:val="009A1D03"/>
    <w:rsid w:val="009A2A4F"/>
    <w:rsid w:val="009A2B47"/>
    <w:rsid w:val="009A2C40"/>
    <w:rsid w:val="009A2DA5"/>
    <w:rsid w:val="009A37CA"/>
    <w:rsid w:val="009A3B4C"/>
    <w:rsid w:val="009A4271"/>
    <w:rsid w:val="009A4522"/>
    <w:rsid w:val="009A50B4"/>
    <w:rsid w:val="009A512E"/>
    <w:rsid w:val="009A59DE"/>
    <w:rsid w:val="009A5AF9"/>
    <w:rsid w:val="009A5B32"/>
    <w:rsid w:val="009A6CE4"/>
    <w:rsid w:val="009A72C4"/>
    <w:rsid w:val="009A7CCA"/>
    <w:rsid w:val="009B1F74"/>
    <w:rsid w:val="009B24AB"/>
    <w:rsid w:val="009B2810"/>
    <w:rsid w:val="009B2FB8"/>
    <w:rsid w:val="009B3033"/>
    <w:rsid w:val="009B36C9"/>
    <w:rsid w:val="009B3A9F"/>
    <w:rsid w:val="009B3C94"/>
    <w:rsid w:val="009B4527"/>
    <w:rsid w:val="009B45FE"/>
    <w:rsid w:val="009B4774"/>
    <w:rsid w:val="009B48BB"/>
    <w:rsid w:val="009B4951"/>
    <w:rsid w:val="009B4BD9"/>
    <w:rsid w:val="009B5F15"/>
    <w:rsid w:val="009B6C73"/>
    <w:rsid w:val="009B71A5"/>
    <w:rsid w:val="009B7407"/>
    <w:rsid w:val="009B7BCE"/>
    <w:rsid w:val="009C01AC"/>
    <w:rsid w:val="009C182A"/>
    <w:rsid w:val="009C1AD4"/>
    <w:rsid w:val="009C26C3"/>
    <w:rsid w:val="009C35CB"/>
    <w:rsid w:val="009C4D9C"/>
    <w:rsid w:val="009C5035"/>
    <w:rsid w:val="009C5046"/>
    <w:rsid w:val="009C5556"/>
    <w:rsid w:val="009C59D9"/>
    <w:rsid w:val="009C6222"/>
    <w:rsid w:val="009C6A72"/>
    <w:rsid w:val="009C72F0"/>
    <w:rsid w:val="009C7929"/>
    <w:rsid w:val="009D03E0"/>
    <w:rsid w:val="009D046D"/>
    <w:rsid w:val="009D36A8"/>
    <w:rsid w:val="009D3B12"/>
    <w:rsid w:val="009D3E3B"/>
    <w:rsid w:val="009D448C"/>
    <w:rsid w:val="009D4C7D"/>
    <w:rsid w:val="009D5470"/>
    <w:rsid w:val="009D5CDF"/>
    <w:rsid w:val="009D6040"/>
    <w:rsid w:val="009D6B43"/>
    <w:rsid w:val="009D71E6"/>
    <w:rsid w:val="009D7429"/>
    <w:rsid w:val="009D762B"/>
    <w:rsid w:val="009D7732"/>
    <w:rsid w:val="009E009E"/>
    <w:rsid w:val="009E1112"/>
    <w:rsid w:val="009E1260"/>
    <w:rsid w:val="009E21CF"/>
    <w:rsid w:val="009E2753"/>
    <w:rsid w:val="009E2A52"/>
    <w:rsid w:val="009E3B26"/>
    <w:rsid w:val="009E4044"/>
    <w:rsid w:val="009E413B"/>
    <w:rsid w:val="009E609C"/>
    <w:rsid w:val="009E72BE"/>
    <w:rsid w:val="009E7F65"/>
    <w:rsid w:val="009F0E5B"/>
    <w:rsid w:val="009F1D34"/>
    <w:rsid w:val="009F20A9"/>
    <w:rsid w:val="009F242A"/>
    <w:rsid w:val="009F2645"/>
    <w:rsid w:val="009F30C6"/>
    <w:rsid w:val="009F3101"/>
    <w:rsid w:val="009F3414"/>
    <w:rsid w:val="009F3A6C"/>
    <w:rsid w:val="009F474C"/>
    <w:rsid w:val="009F48A8"/>
    <w:rsid w:val="009F4938"/>
    <w:rsid w:val="009F4969"/>
    <w:rsid w:val="009F68B2"/>
    <w:rsid w:val="009F6A01"/>
    <w:rsid w:val="009F6C93"/>
    <w:rsid w:val="009F7998"/>
    <w:rsid w:val="009F7F84"/>
    <w:rsid w:val="00A00508"/>
    <w:rsid w:val="00A00743"/>
    <w:rsid w:val="00A007E8"/>
    <w:rsid w:val="00A0096B"/>
    <w:rsid w:val="00A010A5"/>
    <w:rsid w:val="00A025D0"/>
    <w:rsid w:val="00A0335C"/>
    <w:rsid w:val="00A03701"/>
    <w:rsid w:val="00A03D26"/>
    <w:rsid w:val="00A04A27"/>
    <w:rsid w:val="00A05208"/>
    <w:rsid w:val="00A05259"/>
    <w:rsid w:val="00A0615A"/>
    <w:rsid w:val="00A06EAA"/>
    <w:rsid w:val="00A07175"/>
    <w:rsid w:val="00A0762B"/>
    <w:rsid w:val="00A1041B"/>
    <w:rsid w:val="00A11782"/>
    <w:rsid w:val="00A119A2"/>
    <w:rsid w:val="00A1205F"/>
    <w:rsid w:val="00A12145"/>
    <w:rsid w:val="00A1255B"/>
    <w:rsid w:val="00A12DBA"/>
    <w:rsid w:val="00A12F00"/>
    <w:rsid w:val="00A131D6"/>
    <w:rsid w:val="00A1407E"/>
    <w:rsid w:val="00A1451B"/>
    <w:rsid w:val="00A14C96"/>
    <w:rsid w:val="00A14F7E"/>
    <w:rsid w:val="00A1527B"/>
    <w:rsid w:val="00A15582"/>
    <w:rsid w:val="00A15977"/>
    <w:rsid w:val="00A15ADA"/>
    <w:rsid w:val="00A15F5B"/>
    <w:rsid w:val="00A17841"/>
    <w:rsid w:val="00A17AC4"/>
    <w:rsid w:val="00A17AEB"/>
    <w:rsid w:val="00A17EBC"/>
    <w:rsid w:val="00A17FA9"/>
    <w:rsid w:val="00A20FE0"/>
    <w:rsid w:val="00A216F3"/>
    <w:rsid w:val="00A21A39"/>
    <w:rsid w:val="00A21D55"/>
    <w:rsid w:val="00A2219B"/>
    <w:rsid w:val="00A2431E"/>
    <w:rsid w:val="00A24E8E"/>
    <w:rsid w:val="00A2547E"/>
    <w:rsid w:val="00A25E02"/>
    <w:rsid w:val="00A30B19"/>
    <w:rsid w:val="00A30CE7"/>
    <w:rsid w:val="00A3218E"/>
    <w:rsid w:val="00A32358"/>
    <w:rsid w:val="00A324B7"/>
    <w:rsid w:val="00A33785"/>
    <w:rsid w:val="00A348B8"/>
    <w:rsid w:val="00A34BA5"/>
    <w:rsid w:val="00A35E0B"/>
    <w:rsid w:val="00A35F03"/>
    <w:rsid w:val="00A35F97"/>
    <w:rsid w:val="00A36AA6"/>
    <w:rsid w:val="00A36BFA"/>
    <w:rsid w:val="00A36D39"/>
    <w:rsid w:val="00A3728F"/>
    <w:rsid w:val="00A37E4E"/>
    <w:rsid w:val="00A409BA"/>
    <w:rsid w:val="00A411AB"/>
    <w:rsid w:val="00A411C8"/>
    <w:rsid w:val="00A418BA"/>
    <w:rsid w:val="00A4193D"/>
    <w:rsid w:val="00A41D2E"/>
    <w:rsid w:val="00A428DB"/>
    <w:rsid w:val="00A429B8"/>
    <w:rsid w:val="00A42B36"/>
    <w:rsid w:val="00A434AA"/>
    <w:rsid w:val="00A43EDD"/>
    <w:rsid w:val="00A44D4E"/>
    <w:rsid w:val="00A456B2"/>
    <w:rsid w:val="00A4578B"/>
    <w:rsid w:val="00A45898"/>
    <w:rsid w:val="00A45F2B"/>
    <w:rsid w:val="00A47751"/>
    <w:rsid w:val="00A4777E"/>
    <w:rsid w:val="00A479A4"/>
    <w:rsid w:val="00A50B59"/>
    <w:rsid w:val="00A50E24"/>
    <w:rsid w:val="00A510A2"/>
    <w:rsid w:val="00A51382"/>
    <w:rsid w:val="00A51672"/>
    <w:rsid w:val="00A51AA3"/>
    <w:rsid w:val="00A51AAB"/>
    <w:rsid w:val="00A51ABE"/>
    <w:rsid w:val="00A51FF4"/>
    <w:rsid w:val="00A52876"/>
    <w:rsid w:val="00A52A47"/>
    <w:rsid w:val="00A541D0"/>
    <w:rsid w:val="00A5421C"/>
    <w:rsid w:val="00A542CD"/>
    <w:rsid w:val="00A56E2C"/>
    <w:rsid w:val="00A5750C"/>
    <w:rsid w:val="00A606CD"/>
    <w:rsid w:val="00A60ED3"/>
    <w:rsid w:val="00A6120D"/>
    <w:rsid w:val="00A61317"/>
    <w:rsid w:val="00A61786"/>
    <w:rsid w:val="00A62742"/>
    <w:rsid w:val="00A62EAC"/>
    <w:rsid w:val="00A6375C"/>
    <w:rsid w:val="00A637A4"/>
    <w:rsid w:val="00A64281"/>
    <w:rsid w:val="00A643E7"/>
    <w:rsid w:val="00A64EE1"/>
    <w:rsid w:val="00A65275"/>
    <w:rsid w:val="00A65D56"/>
    <w:rsid w:val="00A65F00"/>
    <w:rsid w:val="00A66027"/>
    <w:rsid w:val="00A6662D"/>
    <w:rsid w:val="00A674E7"/>
    <w:rsid w:val="00A70473"/>
    <w:rsid w:val="00A71B93"/>
    <w:rsid w:val="00A71D02"/>
    <w:rsid w:val="00A72A9D"/>
    <w:rsid w:val="00A72D94"/>
    <w:rsid w:val="00A73252"/>
    <w:rsid w:val="00A73869"/>
    <w:rsid w:val="00A73EE6"/>
    <w:rsid w:val="00A74928"/>
    <w:rsid w:val="00A74DBE"/>
    <w:rsid w:val="00A76210"/>
    <w:rsid w:val="00A7622C"/>
    <w:rsid w:val="00A76D2E"/>
    <w:rsid w:val="00A76D5B"/>
    <w:rsid w:val="00A80895"/>
    <w:rsid w:val="00A818CD"/>
    <w:rsid w:val="00A82BDF"/>
    <w:rsid w:val="00A83659"/>
    <w:rsid w:val="00A83CEE"/>
    <w:rsid w:val="00A840AE"/>
    <w:rsid w:val="00A8593F"/>
    <w:rsid w:val="00A859CF"/>
    <w:rsid w:val="00A86289"/>
    <w:rsid w:val="00A86754"/>
    <w:rsid w:val="00A86B02"/>
    <w:rsid w:val="00A86B06"/>
    <w:rsid w:val="00A86C20"/>
    <w:rsid w:val="00A871A7"/>
    <w:rsid w:val="00A918F5"/>
    <w:rsid w:val="00A91A4D"/>
    <w:rsid w:val="00A92A52"/>
    <w:rsid w:val="00A93EFA"/>
    <w:rsid w:val="00A94950"/>
    <w:rsid w:val="00A94B3C"/>
    <w:rsid w:val="00A9579A"/>
    <w:rsid w:val="00A95D36"/>
    <w:rsid w:val="00A964A0"/>
    <w:rsid w:val="00A969C3"/>
    <w:rsid w:val="00A96BD5"/>
    <w:rsid w:val="00AA0B7A"/>
    <w:rsid w:val="00AA12BE"/>
    <w:rsid w:val="00AA18A5"/>
    <w:rsid w:val="00AA27BF"/>
    <w:rsid w:val="00AA2A26"/>
    <w:rsid w:val="00AA2FEB"/>
    <w:rsid w:val="00AA3AFB"/>
    <w:rsid w:val="00AA3FCD"/>
    <w:rsid w:val="00AA454B"/>
    <w:rsid w:val="00AA51F6"/>
    <w:rsid w:val="00AA5837"/>
    <w:rsid w:val="00AA591D"/>
    <w:rsid w:val="00AA5969"/>
    <w:rsid w:val="00AA63AC"/>
    <w:rsid w:val="00AA6612"/>
    <w:rsid w:val="00AA6F0E"/>
    <w:rsid w:val="00AA74E6"/>
    <w:rsid w:val="00AA75DA"/>
    <w:rsid w:val="00AA7D29"/>
    <w:rsid w:val="00AA7E1D"/>
    <w:rsid w:val="00AB04FA"/>
    <w:rsid w:val="00AB0E88"/>
    <w:rsid w:val="00AB1835"/>
    <w:rsid w:val="00AB1D17"/>
    <w:rsid w:val="00AB3A29"/>
    <w:rsid w:val="00AB3AE1"/>
    <w:rsid w:val="00AB4450"/>
    <w:rsid w:val="00AB52A0"/>
    <w:rsid w:val="00AB5EE8"/>
    <w:rsid w:val="00AB6373"/>
    <w:rsid w:val="00AB6A76"/>
    <w:rsid w:val="00AB6AEF"/>
    <w:rsid w:val="00AB6FEB"/>
    <w:rsid w:val="00AB7544"/>
    <w:rsid w:val="00AB7ED8"/>
    <w:rsid w:val="00AC006A"/>
    <w:rsid w:val="00AC03C4"/>
    <w:rsid w:val="00AC08ED"/>
    <w:rsid w:val="00AC1F4E"/>
    <w:rsid w:val="00AC2383"/>
    <w:rsid w:val="00AC260A"/>
    <w:rsid w:val="00AC2B75"/>
    <w:rsid w:val="00AC2CF9"/>
    <w:rsid w:val="00AC47C6"/>
    <w:rsid w:val="00AC55B5"/>
    <w:rsid w:val="00AC67C8"/>
    <w:rsid w:val="00AC6AEE"/>
    <w:rsid w:val="00AC7626"/>
    <w:rsid w:val="00AC7A23"/>
    <w:rsid w:val="00AC7E38"/>
    <w:rsid w:val="00AD1298"/>
    <w:rsid w:val="00AD1CA4"/>
    <w:rsid w:val="00AD1F0A"/>
    <w:rsid w:val="00AD1FD1"/>
    <w:rsid w:val="00AD2506"/>
    <w:rsid w:val="00AD2FC1"/>
    <w:rsid w:val="00AD3427"/>
    <w:rsid w:val="00AD3578"/>
    <w:rsid w:val="00AD39E9"/>
    <w:rsid w:val="00AD3C2E"/>
    <w:rsid w:val="00AD4478"/>
    <w:rsid w:val="00AD4C90"/>
    <w:rsid w:val="00AD5663"/>
    <w:rsid w:val="00AD5D58"/>
    <w:rsid w:val="00AD641D"/>
    <w:rsid w:val="00AD6705"/>
    <w:rsid w:val="00AD6859"/>
    <w:rsid w:val="00AD74EF"/>
    <w:rsid w:val="00AD79CD"/>
    <w:rsid w:val="00AD7A4B"/>
    <w:rsid w:val="00AD7CE5"/>
    <w:rsid w:val="00AE02C3"/>
    <w:rsid w:val="00AE12F3"/>
    <w:rsid w:val="00AE1C8D"/>
    <w:rsid w:val="00AE1D78"/>
    <w:rsid w:val="00AE204D"/>
    <w:rsid w:val="00AE244C"/>
    <w:rsid w:val="00AE2596"/>
    <w:rsid w:val="00AE2B53"/>
    <w:rsid w:val="00AE3638"/>
    <w:rsid w:val="00AE391B"/>
    <w:rsid w:val="00AE3A43"/>
    <w:rsid w:val="00AE3CC6"/>
    <w:rsid w:val="00AE45A1"/>
    <w:rsid w:val="00AE61E3"/>
    <w:rsid w:val="00AE7C82"/>
    <w:rsid w:val="00AF0A7D"/>
    <w:rsid w:val="00AF0BA3"/>
    <w:rsid w:val="00AF1F85"/>
    <w:rsid w:val="00AF2005"/>
    <w:rsid w:val="00AF215A"/>
    <w:rsid w:val="00AF21CD"/>
    <w:rsid w:val="00AF25A0"/>
    <w:rsid w:val="00AF25CC"/>
    <w:rsid w:val="00AF2CB8"/>
    <w:rsid w:val="00AF367F"/>
    <w:rsid w:val="00AF3689"/>
    <w:rsid w:val="00AF4ED3"/>
    <w:rsid w:val="00AF4FE8"/>
    <w:rsid w:val="00AF50FA"/>
    <w:rsid w:val="00AF5511"/>
    <w:rsid w:val="00AF58C8"/>
    <w:rsid w:val="00AF60DC"/>
    <w:rsid w:val="00B00367"/>
    <w:rsid w:val="00B005E7"/>
    <w:rsid w:val="00B00C9B"/>
    <w:rsid w:val="00B0114F"/>
    <w:rsid w:val="00B01307"/>
    <w:rsid w:val="00B01424"/>
    <w:rsid w:val="00B027A9"/>
    <w:rsid w:val="00B02B06"/>
    <w:rsid w:val="00B0308E"/>
    <w:rsid w:val="00B03559"/>
    <w:rsid w:val="00B03C1A"/>
    <w:rsid w:val="00B04D08"/>
    <w:rsid w:val="00B0520B"/>
    <w:rsid w:val="00B0531A"/>
    <w:rsid w:val="00B05539"/>
    <w:rsid w:val="00B0569F"/>
    <w:rsid w:val="00B056D0"/>
    <w:rsid w:val="00B05C69"/>
    <w:rsid w:val="00B064D7"/>
    <w:rsid w:val="00B06564"/>
    <w:rsid w:val="00B067DB"/>
    <w:rsid w:val="00B0792A"/>
    <w:rsid w:val="00B10303"/>
    <w:rsid w:val="00B11718"/>
    <w:rsid w:val="00B11A58"/>
    <w:rsid w:val="00B121C4"/>
    <w:rsid w:val="00B127F9"/>
    <w:rsid w:val="00B12A03"/>
    <w:rsid w:val="00B13236"/>
    <w:rsid w:val="00B13EE3"/>
    <w:rsid w:val="00B14A5D"/>
    <w:rsid w:val="00B14E59"/>
    <w:rsid w:val="00B14E8E"/>
    <w:rsid w:val="00B1524D"/>
    <w:rsid w:val="00B16161"/>
    <w:rsid w:val="00B16F8F"/>
    <w:rsid w:val="00B16FC4"/>
    <w:rsid w:val="00B1710B"/>
    <w:rsid w:val="00B1716B"/>
    <w:rsid w:val="00B20244"/>
    <w:rsid w:val="00B22955"/>
    <w:rsid w:val="00B22E2D"/>
    <w:rsid w:val="00B232EF"/>
    <w:rsid w:val="00B2443B"/>
    <w:rsid w:val="00B2495F"/>
    <w:rsid w:val="00B24F1C"/>
    <w:rsid w:val="00B25BA2"/>
    <w:rsid w:val="00B25D75"/>
    <w:rsid w:val="00B2653F"/>
    <w:rsid w:val="00B272DD"/>
    <w:rsid w:val="00B30613"/>
    <w:rsid w:val="00B30B59"/>
    <w:rsid w:val="00B31386"/>
    <w:rsid w:val="00B33094"/>
    <w:rsid w:val="00B336AC"/>
    <w:rsid w:val="00B339AE"/>
    <w:rsid w:val="00B33C72"/>
    <w:rsid w:val="00B33DE7"/>
    <w:rsid w:val="00B350DC"/>
    <w:rsid w:val="00B35570"/>
    <w:rsid w:val="00B36F86"/>
    <w:rsid w:val="00B373B8"/>
    <w:rsid w:val="00B37F2F"/>
    <w:rsid w:val="00B4042B"/>
    <w:rsid w:val="00B407EC"/>
    <w:rsid w:val="00B412A0"/>
    <w:rsid w:val="00B41705"/>
    <w:rsid w:val="00B41B6B"/>
    <w:rsid w:val="00B41D9B"/>
    <w:rsid w:val="00B422BA"/>
    <w:rsid w:val="00B454BC"/>
    <w:rsid w:val="00B45AF7"/>
    <w:rsid w:val="00B46033"/>
    <w:rsid w:val="00B463A6"/>
    <w:rsid w:val="00B47156"/>
    <w:rsid w:val="00B475CF"/>
    <w:rsid w:val="00B477D3"/>
    <w:rsid w:val="00B47F1F"/>
    <w:rsid w:val="00B502CB"/>
    <w:rsid w:val="00B508AF"/>
    <w:rsid w:val="00B50C37"/>
    <w:rsid w:val="00B51501"/>
    <w:rsid w:val="00B52552"/>
    <w:rsid w:val="00B5258D"/>
    <w:rsid w:val="00B52694"/>
    <w:rsid w:val="00B5287A"/>
    <w:rsid w:val="00B53219"/>
    <w:rsid w:val="00B53AF6"/>
    <w:rsid w:val="00B53C7B"/>
    <w:rsid w:val="00B53EA1"/>
    <w:rsid w:val="00B54025"/>
    <w:rsid w:val="00B547D8"/>
    <w:rsid w:val="00B54C8A"/>
    <w:rsid w:val="00B55067"/>
    <w:rsid w:val="00B554FE"/>
    <w:rsid w:val="00B5571A"/>
    <w:rsid w:val="00B56CA1"/>
    <w:rsid w:val="00B56FB9"/>
    <w:rsid w:val="00B57151"/>
    <w:rsid w:val="00B57469"/>
    <w:rsid w:val="00B57785"/>
    <w:rsid w:val="00B57946"/>
    <w:rsid w:val="00B60664"/>
    <w:rsid w:val="00B61B7D"/>
    <w:rsid w:val="00B62CD7"/>
    <w:rsid w:val="00B62CDA"/>
    <w:rsid w:val="00B62D4D"/>
    <w:rsid w:val="00B633D6"/>
    <w:rsid w:val="00B6384C"/>
    <w:rsid w:val="00B63CB8"/>
    <w:rsid w:val="00B641C7"/>
    <w:rsid w:val="00B6440E"/>
    <w:rsid w:val="00B64995"/>
    <w:rsid w:val="00B652AD"/>
    <w:rsid w:val="00B653DF"/>
    <w:rsid w:val="00B65EC1"/>
    <w:rsid w:val="00B66CC5"/>
    <w:rsid w:val="00B67707"/>
    <w:rsid w:val="00B677C2"/>
    <w:rsid w:val="00B67ED0"/>
    <w:rsid w:val="00B709ED"/>
    <w:rsid w:val="00B70E1B"/>
    <w:rsid w:val="00B71DE0"/>
    <w:rsid w:val="00B72193"/>
    <w:rsid w:val="00B721A1"/>
    <w:rsid w:val="00B724E7"/>
    <w:rsid w:val="00B729B3"/>
    <w:rsid w:val="00B73888"/>
    <w:rsid w:val="00B764A7"/>
    <w:rsid w:val="00B766D9"/>
    <w:rsid w:val="00B76C8F"/>
    <w:rsid w:val="00B77DDC"/>
    <w:rsid w:val="00B77EBB"/>
    <w:rsid w:val="00B80798"/>
    <w:rsid w:val="00B80F94"/>
    <w:rsid w:val="00B821B9"/>
    <w:rsid w:val="00B82F83"/>
    <w:rsid w:val="00B8346A"/>
    <w:rsid w:val="00B8497B"/>
    <w:rsid w:val="00B85147"/>
    <w:rsid w:val="00B85B3F"/>
    <w:rsid w:val="00B86134"/>
    <w:rsid w:val="00B862F9"/>
    <w:rsid w:val="00B8668A"/>
    <w:rsid w:val="00B8715B"/>
    <w:rsid w:val="00B873D0"/>
    <w:rsid w:val="00B87572"/>
    <w:rsid w:val="00B9096F"/>
    <w:rsid w:val="00B90ED7"/>
    <w:rsid w:val="00B91260"/>
    <w:rsid w:val="00B91615"/>
    <w:rsid w:val="00B91EFC"/>
    <w:rsid w:val="00B9222C"/>
    <w:rsid w:val="00B923C7"/>
    <w:rsid w:val="00B92508"/>
    <w:rsid w:val="00B9264A"/>
    <w:rsid w:val="00B92654"/>
    <w:rsid w:val="00B93002"/>
    <w:rsid w:val="00B9354F"/>
    <w:rsid w:val="00B93727"/>
    <w:rsid w:val="00B94619"/>
    <w:rsid w:val="00B94AD7"/>
    <w:rsid w:val="00B94C7C"/>
    <w:rsid w:val="00B95D79"/>
    <w:rsid w:val="00B9608A"/>
    <w:rsid w:val="00B962E6"/>
    <w:rsid w:val="00B962F7"/>
    <w:rsid w:val="00B9630E"/>
    <w:rsid w:val="00B963FC"/>
    <w:rsid w:val="00B971E5"/>
    <w:rsid w:val="00B97B70"/>
    <w:rsid w:val="00BA01E8"/>
    <w:rsid w:val="00BA02B4"/>
    <w:rsid w:val="00BA0E66"/>
    <w:rsid w:val="00BA1537"/>
    <w:rsid w:val="00BA1D53"/>
    <w:rsid w:val="00BA20B3"/>
    <w:rsid w:val="00BA25B0"/>
    <w:rsid w:val="00BA2D7B"/>
    <w:rsid w:val="00BA2E21"/>
    <w:rsid w:val="00BA4319"/>
    <w:rsid w:val="00BA4CBF"/>
    <w:rsid w:val="00BA5290"/>
    <w:rsid w:val="00BA5D99"/>
    <w:rsid w:val="00BA616A"/>
    <w:rsid w:val="00BA677D"/>
    <w:rsid w:val="00BA69D7"/>
    <w:rsid w:val="00BA72BE"/>
    <w:rsid w:val="00BA7779"/>
    <w:rsid w:val="00BA7981"/>
    <w:rsid w:val="00BB08F7"/>
    <w:rsid w:val="00BB0DB1"/>
    <w:rsid w:val="00BB1C65"/>
    <w:rsid w:val="00BB2CA5"/>
    <w:rsid w:val="00BB2D0A"/>
    <w:rsid w:val="00BB385A"/>
    <w:rsid w:val="00BB4C47"/>
    <w:rsid w:val="00BB4FC8"/>
    <w:rsid w:val="00BB51C9"/>
    <w:rsid w:val="00BB6382"/>
    <w:rsid w:val="00BB680D"/>
    <w:rsid w:val="00BB73F5"/>
    <w:rsid w:val="00BB7D50"/>
    <w:rsid w:val="00BB7E4B"/>
    <w:rsid w:val="00BC06F1"/>
    <w:rsid w:val="00BC0E59"/>
    <w:rsid w:val="00BC1962"/>
    <w:rsid w:val="00BC1D37"/>
    <w:rsid w:val="00BC3CBA"/>
    <w:rsid w:val="00BC3FF5"/>
    <w:rsid w:val="00BC50B5"/>
    <w:rsid w:val="00BC553D"/>
    <w:rsid w:val="00BC5983"/>
    <w:rsid w:val="00BC5B5F"/>
    <w:rsid w:val="00BC5D81"/>
    <w:rsid w:val="00BC5DF7"/>
    <w:rsid w:val="00BC6BB1"/>
    <w:rsid w:val="00BC6D3E"/>
    <w:rsid w:val="00BC6D6D"/>
    <w:rsid w:val="00BC6EDE"/>
    <w:rsid w:val="00BC72FC"/>
    <w:rsid w:val="00BC737A"/>
    <w:rsid w:val="00BC7C56"/>
    <w:rsid w:val="00BC7CE5"/>
    <w:rsid w:val="00BD09E4"/>
    <w:rsid w:val="00BD0E02"/>
    <w:rsid w:val="00BD104B"/>
    <w:rsid w:val="00BD123F"/>
    <w:rsid w:val="00BD14CF"/>
    <w:rsid w:val="00BD1CEE"/>
    <w:rsid w:val="00BD28D1"/>
    <w:rsid w:val="00BD2F22"/>
    <w:rsid w:val="00BD38B4"/>
    <w:rsid w:val="00BD3C0F"/>
    <w:rsid w:val="00BD3CB0"/>
    <w:rsid w:val="00BD48E6"/>
    <w:rsid w:val="00BD56AD"/>
    <w:rsid w:val="00BD5A6A"/>
    <w:rsid w:val="00BD60F3"/>
    <w:rsid w:val="00BD65EF"/>
    <w:rsid w:val="00BE0D8B"/>
    <w:rsid w:val="00BE16C4"/>
    <w:rsid w:val="00BE1974"/>
    <w:rsid w:val="00BE1C05"/>
    <w:rsid w:val="00BE1E10"/>
    <w:rsid w:val="00BE2869"/>
    <w:rsid w:val="00BE2B2E"/>
    <w:rsid w:val="00BE364F"/>
    <w:rsid w:val="00BE3E35"/>
    <w:rsid w:val="00BE3EDD"/>
    <w:rsid w:val="00BE5A0A"/>
    <w:rsid w:val="00BE5F05"/>
    <w:rsid w:val="00BE623D"/>
    <w:rsid w:val="00BE6A94"/>
    <w:rsid w:val="00BE735E"/>
    <w:rsid w:val="00BE7B90"/>
    <w:rsid w:val="00BF065D"/>
    <w:rsid w:val="00BF09A1"/>
    <w:rsid w:val="00BF2719"/>
    <w:rsid w:val="00BF2D66"/>
    <w:rsid w:val="00BF32E6"/>
    <w:rsid w:val="00BF3C45"/>
    <w:rsid w:val="00BF472D"/>
    <w:rsid w:val="00BF5CC0"/>
    <w:rsid w:val="00BF7859"/>
    <w:rsid w:val="00C0007B"/>
    <w:rsid w:val="00C005AF"/>
    <w:rsid w:val="00C00AAA"/>
    <w:rsid w:val="00C01623"/>
    <w:rsid w:val="00C0164B"/>
    <w:rsid w:val="00C01A16"/>
    <w:rsid w:val="00C01A2B"/>
    <w:rsid w:val="00C028D9"/>
    <w:rsid w:val="00C03865"/>
    <w:rsid w:val="00C04C80"/>
    <w:rsid w:val="00C04FE1"/>
    <w:rsid w:val="00C056C1"/>
    <w:rsid w:val="00C057A4"/>
    <w:rsid w:val="00C05E6A"/>
    <w:rsid w:val="00C06B61"/>
    <w:rsid w:val="00C06C58"/>
    <w:rsid w:val="00C0700F"/>
    <w:rsid w:val="00C07725"/>
    <w:rsid w:val="00C07832"/>
    <w:rsid w:val="00C0784D"/>
    <w:rsid w:val="00C107C6"/>
    <w:rsid w:val="00C10F66"/>
    <w:rsid w:val="00C11F0B"/>
    <w:rsid w:val="00C12C48"/>
    <w:rsid w:val="00C13857"/>
    <w:rsid w:val="00C13FD1"/>
    <w:rsid w:val="00C14268"/>
    <w:rsid w:val="00C1446E"/>
    <w:rsid w:val="00C14788"/>
    <w:rsid w:val="00C147B2"/>
    <w:rsid w:val="00C14C8E"/>
    <w:rsid w:val="00C16229"/>
    <w:rsid w:val="00C16847"/>
    <w:rsid w:val="00C16850"/>
    <w:rsid w:val="00C16865"/>
    <w:rsid w:val="00C20CF5"/>
    <w:rsid w:val="00C20CFD"/>
    <w:rsid w:val="00C21A3C"/>
    <w:rsid w:val="00C224D0"/>
    <w:rsid w:val="00C22596"/>
    <w:rsid w:val="00C22EE1"/>
    <w:rsid w:val="00C23C2F"/>
    <w:rsid w:val="00C2591F"/>
    <w:rsid w:val="00C25D55"/>
    <w:rsid w:val="00C2687F"/>
    <w:rsid w:val="00C269F1"/>
    <w:rsid w:val="00C2713B"/>
    <w:rsid w:val="00C2765C"/>
    <w:rsid w:val="00C312F9"/>
    <w:rsid w:val="00C31428"/>
    <w:rsid w:val="00C334FF"/>
    <w:rsid w:val="00C34192"/>
    <w:rsid w:val="00C34286"/>
    <w:rsid w:val="00C3448C"/>
    <w:rsid w:val="00C3454E"/>
    <w:rsid w:val="00C345DA"/>
    <w:rsid w:val="00C3537F"/>
    <w:rsid w:val="00C36CA2"/>
    <w:rsid w:val="00C3741E"/>
    <w:rsid w:val="00C37C73"/>
    <w:rsid w:val="00C37D2B"/>
    <w:rsid w:val="00C40186"/>
    <w:rsid w:val="00C40AAF"/>
    <w:rsid w:val="00C41240"/>
    <w:rsid w:val="00C4170C"/>
    <w:rsid w:val="00C4183E"/>
    <w:rsid w:val="00C41BB6"/>
    <w:rsid w:val="00C41E2A"/>
    <w:rsid w:val="00C4209F"/>
    <w:rsid w:val="00C426E9"/>
    <w:rsid w:val="00C43BD1"/>
    <w:rsid w:val="00C44FB5"/>
    <w:rsid w:val="00C45D22"/>
    <w:rsid w:val="00C4662C"/>
    <w:rsid w:val="00C46686"/>
    <w:rsid w:val="00C47AB0"/>
    <w:rsid w:val="00C50025"/>
    <w:rsid w:val="00C50F73"/>
    <w:rsid w:val="00C51199"/>
    <w:rsid w:val="00C52927"/>
    <w:rsid w:val="00C52ACA"/>
    <w:rsid w:val="00C52C83"/>
    <w:rsid w:val="00C53050"/>
    <w:rsid w:val="00C535C8"/>
    <w:rsid w:val="00C547C3"/>
    <w:rsid w:val="00C55529"/>
    <w:rsid w:val="00C55690"/>
    <w:rsid w:val="00C55EB2"/>
    <w:rsid w:val="00C56089"/>
    <w:rsid w:val="00C564F1"/>
    <w:rsid w:val="00C57F8E"/>
    <w:rsid w:val="00C61133"/>
    <w:rsid w:val="00C620DA"/>
    <w:rsid w:val="00C63E1C"/>
    <w:rsid w:val="00C6431C"/>
    <w:rsid w:val="00C6461C"/>
    <w:rsid w:val="00C65EC1"/>
    <w:rsid w:val="00C660E7"/>
    <w:rsid w:val="00C6665C"/>
    <w:rsid w:val="00C66924"/>
    <w:rsid w:val="00C66C46"/>
    <w:rsid w:val="00C66F90"/>
    <w:rsid w:val="00C6708F"/>
    <w:rsid w:val="00C678C2"/>
    <w:rsid w:val="00C67CA2"/>
    <w:rsid w:val="00C70D96"/>
    <w:rsid w:val="00C70DBA"/>
    <w:rsid w:val="00C7235A"/>
    <w:rsid w:val="00C72A02"/>
    <w:rsid w:val="00C7376F"/>
    <w:rsid w:val="00C73FA6"/>
    <w:rsid w:val="00C741BA"/>
    <w:rsid w:val="00C74B2D"/>
    <w:rsid w:val="00C74CF6"/>
    <w:rsid w:val="00C74ECD"/>
    <w:rsid w:val="00C76A69"/>
    <w:rsid w:val="00C76D0F"/>
    <w:rsid w:val="00C7788A"/>
    <w:rsid w:val="00C8053B"/>
    <w:rsid w:val="00C80981"/>
    <w:rsid w:val="00C80A8A"/>
    <w:rsid w:val="00C80C86"/>
    <w:rsid w:val="00C81CD1"/>
    <w:rsid w:val="00C820D0"/>
    <w:rsid w:val="00C821EB"/>
    <w:rsid w:val="00C82602"/>
    <w:rsid w:val="00C82FE1"/>
    <w:rsid w:val="00C8311E"/>
    <w:rsid w:val="00C8342F"/>
    <w:rsid w:val="00C845F5"/>
    <w:rsid w:val="00C84622"/>
    <w:rsid w:val="00C849EB"/>
    <w:rsid w:val="00C84C9D"/>
    <w:rsid w:val="00C8527E"/>
    <w:rsid w:val="00C85BE5"/>
    <w:rsid w:val="00C860B6"/>
    <w:rsid w:val="00C86BBF"/>
    <w:rsid w:val="00C87182"/>
    <w:rsid w:val="00C8750C"/>
    <w:rsid w:val="00C87963"/>
    <w:rsid w:val="00C90084"/>
    <w:rsid w:val="00C90097"/>
    <w:rsid w:val="00C909BD"/>
    <w:rsid w:val="00C90AA0"/>
    <w:rsid w:val="00C913C2"/>
    <w:rsid w:val="00C926E3"/>
    <w:rsid w:val="00C92885"/>
    <w:rsid w:val="00C934DF"/>
    <w:rsid w:val="00C948EB"/>
    <w:rsid w:val="00C94D30"/>
    <w:rsid w:val="00C951AB"/>
    <w:rsid w:val="00C96F54"/>
    <w:rsid w:val="00C96F87"/>
    <w:rsid w:val="00C970A3"/>
    <w:rsid w:val="00C97169"/>
    <w:rsid w:val="00C9781F"/>
    <w:rsid w:val="00CA0C3E"/>
    <w:rsid w:val="00CA189F"/>
    <w:rsid w:val="00CA1A56"/>
    <w:rsid w:val="00CA28E8"/>
    <w:rsid w:val="00CA2D73"/>
    <w:rsid w:val="00CA31BD"/>
    <w:rsid w:val="00CA3202"/>
    <w:rsid w:val="00CA3AEE"/>
    <w:rsid w:val="00CA3E08"/>
    <w:rsid w:val="00CA442A"/>
    <w:rsid w:val="00CA4DCA"/>
    <w:rsid w:val="00CA4ECF"/>
    <w:rsid w:val="00CA50A9"/>
    <w:rsid w:val="00CA51A5"/>
    <w:rsid w:val="00CA5579"/>
    <w:rsid w:val="00CA5996"/>
    <w:rsid w:val="00CA5C81"/>
    <w:rsid w:val="00CA6388"/>
    <w:rsid w:val="00CA71E2"/>
    <w:rsid w:val="00CA7866"/>
    <w:rsid w:val="00CA789E"/>
    <w:rsid w:val="00CB01C8"/>
    <w:rsid w:val="00CB04D6"/>
    <w:rsid w:val="00CB069C"/>
    <w:rsid w:val="00CB12E1"/>
    <w:rsid w:val="00CB190E"/>
    <w:rsid w:val="00CB1FE5"/>
    <w:rsid w:val="00CB3015"/>
    <w:rsid w:val="00CB34E0"/>
    <w:rsid w:val="00CB3B6E"/>
    <w:rsid w:val="00CB5651"/>
    <w:rsid w:val="00CB60C8"/>
    <w:rsid w:val="00CB6A5F"/>
    <w:rsid w:val="00CB6AE5"/>
    <w:rsid w:val="00CB717A"/>
    <w:rsid w:val="00CB7379"/>
    <w:rsid w:val="00CB7502"/>
    <w:rsid w:val="00CB793B"/>
    <w:rsid w:val="00CB7A81"/>
    <w:rsid w:val="00CC03C0"/>
    <w:rsid w:val="00CC058D"/>
    <w:rsid w:val="00CC06F8"/>
    <w:rsid w:val="00CC1B29"/>
    <w:rsid w:val="00CC2A22"/>
    <w:rsid w:val="00CC2A2E"/>
    <w:rsid w:val="00CC3E6E"/>
    <w:rsid w:val="00CC49B9"/>
    <w:rsid w:val="00CC4AD6"/>
    <w:rsid w:val="00CC5157"/>
    <w:rsid w:val="00CC548C"/>
    <w:rsid w:val="00CC5704"/>
    <w:rsid w:val="00CC6086"/>
    <w:rsid w:val="00CC67F2"/>
    <w:rsid w:val="00CC7165"/>
    <w:rsid w:val="00CC7A38"/>
    <w:rsid w:val="00CD0FA8"/>
    <w:rsid w:val="00CD2BA6"/>
    <w:rsid w:val="00CD2E93"/>
    <w:rsid w:val="00CD3309"/>
    <w:rsid w:val="00CD35B4"/>
    <w:rsid w:val="00CD3619"/>
    <w:rsid w:val="00CD390C"/>
    <w:rsid w:val="00CD39A0"/>
    <w:rsid w:val="00CD4264"/>
    <w:rsid w:val="00CD4969"/>
    <w:rsid w:val="00CD5AB1"/>
    <w:rsid w:val="00CD5C63"/>
    <w:rsid w:val="00CD6B73"/>
    <w:rsid w:val="00CD7246"/>
    <w:rsid w:val="00CD7D81"/>
    <w:rsid w:val="00CE1744"/>
    <w:rsid w:val="00CE1846"/>
    <w:rsid w:val="00CE1B21"/>
    <w:rsid w:val="00CE2CA8"/>
    <w:rsid w:val="00CE2FBC"/>
    <w:rsid w:val="00CE30C5"/>
    <w:rsid w:val="00CE36DB"/>
    <w:rsid w:val="00CE373C"/>
    <w:rsid w:val="00CE5A5E"/>
    <w:rsid w:val="00CE5B76"/>
    <w:rsid w:val="00CE5B8D"/>
    <w:rsid w:val="00CE602B"/>
    <w:rsid w:val="00CE6246"/>
    <w:rsid w:val="00CE73BB"/>
    <w:rsid w:val="00CE7479"/>
    <w:rsid w:val="00CF012E"/>
    <w:rsid w:val="00CF0810"/>
    <w:rsid w:val="00CF0DF4"/>
    <w:rsid w:val="00CF1235"/>
    <w:rsid w:val="00CF1753"/>
    <w:rsid w:val="00CF2064"/>
    <w:rsid w:val="00CF2CBE"/>
    <w:rsid w:val="00CF3FC5"/>
    <w:rsid w:val="00CF46F1"/>
    <w:rsid w:val="00CF4AE0"/>
    <w:rsid w:val="00CF4CEB"/>
    <w:rsid w:val="00CF5967"/>
    <w:rsid w:val="00CF6858"/>
    <w:rsid w:val="00CF7CBA"/>
    <w:rsid w:val="00CF7DCF"/>
    <w:rsid w:val="00D00105"/>
    <w:rsid w:val="00D01032"/>
    <w:rsid w:val="00D01BAA"/>
    <w:rsid w:val="00D021D3"/>
    <w:rsid w:val="00D02621"/>
    <w:rsid w:val="00D03033"/>
    <w:rsid w:val="00D03605"/>
    <w:rsid w:val="00D037C1"/>
    <w:rsid w:val="00D04285"/>
    <w:rsid w:val="00D049DF"/>
    <w:rsid w:val="00D04A31"/>
    <w:rsid w:val="00D05177"/>
    <w:rsid w:val="00D052EF"/>
    <w:rsid w:val="00D05D73"/>
    <w:rsid w:val="00D05D94"/>
    <w:rsid w:val="00D05FB6"/>
    <w:rsid w:val="00D062C6"/>
    <w:rsid w:val="00D07EFF"/>
    <w:rsid w:val="00D10078"/>
    <w:rsid w:val="00D108EF"/>
    <w:rsid w:val="00D10C73"/>
    <w:rsid w:val="00D10F64"/>
    <w:rsid w:val="00D110EF"/>
    <w:rsid w:val="00D111BC"/>
    <w:rsid w:val="00D11701"/>
    <w:rsid w:val="00D11779"/>
    <w:rsid w:val="00D11F60"/>
    <w:rsid w:val="00D12915"/>
    <w:rsid w:val="00D12CD7"/>
    <w:rsid w:val="00D13B7F"/>
    <w:rsid w:val="00D13F63"/>
    <w:rsid w:val="00D15E41"/>
    <w:rsid w:val="00D15F95"/>
    <w:rsid w:val="00D16031"/>
    <w:rsid w:val="00D165F5"/>
    <w:rsid w:val="00D1746F"/>
    <w:rsid w:val="00D17676"/>
    <w:rsid w:val="00D200A8"/>
    <w:rsid w:val="00D200EC"/>
    <w:rsid w:val="00D202FE"/>
    <w:rsid w:val="00D20B9A"/>
    <w:rsid w:val="00D20DCB"/>
    <w:rsid w:val="00D2249C"/>
    <w:rsid w:val="00D22D33"/>
    <w:rsid w:val="00D23C43"/>
    <w:rsid w:val="00D23DF9"/>
    <w:rsid w:val="00D23EFE"/>
    <w:rsid w:val="00D256D9"/>
    <w:rsid w:val="00D25973"/>
    <w:rsid w:val="00D263E5"/>
    <w:rsid w:val="00D26FDD"/>
    <w:rsid w:val="00D27333"/>
    <w:rsid w:val="00D27366"/>
    <w:rsid w:val="00D3001B"/>
    <w:rsid w:val="00D30A04"/>
    <w:rsid w:val="00D310C7"/>
    <w:rsid w:val="00D310C9"/>
    <w:rsid w:val="00D3117E"/>
    <w:rsid w:val="00D32A9E"/>
    <w:rsid w:val="00D3309F"/>
    <w:rsid w:val="00D34743"/>
    <w:rsid w:val="00D36F5C"/>
    <w:rsid w:val="00D37071"/>
    <w:rsid w:val="00D372F7"/>
    <w:rsid w:val="00D37C00"/>
    <w:rsid w:val="00D37D67"/>
    <w:rsid w:val="00D40069"/>
    <w:rsid w:val="00D405E4"/>
    <w:rsid w:val="00D413B7"/>
    <w:rsid w:val="00D41488"/>
    <w:rsid w:val="00D41D5A"/>
    <w:rsid w:val="00D41E67"/>
    <w:rsid w:val="00D42271"/>
    <w:rsid w:val="00D4268E"/>
    <w:rsid w:val="00D43BEF"/>
    <w:rsid w:val="00D44635"/>
    <w:rsid w:val="00D44A95"/>
    <w:rsid w:val="00D44F60"/>
    <w:rsid w:val="00D45624"/>
    <w:rsid w:val="00D45C8C"/>
    <w:rsid w:val="00D46086"/>
    <w:rsid w:val="00D46449"/>
    <w:rsid w:val="00D466EC"/>
    <w:rsid w:val="00D46F00"/>
    <w:rsid w:val="00D47502"/>
    <w:rsid w:val="00D47550"/>
    <w:rsid w:val="00D50260"/>
    <w:rsid w:val="00D505ED"/>
    <w:rsid w:val="00D5108C"/>
    <w:rsid w:val="00D5193A"/>
    <w:rsid w:val="00D51B08"/>
    <w:rsid w:val="00D51E6D"/>
    <w:rsid w:val="00D51F2A"/>
    <w:rsid w:val="00D52C44"/>
    <w:rsid w:val="00D537E9"/>
    <w:rsid w:val="00D54258"/>
    <w:rsid w:val="00D546ED"/>
    <w:rsid w:val="00D54987"/>
    <w:rsid w:val="00D55433"/>
    <w:rsid w:val="00D555FA"/>
    <w:rsid w:val="00D5665D"/>
    <w:rsid w:val="00D6005C"/>
    <w:rsid w:val="00D603F4"/>
    <w:rsid w:val="00D604FD"/>
    <w:rsid w:val="00D607B3"/>
    <w:rsid w:val="00D61410"/>
    <w:rsid w:val="00D61679"/>
    <w:rsid w:val="00D617E6"/>
    <w:rsid w:val="00D6224C"/>
    <w:rsid w:val="00D64213"/>
    <w:rsid w:val="00D64B14"/>
    <w:rsid w:val="00D65B52"/>
    <w:rsid w:val="00D65CF7"/>
    <w:rsid w:val="00D67338"/>
    <w:rsid w:val="00D70112"/>
    <w:rsid w:val="00D70F24"/>
    <w:rsid w:val="00D71142"/>
    <w:rsid w:val="00D71443"/>
    <w:rsid w:val="00D71498"/>
    <w:rsid w:val="00D71B7D"/>
    <w:rsid w:val="00D71F30"/>
    <w:rsid w:val="00D71FB1"/>
    <w:rsid w:val="00D725A3"/>
    <w:rsid w:val="00D727CD"/>
    <w:rsid w:val="00D7448A"/>
    <w:rsid w:val="00D744F4"/>
    <w:rsid w:val="00D751E5"/>
    <w:rsid w:val="00D75638"/>
    <w:rsid w:val="00D7588D"/>
    <w:rsid w:val="00D75966"/>
    <w:rsid w:val="00D76238"/>
    <w:rsid w:val="00D7736A"/>
    <w:rsid w:val="00D773DB"/>
    <w:rsid w:val="00D77E3C"/>
    <w:rsid w:val="00D81729"/>
    <w:rsid w:val="00D81CAA"/>
    <w:rsid w:val="00D81E8B"/>
    <w:rsid w:val="00D82208"/>
    <w:rsid w:val="00D82BE4"/>
    <w:rsid w:val="00D836A3"/>
    <w:rsid w:val="00D83829"/>
    <w:rsid w:val="00D842E0"/>
    <w:rsid w:val="00D8439A"/>
    <w:rsid w:val="00D8483F"/>
    <w:rsid w:val="00D8535E"/>
    <w:rsid w:val="00D8538A"/>
    <w:rsid w:val="00D85BD8"/>
    <w:rsid w:val="00D86045"/>
    <w:rsid w:val="00D87A41"/>
    <w:rsid w:val="00D87E71"/>
    <w:rsid w:val="00D916CC"/>
    <w:rsid w:val="00D93026"/>
    <w:rsid w:val="00D93051"/>
    <w:rsid w:val="00D93483"/>
    <w:rsid w:val="00D93C48"/>
    <w:rsid w:val="00D9425B"/>
    <w:rsid w:val="00D94676"/>
    <w:rsid w:val="00D95ACA"/>
    <w:rsid w:val="00D9625D"/>
    <w:rsid w:val="00D96F1D"/>
    <w:rsid w:val="00DA0547"/>
    <w:rsid w:val="00DA100D"/>
    <w:rsid w:val="00DA300A"/>
    <w:rsid w:val="00DA3029"/>
    <w:rsid w:val="00DA3D0B"/>
    <w:rsid w:val="00DA408F"/>
    <w:rsid w:val="00DA4235"/>
    <w:rsid w:val="00DA5509"/>
    <w:rsid w:val="00DA5AA4"/>
    <w:rsid w:val="00DA612B"/>
    <w:rsid w:val="00DA70B1"/>
    <w:rsid w:val="00DA7534"/>
    <w:rsid w:val="00DA7AE1"/>
    <w:rsid w:val="00DB02DB"/>
    <w:rsid w:val="00DB0536"/>
    <w:rsid w:val="00DB08DD"/>
    <w:rsid w:val="00DB109A"/>
    <w:rsid w:val="00DB1263"/>
    <w:rsid w:val="00DB14AE"/>
    <w:rsid w:val="00DB197D"/>
    <w:rsid w:val="00DB20A2"/>
    <w:rsid w:val="00DB351A"/>
    <w:rsid w:val="00DB35A7"/>
    <w:rsid w:val="00DB4B57"/>
    <w:rsid w:val="00DB53B0"/>
    <w:rsid w:val="00DB54A0"/>
    <w:rsid w:val="00DB5728"/>
    <w:rsid w:val="00DB5B52"/>
    <w:rsid w:val="00DB64C7"/>
    <w:rsid w:val="00DB6D93"/>
    <w:rsid w:val="00DB76C7"/>
    <w:rsid w:val="00DB7778"/>
    <w:rsid w:val="00DB7BAB"/>
    <w:rsid w:val="00DB7D5C"/>
    <w:rsid w:val="00DC053F"/>
    <w:rsid w:val="00DC0789"/>
    <w:rsid w:val="00DC0A3D"/>
    <w:rsid w:val="00DC18FE"/>
    <w:rsid w:val="00DC1F2E"/>
    <w:rsid w:val="00DC26E7"/>
    <w:rsid w:val="00DC2A61"/>
    <w:rsid w:val="00DC3F62"/>
    <w:rsid w:val="00DC44D4"/>
    <w:rsid w:val="00DC4E84"/>
    <w:rsid w:val="00DC4F39"/>
    <w:rsid w:val="00DC5AA1"/>
    <w:rsid w:val="00DC5D51"/>
    <w:rsid w:val="00DC5EEB"/>
    <w:rsid w:val="00DC5F7C"/>
    <w:rsid w:val="00DC6404"/>
    <w:rsid w:val="00DC7DCC"/>
    <w:rsid w:val="00DC7F77"/>
    <w:rsid w:val="00DD01E9"/>
    <w:rsid w:val="00DD112D"/>
    <w:rsid w:val="00DD1392"/>
    <w:rsid w:val="00DD2431"/>
    <w:rsid w:val="00DD3014"/>
    <w:rsid w:val="00DD345B"/>
    <w:rsid w:val="00DD3A58"/>
    <w:rsid w:val="00DD4722"/>
    <w:rsid w:val="00DD4AA1"/>
    <w:rsid w:val="00DD4BEA"/>
    <w:rsid w:val="00DD5310"/>
    <w:rsid w:val="00DD538A"/>
    <w:rsid w:val="00DD5D43"/>
    <w:rsid w:val="00DD5FE9"/>
    <w:rsid w:val="00DD630F"/>
    <w:rsid w:val="00DE04AB"/>
    <w:rsid w:val="00DE0734"/>
    <w:rsid w:val="00DE0A24"/>
    <w:rsid w:val="00DE0C0C"/>
    <w:rsid w:val="00DE0C1E"/>
    <w:rsid w:val="00DE1ACF"/>
    <w:rsid w:val="00DE27E1"/>
    <w:rsid w:val="00DE2907"/>
    <w:rsid w:val="00DE3BA1"/>
    <w:rsid w:val="00DE5201"/>
    <w:rsid w:val="00DE5518"/>
    <w:rsid w:val="00DE581F"/>
    <w:rsid w:val="00DE762D"/>
    <w:rsid w:val="00DE7CE2"/>
    <w:rsid w:val="00DF0C4D"/>
    <w:rsid w:val="00DF109E"/>
    <w:rsid w:val="00DF12A1"/>
    <w:rsid w:val="00DF15BB"/>
    <w:rsid w:val="00DF1969"/>
    <w:rsid w:val="00DF1F5E"/>
    <w:rsid w:val="00DF25CC"/>
    <w:rsid w:val="00DF2A8F"/>
    <w:rsid w:val="00DF358A"/>
    <w:rsid w:val="00DF431C"/>
    <w:rsid w:val="00DF5380"/>
    <w:rsid w:val="00DF5862"/>
    <w:rsid w:val="00DF592F"/>
    <w:rsid w:val="00DF61E3"/>
    <w:rsid w:val="00DF66E8"/>
    <w:rsid w:val="00DF700F"/>
    <w:rsid w:val="00DF7121"/>
    <w:rsid w:val="00DF73E7"/>
    <w:rsid w:val="00E0032C"/>
    <w:rsid w:val="00E00921"/>
    <w:rsid w:val="00E00EAD"/>
    <w:rsid w:val="00E01029"/>
    <w:rsid w:val="00E01738"/>
    <w:rsid w:val="00E0275D"/>
    <w:rsid w:val="00E028A4"/>
    <w:rsid w:val="00E02CF4"/>
    <w:rsid w:val="00E02FCD"/>
    <w:rsid w:val="00E03B22"/>
    <w:rsid w:val="00E042AE"/>
    <w:rsid w:val="00E04D32"/>
    <w:rsid w:val="00E04F19"/>
    <w:rsid w:val="00E052BA"/>
    <w:rsid w:val="00E05D8E"/>
    <w:rsid w:val="00E06F52"/>
    <w:rsid w:val="00E07029"/>
    <w:rsid w:val="00E1047D"/>
    <w:rsid w:val="00E1070D"/>
    <w:rsid w:val="00E1096F"/>
    <w:rsid w:val="00E11360"/>
    <w:rsid w:val="00E115B5"/>
    <w:rsid w:val="00E118ED"/>
    <w:rsid w:val="00E118FD"/>
    <w:rsid w:val="00E11B5A"/>
    <w:rsid w:val="00E1279A"/>
    <w:rsid w:val="00E12B1C"/>
    <w:rsid w:val="00E12C8F"/>
    <w:rsid w:val="00E144F0"/>
    <w:rsid w:val="00E146C4"/>
    <w:rsid w:val="00E14753"/>
    <w:rsid w:val="00E148B9"/>
    <w:rsid w:val="00E14A32"/>
    <w:rsid w:val="00E15B40"/>
    <w:rsid w:val="00E15FA1"/>
    <w:rsid w:val="00E163AA"/>
    <w:rsid w:val="00E16E0B"/>
    <w:rsid w:val="00E16EC1"/>
    <w:rsid w:val="00E16F55"/>
    <w:rsid w:val="00E175F2"/>
    <w:rsid w:val="00E1773E"/>
    <w:rsid w:val="00E17919"/>
    <w:rsid w:val="00E20F18"/>
    <w:rsid w:val="00E21058"/>
    <w:rsid w:val="00E21393"/>
    <w:rsid w:val="00E226BC"/>
    <w:rsid w:val="00E22D1A"/>
    <w:rsid w:val="00E22E64"/>
    <w:rsid w:val="00E23729"/>
    <w:rsid w:val="00E2496F"/>
    <w:rsid w:val="00E25DD7"/>
    <w:rsid w:val="00E268F2"/>
    <w:rsid w:val="00E26D7E"/>
    <w:rsid w:val="00E27373"/>
    <w:rsid w:val="00E27A25"/>
    <w:rsid w:val="00E27B34"/>
    <w:rsid w:val="00E27EC3"/>
    <w:rsid w:val="00E303A7"/>
    <w:rsid w:val="00E32332"/>
    <w:rsid w:val="00E330C8"/>
    <w:rsid w:val="00E33668"/>
    <w:rsid w:val="00E3389F"/>
    <w:rsid w:val="00E33902"/>
    <w:rsid w:val="00E34491"/>
    <w:rsid w:val="00E3551C"/>
    <w:rsid w:val="00E36474"/>
    <w:rsid w:val="00E37290"/>
    <w:rsid w:val="00E37D49"/>
    <w:rsid w:val="00E41014"/>
    <w:rsid w:val="00E413EC"/>
    <w:rsid w:val="00E42054"/>
    <w:rsid w:val="00E42773"/>
    <w:rsid w:val="00E4278E"/>
    <w:rsid w:val="00E436EC"/>
    <w:rsid w:val="00E4394C"/>
    <w:rsid w:val="00E44454"/>
    <w:rsid w:val="00E44DC8"/>
    <w:rsid w:val="00E45125"/>
    <w:rsid w:val="00E451CA"/>
    <w:rsid w:val="00E47056"/>
    <w:rsid w:val="00E47A17"/>
    <w:rsid w:val="00E47C9C"/>
    <w:rsid w:val="00E50A09"/>
    <w:rsid w:val="00E50ED4"/>
    <w:rsid w:val="00E5101F"/>
    <w:rsid w:val="00E516F3"/>
    <w:rsid w:val="00E5247E"/>
    <w:rsid w:val="00E53617"/>
    <w:rsid w:val="00E53692"/>
    <w:rsid w:val="00E53E56"/>
    <w:rsid w:val="00E54440"/>
    <w:rsid w:val="00E54B87"/>
    <w:rsid w:val="00E5531A"/>
    <w:rsid w:val="00E55A13"/>
    <w:rsid w:val="00E55C20"/>
    <w:rsid w:val="00E55CFC"/>
    <w:rsid w:val="00E56705"/>
    <w:rsid w:val="00E5679C"/>
    <w:rsid w:val="00E57291"/>
    <w:rsid w:val="00E572B7"/>
    <w:rsid w:val="00E578E8"/>
    <w:rsid w:val="00E62206"/>
    <w:rsid w:val="00E62605"/>
    <w:rsid w:val="00E63733"/>
    <w:rsid w:val="00E63DB3"/>
    <w:rsid w:val="00E640A6"/>
    <w:rsid w:val="00E64B96"/>
    <w:rsid w:val="00E64F6D"/>
    <w:rsid w:val="00E65FA4"/>
    <w:rsid w:val="00E66B23"/>
    <w:rsid w:val="00E66D65"/>
    <w:rsid w:val="00E6734E"/>
    <w:rsid w:val="00E67CE7"/>
    <w:rsid w:val="00E702EE"/>
    <w:rsid w:val="00E708FE"/>
    <w:rsid w:val="00E7104A"/>
    <w:rsid w:val="00E72B81"/>
    <w:rsid w:val="00E74303"/>
    <w:rsid w:val="00E74539"/>
    <w:rsid w:val="00E74876"/>
    <w:rsid w:val="00E7521B"/>
    <w:rsid w:val="00E75B20"/>
    <w:rsid w:val="00E75D16"/>
    <w:rsid w:val="00E763C8"/>
    <w:rsid w:val="00E765CD"/>
    <w:rsid w:val="00E76DEE"/>
    <w:rsid w:val="00E77006"/>
    <w:rsid w:val="00E77800"/>
    <w:rsid w:val="00E805A2"/>
    <w:rsid w:val="00E80653"/>
    <w:rsid w:val="00E80E50"/>
    <w:rsid w:val="00E81A6E"/>
    <w:rsid w:val="00E824CE"/>
    <w:rsid w:val="00E8297A"/>
    <w:rsid w:val="00E82C15"/>
    <w:rsid w:val="00E82E92"/>
    <w:rsid w:val="00E83127"/>
    <w:rsid w:val="00E8340C"/>
    <w:rsid w:val="00E83883"/>
    <w:rsid w:val="00E84862"/>
    <w:rsid w:val="00E85564"/>
    <w:rsid w:val="00E85D3B"/>
    <w:rsid w:val="00E86073"/>
    <w:rsid w:val="00E86C66"/>
    <w:rsid w:val="00E86DA5"/>
    <w:rsid w:val="00E87118"/>
    <w:rsid w:val="00E87E04"/>
    <w:rsid w:val="00E901C6"/>
    <w:rsid w:val="00E90680"/>
    <w:rsid w:val="00E90E38"/>
    <w:rsid w:val="00E9138E"/>
    <w:rsid w:val="00E91A23"/>
    <w:rsid w:val="00E920ED"/>
    <w:rsid w:val="00E924B4"/>
    <w:rsid w:val="00E93549"/>
    <w:rsid w:val="00E93ADC"/>
    <w:rsid w:val="00E941AA"/>
    <w:rsid w:val="00E941FF"/>
    <w:rsid w:val="00E944E3"/>
    <w:rsid w:val="00E94A37"/>
    <w:rsid w:val="00E954CE"/>
    <w:rsid w:val="00E957DE"/>
    <w:rsid w:val="00E9642D"/>
    <w:rsid w:val="00E96B83"/>
    <w:rsid w:val="00E97758"/>
    <w:rsid w:val="00EA02C4"/>
    <w:rsid w:val="00EA04A9"/>
    <w:rsid w:val="00EA08C3"/>
    <w:rsid w:val="00EA0A32"/>
    <w:rsid w:val="00EA0A58"/>
    <w:rsid w:val="00EA170B"/>
    <w:rsid w:val="00EA284A"/>
    <w:rsid w:val="00EA29DD"/>
    <w:rsid w:val="00EA2B5C"/>
    <w:rsid w:val="00EA2DB4"/>
    <w:rsid w:val="00EA2E97"/>
    <w:rsid w:val="00EA2FBC"/>
    <w:rsid w:val="00EA2FBD"/>
    <w:rsid w:val="00EA3125"/>
    <w:rsid w:val="00EA36E0"/>
    <w:rsid w:val="00EA4D8E"/>
    <w:rsid w:val="00EA6422"/>
    <w:rsid w:val="00EA6954"/>
    <w:rsid w:val="00EA69C5"/>
    <w:rsid w:val="00EA6B2A"/>
    <w:rsid w:val="00EA6C26"/>
    <w:rsid w:val="00EA7330"/>
    <w:rsid w:val="00EB073A"/>
    <w:rsid w:val="00EB097D"/>
    <w:rsid w:val="00EB1E3F"/>
    <w:rsid w:val="00EB1F94"/>
    <w:rsid w:val="00EB2B4F"/>
    <w:rsid w:val="00EB2BCC"/>
    <w:rsid w:val="00EB2E96"/>
    <w:rsid w:val="00EB4DDF"/>
    <w:rsid w:val="00EB5753"/>
    <w:rsid w:val="00EB67A6"/>
    <w:rsid w:val="00EB6FB9"/>
    <w:rsid w:val="00EB703C"/>
    <w:rsid w:val="00EB720B"/>
    <w:rsid w:val="00EB78DF"/>
    <w:rsid w:val="00EC03B1"/>
    <w:rsid w:val="00EC109E"/>
    <w:rsid w:val="00EC2995"/>
    <w:rsid w:val="00EC2BBF"/>
    <w:rsid w:val="00EC39A0"/>
    <w:rsid w:val="00EC39F6"/>
    <w:rsid w:val="00EC4B71"/>
    <w:rsid w:val="00EC4BAD"/>
    <w:rsid w:val="00EC5C6A"/>
    <w:rsid w:val="00EC6A65"/>
    <w:rsid w:val="00EC6E16"/>
    <w:rsid w:val="00EC6EB4"/>
    <w:rsid w:val="00EC7489"/>
    <w:rsid w:val="00EC7809"/>
    <w:rsid w:val="00ED0404"/>
    <w:rsid w:val="00ED0673"/>
    <w:rsid w:val="00ED0985"/>
    <w:rsid w:val="00ED15FE"/>
    <w:rsid w:val="00ED19F4"/>
    <w:rsid w:val="00ED1A4D"/>
    <w:rsid w:val="00ED1B0F"/>
    <w:rsid w:val="00ED20C6"/>
    <w:rsid w:val="00ED227F"/>
    <w:rsid w:val="00ED2891"/>
    <w:rsid w:val="00ED2AD8"/>
    <w:rsid w:val="00ED2E90"/>
    <w:rsid w:val="00ED3334"/>
    <w:rsid w:val="00ED38B3"/>
    <w:rsid w:val="00ED474F"/>
    <w:rsid w:val="00ED5387"/>
    <w:rsid w:val="00ED5F0F"/>
    <w:rsid w:val="00ED60A8"/>
    <w:rsid w:val="00ED61E6"/>
    <w:rsid w:val="00ED6303"/>
    <w:rsid w:val="00ED6E74"/>
    <w:rsid w:val="00ED6F25"/>
    <w:rsid w:val="00EE0391"/>
    <w:rsid w:val="00EE15A1"/>
    <w:rsid w:val="00EE2819"/>
    <w:rsid w:val="00EE2DF5"/>
    <w:rsid w:val="00EE34B2"/>
    <w:rsid w:val="00EE3649"/>
    <w:rsid w:val="00EE4DF2"/>
    <w:rsid w:val="00EE513A"/>
    <w:rsid w:val="00EE56B8"/>
    <w:rsid w:val="00EE5F92"/>
    <w:rsid w:val="00EE6DD8"/>
    <w:rsid w:val="00EE7B0E"/>
    <w:rsid w:val="00EE7E8C"/>
    <w:rsid w:val="00EF01E6"/>
    <w:rsid w:val="00EF1482"/>
    <w:rsid w:val="00EF14B3"/>
    <w:rsid w:val="00EF2474"/>
    <w:rsid w:val="00EF25E8"/>
    <w:rsid w:val="00EF3289"/>
    <w:rsid w:val="00EF33A9"/>
    <w:rsid w:val="00EF3D21"/>
    <w:rsid w:val="00EF4002"/>
    <w:rsid w:val="00EF4E6A"/>
    <w:rsid w:val="00EF4FE7"/>
    <w:rsid w:val="00EF5916"/>
    <w:rsid w:val="00EF59A1"/>
    <w:rsid w:val="00EF6538"/>
    <w:rsid w:val="00EF6CA0"/>
    <w:rsid w:val="00EF7F2E"/>
    <w:rsid w:val="00F00155"/>
    <w:rsid w:val="00F01C8A"/>
    <w:rsid w:val="00F0249C"/>
    <w:rsid w:val="00F02A64"/>
    <w:rsid w:val="00F03704"/>
    <w:rsid w:val="00F041FD"/>
    <w:rsid w:val="00F043A8"/>
    <w:rsid w:val="00F04A86"/>
    <w:rsid w:val="00F05B2A"/>
    <w:rsid w:val="00F07ACA"/>
    <w:rsid w:val="00F10AF7"/>
    <w:rsid w:val="00F10F4A"/>
    <w:rsid w:val="00F11507"/>
    <w:rsid w:val="00F11953"/>
    <w:rsid w:val="00F126F6"/>
    <w:rsid w:val="00F132BC"/>
    <w:rsid w:val="00F13AEA"/>
    <w:rsid w:val="00F1479A"/>
    <w:rsid w:val="00F15005"/>
    <w:rsid w:val="00F16244"/>
    <w:rsid w:val="00F16FC9"/>
    <w:rsid w:val="00F17D3D"/>
    <w:rsid w:val="00F2140D"/>
    <w:rsid w:val="00F2242E"/>
    <w:rsid w:val="00F22603"/>
    <w:rsid w:val="00F235C1"/>
    <w:rsid w:val="00F23679"/>
    <w:rsid w:val="00F23C27"/>
    <w:rsid w:val="00F243AD"/>
    <w:rsid w:val="00F24662"/>
    <w:rsid w:val="00F250CA"/>
    <w:rsid w:val="00F254B6"/>
    <w:rsid w:val="00F25950"/>
    <w:rsid w:val="00F260F7"/>
    <w:rsid w:val="00F26333"/>
    <w:rsid w:val="00F26FD3"/>
    <w:rsid w:val="00F27475"/>
    <w:rsid w:val="00F27BA0"/>
    <w:rsid w:val="00F307B6"/>
    <w:rsid w:val="00F31150"/>
    <w:rsid w:val="00F31428"/>
    <w:rsid w:val="00F31FBA"/>
    <w:rsid w:val="00F3457B"/>
    <w:rsid w:val="00F35BAB"/>
    <w:rsid w:val="00F35C3E"/>
    <w:rsid w:val="00F35FB1"/>
    <w:rsid w:val="00F36374"/>
    <w:rsid w:val="00F36FAA"/>
    <w:rsid w:val="00F3750A"/>
    <w:rsid w:val="00F375F9"/>
    <w:rsid w:val="00F408F2"/>
    <w:rsid w:val="00F40A30"/>
    <w:rsid w:val="00F413C1"/>
    <w:rsid w:val="00F41417"/>
    <w:rsid w:val="00F424C1"/>
    <w:rsid w:val="00F434A4"/>
    <w:rsid w:val="00F44132"/>
    <w:rsid w:val="00F446CF"/>
    <w:rsid w:val="00F447C8"/>
    <w:rsid w:val="00F4505A"/>
    <w:rsid w:val="00F45506"/>
    <w:rsid w:val="00F475AB"/>
    <w:rsid w:val="00F47A4A"/>
    <w:rsid w:val="00F50DAD"/>
    <w:rsid w:val="00F51148"/>
    <w:rsid w:val="00F5120B"/>
    <w:rsid w:val="00F51325"/>
    <w:rsid w:val="00F51768"/>
    <w:rsid w:val="00F518D6"/>
    <w:rsid w:val="00F5276F"/>
    <w:rsid w:val="00F53976"/>
    <w:rsid w:val="00F54438"/>
    <w:rsid w:val="00F55A2B"/>
    <w:rsid w:val="00F55F78"/>
    <w:rsid w:val="00F56B3A"/>
    <w:rsid w:val="00F56CB8"/>
    <w:rsid w:val="00F56DDB"/>
    <w:rsid w:val="00F574E6"/>
    <w:rsid w:val="00F578E5"/>
    <w:rsid w:val="00F60559"/>
    <w:rsid w:val="00F60EBF"/>
    <w:rsid w:val="00F61D54"/>
    <w:rsid w:val="00F61DAA"/>
    <w:rsid w:val="00F62A86"/>
    <w:rsid w:val="00F63429"/>
    <w:rsid w:val="00F635BC"/>
    <w:rsid w:val="00F6364D"/>
    <w:rsid w:val="00F6434A"/>
    <w:rsid w:val="00F64394"/>
    <w:rsid w:val="00F64D74"/>
    <w:rsid w:val="00F65433"/>
    <w:rsid w:val="00F65B03"/>
    <w:rsid w:val="00F669DD"/>
    <w:rsid w:val="00F66CB9"/>
    <w:rsid w:val="00F67831"/>
    <w:rsid w:val="00F70BB3"/>
    <w:rsid w:val="00F70D10"/>
    <w:rsid w:val="00F711D0"/>
    <w:rsid w:val="00F72E42"/>
    <w:rsid w:val="00F730D7"/>
    <w:rsid w:val="00F739C7"/>
    <w:rsid w:val="00F73FFF"/>
    <w:rsid w:val="00F75617"/>
    <w:rsid w:val="00F8047F"/>
    <w:rsid w:val="00F80C57"/>
    <w:rsid w:val="00F81048"/>
    <w:rsid w:val="00F813F8"/>
    <w:rsid w:val="00F823D9"/>
    <w:rsid w:val="00F82701"/>
    <w:rsid w:val="00F82B35"/>
    <w:rsid w:val="00F82C40"/>
    <w:rsid w:val="00F82E6F"/>
    <w:rsid w:val="00F83AF3"/>
    <w:rsid w:val="00F83D30"/>
    <w:rsid w:val="00F84076"/>
    <w:rsid w:val="00F84993"/>
    <w:rsid w:val="00F85211"/>
    <w:rsid w:val="00F85E57"/>
    <w:rsid w:val="00F85F1A"/>
    <w:rsid w:val="00F860F4"/>
    <w:rsid w:val="00F86117"/>
    <w:rsid w:val="00F86477"/>
    <w:rsid w:val="00F871A2"/>
    <w:rsid w:val="00F87261"/>
    <w:rsid w:val="00F90B74"/>
    <w:rsid w:val="00F90D6F"/>
    <w:rsid w:val="00F922B5"/>
    <w:rsid w:val="00F93C9D"/>
    <w:rsid w:val="00F948B2"/>
    <w:rsid w:val="00F94A44"/>
    <w:rsid w:val="00F94D38"/>
    <w:rsid w:val="00F95832"/>
    <w:rsid w:val="00F95C8C"/>
    <w:rsid w:val="00F95CF4"/>
    <w:rsid w:val="00F964C7"/>
    <w:rsid w:val="00F971B2"/>
    <w:rsid w:val="00F974DA"/>
    <w:rsid w:val="00F97930"/>
    <w:rsid w:val="00FA0394"/>
    <w:rsid w:val="00FA08C7"/>
    <w:rsid w:val="00FA09F3"/>
    <w:rsid w:val="00FA0D52"/>
    <w:rsid w:val="00FA302B"/>
    <w:rsid w:val="00FA30D4"/>
    <w:rsid w:val="00FA3215"/>
    <w:rsid w:val="00FA3995"/>
    <w:rsid w:val="00FA39EE"/>
    <w:rsid w:val="00FA49F5"/>
    <w:rsid w:val="00FA4B17"/>
    <w:rsid w:val="00FA66DC"/>
    <w:rsid w:val="00FA69ED"/>
    <w:rsid w:val="00FA7EFB"/>
    <w:rsid w:val="00FB02B2"/>
    <w:rsid w:val="00FB106E"/>
    <w:rsid w:val="00FB201E"/>
    <w:rsid w:val="00FB27A3"/>
    <w:rsid w:val="00FB37ED"/>
    <w:rsid w:val="00FB3BD4"/>
    <w:rsid w:val="00FB4F23"/>
    <w:rsid w:val="00FB4F64"/>
    <w:rsid w:val="00FB618D"/>
    <w:rsid w:val="00FB71F9"/>
    <w:rsid w:val="00FB7759"/>
    <w:rsid w:val="00FC0D90"/>
    <w:rsid w:val="00FC12CC"/>
    <w:rsid w:val="00FC1DC2"/>
    <w:rsid w:val="00FC3F5D"/>
    <w:rsid w:val="00FC5CA7"/>
    <w:rsid w:val="00FC5EDD"/>
    <w:rsid w:val="00FC6D20"/>
    <w:rsid w:val="00FC7840"/>
    <w:rsid w:val="00FC7FBD"/>
    <w:rsid w:val="00FD009D"/>
    <w:rsid w:val="00FD0C05"/>
    <w:rsid w:val="00FD0E9B"/>
    <w:rsid w:val="00FD1216"/>
    <w:rsid w:val="00FD1377"/>
    <w:rsid w:val="00FD1BA5"/>
    <w:rsid w:val="00FD219F"/>
    <w:rsid w:val="00FD268A"/>
    <w:rsid w:val="00FD2742"/>
    <w:rsid w:val="00FD3BD5"/>
    <w:rsid w:val="00FD3F34"/>
    <w:rsid w:val="00FD41EB"/>
    <w:rsid w:val="00FD43CC"/>
    <w:rsid w:val="00FD4B70"/>
    <w:rsid w:val="00FD4D00"/>
    <w:rsid w:val="00FD505C"/>
    <w:rsid w:val="00FD57EC"/>
    <w:rsid w:val="00FD5B3F"/>
    <w:rsid w:val="00FD5BF6"/>
    <w:rsid w:val="00FD659F"/>
    <w:rsid w:val="00FD6C45"/>
    <w:rsid w:val="00FD6FBB"/>
    <w:rsid w:val="00FD7608"/>
    <w:rsid w:val="00FD7AB5"/>
    <w:rsid w:val="00FD7F3E"/>
    <w:rsid w:val="00FE11B6"/>
    <w:rsid w:val="00FE1B67"/>
    <w:rsid w:val="00FE2637"/>
    <w:rsid w:val="00FE2948"/>
    <w:rsid w:val="00FE3806"/>
    <w:rsid w:val="00FE42A5"/>
    <w:rsid w:val="00FE4E22"/>
    <w:rsid w:val="00FE51B4"/>
    <w:rsid w:val="00FE53D0"/>
    <w:rsid w:val="00FE597E"/>
    <w:rsid w:val="00FE5D4E"/>
    <w:rsid w:val="00FE5F9D"/>
    <w:rsid w:val="00FE6296"/>
    <w:rsid w:val="00FE6305"/>
    <w:rsid w:val="00FE666E"/>
    <w:rsid w:val="00FE6AB9"/>
    <w:rsid w:val="00FE6DEC"/>
    <w:rsid w:val="00FF027F"/>
    <w:rsid w:val="00FF0414"/>
    <w:rsid w:val="00FF09B8"/>
    <w:rsid w:val="00FF28F1"/>
    <w:rsid w:val="00FF299B"/>
    <w:rsid w:val="00FF318F"/>
    <w:rsid w:val="00FF322D"/>
    <w:rsid w:val="00FF38ED"/>
    <w:rsid w:val="00FF5767"/>
    <w:rsid w:val="00FF5E9A"/>
    <w:rsid w:val="00FF5F8B"/>
    <w:rsid w:val="00FF6399"/>
    <w:rsid w:val="00FF6820"/>
    <w:rsid w:val="00FF6975"/>
    <w:rsid w:val="00FF7A71"/>
    <w:rsid w:val="00FF7EB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1F4A70A"/>
  <w15:docId w15:val="{EA76EF81-68FC-4C49-9F03-244BEB4E0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2645"/>
    <w:rPr>
      <w:sz w:val="24"/>
      <w:szCs w:val="20"/>
      <w:lang w:eastAsia="en-US"/>
    </w:rPr>
  </w:style>
  <w:style w:type="paragraph" w:styleId="Heading1">
    <w:name w:val="heading 1"/>
    <w:basedOn w:val="Normal"/>
    <w:next w:val="Normal"/>
    <w:link w:val="Heading1Char"/>
    <w:autoRedefine/>
    <w:uiPriority w:val="99"/>
    <w:qFormat/>
    <w:rsid w:val="00251571"/>
    <w:pPr>
      <w:keepNext/>
      <w:keepLines/>
      <w:spacing w:before="120" w:after="120"/>
      <w:jc w:val="both"/>
      <w:outlineLvl w:val="0"/>
    </w:pPr>
    <w:rPr>
      <w:rFonts w:ascii="Times New Roman Bold" w:hAnsi="Times New Roman Bold"/>
      <w:b/>
      <w:bCs/>
      <w:smallCaps/>
      <w:spacing w:val="20"/>
      <w:szCs w:val="24"/>
      <w:lang w:eastAsia="bg-BG"/>
    </w:rPr>
  </w:style>
  <w:style w:type="paragraph" w:styleId="Heading2">
    <w:name w:val="heading 2"/>
    <w:basedOn w:val="Normal"/>
    <w:next w:val="Normal"/>
    <w:link w:val="Heading2Char"/>
    <w:uiPriority w:val="99"/>
    <w:qFormat/>
    <w:rsid w:val="00221B37"/>
    <w:pPr>
      <w:keepNext/>
      <w:spacing w:before="240" w:after="60" w:line="276" w:lineRule="auto"/>
      <w:outlineLvl w:val="1"/>
    </w:pPr>
    <w:rPr>
      <w:b/>
      <w:bCs/>
      <w:iCs/>
      <w:smallCaps/>
      <w:spacing w:val="40"/>
      <w:sz w:val="20"/>
    </w:rPr>
  </w:style>
  <w:style w:type="paragraph" w:styleId="Heading3">
    <w:name w:val="heading 3"/>
    <w:basedOn w:val="Normal"/>
    <w:next w:val="Normal"/>
    <w:link w:val="Heading3Char"/>
    <w:uiPriority w:val="99"/>
    <w:qFormat/>
    <w:rsid w:val="002A4E51"/>
    <w:pPr>
      <w:keepNext/>
      <w:numPr>
        <w:ilvl w:val="2"/>
        <w:numId w:val="8"/>
      </w:numPr>
      <w:spacing w:before="240" w:after="240"/>
      <w:jc w:val="both"/>
      <w:outlineLvl w:val="2"/>
    </w:pPr>
    <w:rPr>
      <w:b/>
      <w:bCs/>
      <w:color w:val="333399"/>
      <w:sz w:val="22"/>
      <w:szCs w:val="22"/>
    </w:rPr>
  </w:style>
  <w:style w:type="paragraph" w:styleId="Heading4">
    <w:name w:val="heading 4"/>
    <w:basedOn w:val="Normal"/>
    <w:next w:val="Normal"/>
    <w:link w:val="Heading4Char"/>
    <w:uiPriority w:val="99"/>
    <w:qFormat/>
    <w:rsid w:val="00A17FA9"/>
    <w:pPr>
      <w:keepNext/>
      <w:numPr>
        <w:ilvl w:val="3"/>
        <w:numId w:val="8"/>
      </w:numPr>
      <w:spacing w:before="240" w:after="240"/>
      <w:ind w:left="862" w:hanging="862"/>
      <w:jc w:val="both"/>
      <w:outlineLvl w:val="3"/>
    </w:pPr>
    <w:rPr>
      <w:b/>
      <w:bCs/>
      <w:i/>
      <w:iCs/>
      <w:color w:val="333399"/>
      <w:sz w:val="20"/>
    </w:rPr>
  </w:style>
  <w:style w:type="paragraph" w:styleId="Heading5">
    <w:name w:val="heading 5"/>
    <w:basedOn w:val="Normal"/>
    <w:next w:val="Normal"/>
    <w:link w:val="Heading5Char"/>
    <w:uiPriority w:val="99"/>
    <w:qFormat/>
    <w:rsid w:val="004A7C2D"/>
    <w:pPr>
      <w:numPr>
        <w:ilvl w:val="4"/>
        <w:numId w:val="8"/>
      </w:numPr>
      <w:spacing w:before="240" w:after="60"/>
      <w:outlineLvl w:val="4"/>
    </w:pPr>
    <w:rPr>
      <w:b/>
      <w:bCs/>
      <w:i/>
      <w:iCs/>
      <w:sz w:val="26"/>
      <w:szCs w:val="26"/>
    </w:rPr>
  </w:style>
  <w:style w:type="paragraph" w:styleId="Heading6">
    <w:name w:val="heading 6"/>
    <w:basedOn w:val="Normal"/>
    <w:next w:val="Normal"/>
    <w:link w:val="Heading6Char"/>
    <w:uiPriority w:val="99"/>
    <w:qFormat/>
    <w:rsid w:val="004A7C2D"/>
    <w:pPr>
      <w:numPr>
        <w:ilvl w:val="5"/>
        <w:numId w:val="8"/>
      </w:numPr>
      <w:spacing w:before="240" w:after="60"/>
      <w:outlineLvl w:val="5"/>
    </w:pPr>
    <w:rPr>
      <w:b/>
      <w:bCs/>
      <w:sz w:val="22"/>
      <w:szCs w:val="22"/>
    </w:rPr>
  </w:style>
  <w:style w:type="paragraph" w:styleId="Heading7">
    <w:name w:val="heading 7"/>
    <w:basedOn w:val="Normal"/>
    <w:next w:val="Normal"/>
    <w:link w:val="Heading7Char"/>
    <w:uiPriority w:val="99"/>
    <w:qFormat/>
    <w:rsid w:val="004A7C2D"/>
    <w:pPr>
      <w:numPr>
        <w:ilvl w:val="6"/>
        <w:numId w:val="8"/>
      </w:numPr>
      <w:spacing w:before="240" w:after="60"/>
      <w:outlineLvl w:val="6"/>
    </w:pPr>
  </w:style>
  <w:style w:type="paragraph" w:styleId="Heading8">
    <w:name w:val="heading 8"/>
    <w:basedOn w:val="Normal"/>
    <w:next w:val="Normal"/>
    <w:link w:val="Heading8Char"/>
    <w:uiPriority w:val="99"/>
    <w:qFormat/>
    <w:rsid w:val="004A7C2D"/>
    <w:pPr>
      <w:numPr>
        <w:ilvl w:val="7"/>
        <w:numId w:val="8"/>
      </w:numPr>
      <w:spacing w:before="240" w:after="60"/>
      <w:outlineLvl w:val="7"/>
    </w:pPr>
    <w:rPr>
      <w:i/>
      <w:iCs/>
    </w:rPr>
  </w:style>
  <w:style w:type="paragraph" w:styleId="Heading9">
    <w:name w:val="heading 9"/>
    <w:basedOn w:val="Normal"/>
    <w:next w:val="Normal"/>
    <w:link w:val="Heading9Char"/>
    <w:uiPriority w:val="99"/>
    <w:qFormat/>
    <w:rsid w:val="004A7C2D"/>
    <w:pPr>
      <w:numPr>
        <w:ilvl w:val="8"/>
        <w:numId w:val="8"/>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51571"/>
    <w:rPr>
      <w:rFonts w:ascii="Times New Roman Bold" w:hAnsi="Times New Roman Bold" w:cs="Times New Roman"/>
      <w:b/>
      <w:smallCaps/>
      <w:spacing w:val="20"/>
      <w:sz w:val="24"/>
      <w:lang w:val="bg-BG"/>
    </w:rPr>
  </w:style>
  <w:style w:type="character" w:customStyle="1" w:styleId="Heading2Char">
    <w:name w:val="Heading 2 Char"/>
    <w:basedOn w:val="DefaultParagraphFont"/>
    <w:link w:val="Heading2"/>
    <w:uiPriority w:val="99"/>
    <w:locked/>
    <w:rsid w:val="00221B37"/>
    <w:rPr>
      <w:rFonts w:eastAsia="Times New Roman" w:cs="Times New Roman"/>
      <w:b/>
      <w:smallCaps/>
      <w:spacing w:val="40"/>
      <w:lang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Pr>
      <w:rFonts w:ascii="Calibri" w:hAnsi="Calibri" w:cs="Times New Roman"/>
      <w:b/>
      <w:bCs/>
      <w:lang w:eastAsia="en-US"/>
    </w:rPr>
  </w:style>
  <w:style w:type="character" w:customStyle="1" w:styleId="Heading7Char">
    <w:name w:val="Heading 7 Char"/>
    <w:basedOn w:val="DefaultParagraphFont"/>
    <w:link w:val="Heading7"/>
    <w:uiPriority w:val="99"/>
    <w:semiHidden/>
    <w:locked/>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Pr>
      <w:rFonts w:ascii="Cambria" w:hAnsi="Cambria" w:cs="Times New Roman"/>
      <w:lang w:eastAsia="en-US"/>
    </w:rPr>
  </w:style>
  <w:style w:type="paragraph" w:styleId="BodyText2">
    <w:name w:val="Body Text 2"/>
    <w:basedOn w:val="Normal"/>
    <w:link w:val="BodyText2Char"/>
    <w:uiPriority w:val="99"/>
    <w:rsid w:val="004A7C2D"/>
    <w:pPr>
      <w:jc w:val="both"/>
    </w:pPr>
  </w:style>
  <w:style w:type="character" w:customStyle="1" w:styleId="BodyText2Char">
    <w:name w:val="Body Text 2 Char"/>
    <w:basedOn w:val="DefaultParagraphFont"/>
    <w:link w:val="BodyText2"/>
    <w:uiPriority w:val="99"/>
    <w:semiHidden/>
    <w:locked/>
    <w:rPr>
      <w:rFonts w:cs="Times New Roman"/>
      <w:sz w:val="20"/>
      <w:szCs w:val="20"/>
      <w:lang w:eastAsia="en-US"/>
    </w:rPr>
  </w:style>
  <w:style w:type="paragraph" w:styleId="Title">
    <w:name w:val="Title"/>
    <w:basedOn w:val="Normal"/>
    <w:link w:val="TitleChar"/>
    <w:uiPriority w:val="99"/>
    <w:qFormat/>
    <w:rsid w:val="004A7C2D"/>
    <w:pPr>
      <w:jc w:val="center"/>
    </w:pPr>
    <w:rPr>
      <w:b/>
      <w:bCs/>
      <w:sz w:val="32"/>
    </w:rPr>
  </w:style>
  <w:style w:type="character" w:customStyle="1" w:styleId="TitleChar">
    <w:name w:val="Title Char"/>
    <w:basedOn w:val="DefaultParagraphFont"/>
    <w:link w:val="Title"/>
    <w:uiPriority w:val="99"/>
    <w:locked/>
    <w:rPr>
      <w:rFonts w:ascii="Cambria" w:hAnsi="Cambria" w:cs="Times New Roman"/>
      <w:b/>
      <w:bCs/>
      <w:kern w:val="28"/>
      <w:sz w:val="32"/>
      <w:szCs w:val="32"/>
      <w:lang w:eastAsia="en-US"/>
    </w:rPr>
  </w:style>
  <w:style w:type="paragraph" w:styleId="Subtitle">
    <w:name w:val="Subtitle"/>
    <w:basedOn w:val="Normal"/>
    <w:link w:val="SubtitleChar"/>
    <w:uiPriority w:val="99"/>
    <w:qFormat/>
    <w:rsid w:val="004A7C2D"/>
    <w:pPr>
      <w:jc w:val="center"/>
    </w:pPr>
    <w:rPr>
      <w:sz w:val="40"/>
    </w:rPr>
  </w:style>
  <w:style w:type="character" w:customStyle="1" w:styleId="SubtitleChar">
    <w:name w:val="Subtitle Char"/>
    <w:basedOn w:val="DefaultParagraphFont"/>
    <w:link w:val="Subtitle"/>
    <w:uiPriority w:val="99"/>
    <w:locked/>
    <w:rPr>
      <w:rFonts w:ascii="Cambria" w:hAnsi="Cambria" w:cs="Times New Roman"/>
      <w:sz w:val="24"/>
      <w:szCs w:val="24"/>
      <w:lang w:eastAsia="en-US"/>
    </w:rPr>
  </w:style>
  <w:style w:type="paragraph" w:styleId="BodyText3">
    <w:name w:val="Body Text 3"/>
    <w:basedOn w:val="Normal"/>
    <w:link w:val="BodyText3Char"/>
    <w:uiPriority w:val="99"/>
    <w:rsid w:val="004A7C2D"/>
    <w:pPr>
      <w:jc w:val="both"/>
    </w:pPr>
    <w:rPr>
      <w:b/>
      <w:bCs/>
      <w:sz w:val="22"/>
    </w:rPr>
  </w:style>
  <w:style w:type="character" w:customStyle="1" w:styleId="BodyText3Char">
    <w:name w:val="Body Text 3 Char"/>
    <w:basedOn w:val="DefaultParagraphFont"/>
    <w:link w:val="BodyText3"/>
    <w:uiPriority w:val="99"/>
    <w:semiHidden/>
    <w:locked/>
    <w:rPr>
      <w:rFonts w:cs="Times New Roman"/>
      <w:sz w:val="16"/>
      <w:szCs w:val="16"/>
      <w:lang w:eastAsia="en-US"/>
    </w:rPr>
  </w:style>
  <w:style w:type="paragraph" w:styleId="Header">
    <w:name w:val="header"/>
    <w:basedOn w:val="Normal"/>
    <w:link w:val="HeaderChar"/>
    <w:uiPriority w:val="99"/>
    <w:rsid w:val="004A7C2D"/>
    <w:pPr>
      <w:tabs>
        <w:tab w:val="center" w:pos="4153"/>
        <w:tab w:val="right" w:pos="8306"/>
      </w:tabs>
    </w:pPr>
    <w:rPr>
      <w:lang w:eastAsia="bg-BG"/>
    </w:rPr>
  </w:style>
  <w:style w:type="character" w:customStyle="1" w:styleId="HeaderChar">
    <w:name w:val="Header Char"/>
    <w:basedOn w:val="DefaultParagraphFont"/>
    <w:link w:val="Header"/>
    <w:uiPriority w:val="99"/>
    <w:locked/>
    <w:rsid w:val="001467BA"/>
    <w:rPr>
      <w:rFonts w:cs="Times New Roman"/>
      <w:sz w:val="24"/>
      <w:lang w:val="bg-BG"/>
    </w:rPr>
  </w:style>
  <w:style w:type="paragraph" w:styleId="Footer">
    <w:name w:val="footer"/>
    <w:basedOn w:val="Normal"/>
    <w:link w:val="FooterChar"/>
    <w:uiPriority w:val="99"/>
    <w:rsid w:val="004A7C2D"/>
    <w:pPr>
      <w:tabs>
        <w:tab w:val="center" w:pos="4153"/>
        <w:tab w:val="right" w:pos="8306"/>
      </w:tabs>
    </w:pPr>
    <w:rPr>
      <w:lang w:eastAsia="bg-BG"/>
    </w:rPr>
  </w:style>
  <w:style w:type="character" w:customStyle="1" w:styleId="FooterChar">
    <w:name w:val="Footer Char"/>
    <w:basedOn w:val="DefaultParagraphFont"/>
    <w:link w:val="Footer"/>
    <w:uiPriority w:val="99"/>
    <w:locked/>
    <w:rsid w:val="001467BA"/>
    <w:rPr>
      <w:rFonts w:cs="Times New Roman"/>
      <w:sz w:val="24"/>
      <w:lang w:val="bg-BG"/>
    </w:rPr>
  </w:style>
  <w:style w:type="character" w:styleId="PageNumber">
    <w:name w:val="page number"/>
    <w:basedOn w:val="DefaultParagraphFont"/>
    <w:uiPriority w:val="99"/>
    <w:rsid w:val="004A7C2D"/>
    <w:rPr>
      <w:rFonts w:cs="Times New Roman"/>
    </w:rPr>
  </w:style>
  <w:style w:type="paragraph" w:styleId="BodyText">
    <w:name w:val="Body Text"/>
    <w:basedOn w:val="Normal"/>
    <w:link w:val="BodyTextChar"/>
    <w:uiPriority w:val="99"/>
    <w:rsid w:val="004A7C2D"/>
    <w:rPr>
      <w:color w:val="339966"/>
    </w:rPr>
  </w:style>
  <w:style w:type="character" w:customStyle="1" w:styleId="BodyTextChar">
    <w:name w:val="Body Text Char"/>
    <w:basedOn w:val="DefaultParagraphFont"/>
    <w:link w:val="BodyText"/>
    <w:uiPriority w:val="99"/>
    <w:semiHidden/>
    <w:locked/>
    <w:rPr>
      <w:rFonts w:cs="Times New Roman"/>
      <w:sz w:val="20"/>
      <w:szCs w:val="20"/>
      <w:lang w:eastAsia="en-US"/>
    </w:rPr>
  </w:style>
  <w:style w:type="paragraph" w:customStyle="1" w:styleId="Default">
    <w:name w:val="Default"/>
    <w:uiPriority w:val="99"/>
    <w:rsid w:val="004A7C2D"/>
    <w:pPr>
      <w:autoSpaceDE w:val="0"/>
      <w:autoSpaceDN w:val="0"/>
      <w:adjustRightInd w:val="0"/>
    </w:pPr>
    <w:rPr>
      <w:color w:val="000000"/>
      <w:sz w:val="24"/>
      <w:szCs w:val="24"/>
      <w:lang w:val="en-US" w:eastAsia="en-US"/>
    </w:rPr>
  </w:style>
  <w:style w:type="character" w:styleId="Hyperlink">
    <w:name w:val="Hyperlink"/>
    <w:basedOn w:val="DefaultParagraphFont"/>
    <w:uiPriority w:val="99"/>
    <w:rsid w:val="004A7C2D"/>
    <w:rPr>
      <w:rFonts w:cs="Times New Roman"/>
      <w:color w:val="0000FF"/>
      <w:u w:val="single"/>
    </w:rPr>
  </w:style>
  <w:style w:type="paragraph" w:styleId="NormalWeb">
    <w:name w:val="Normal (Web)"/>
    <w:basedOn w:val="Normal"/>
    <w:uiPriority w:val="99"/>
    <w:rsid w:val="004A7C2D"/>
    <w:pPr>
      <w:spacing w:before="100" w:after="100"/>
    </w:pPr>
    <w:rPr>
      <w:rFonts w:ascii="Arial Unicode MS" w:hAnsi="Arial Unicode MS"/>
      <w:lang w:val="en-US"/>
    </w:rPr>
  </w:style>
  <w:style w:type="paragraph" w:customStyle="1" w:styleId="Text">
    <w:name w:val="Text"/>
    <w:basedOn w:val="Normal"/>
    <w:uiPriority w:val="99"/>
    <w:rsid w:val="004A7C2D"/>
    <w:pPr>
      <w:tabs>
        <w:tab w:val="left" w:pos="567"/>
      </w:tabs>
      <w:spacing w:after="120"/>
      <w:jc w:val="both"/>
    </w:pPr>
    <w:rPr>
      <w:sz w:val="22"/>
      <w:szCs w:val="24"/>
      <w:lang w:val="en-GB"/>
    </w:rPr>
  </w:style>
  <w:style w:type="paragraph" w:styleId="BalloonText">
    <w:name w:val="Balloon Text"/>
    <w:basedOn w:val="Normal"/>
    <w:link w:val="BalloonTextChar"/>
    <w:uiPriority w:val="99"/>
    <w:semiHidden/>
    <w:rsid w:val="004A7C2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eastAsia="en-US"/>
    </w:rPr>
  </w:style>
  <w:style w:type="paragraph" w:styleId="BodyTextIndent">
    <w:name w:val="Body Text Indent"/>
    <w:basedOn w:val="Normal"/>
    <w:link w:val="BodyTextIndentChar"/>
    <w:uiPriority w:val="99"/>
    <w:rsid w:val="004A7C2D"/>
    <w:pPr>
      <w:spacing w:after="120"/>
      <w:ind w:left="283"/>
    </w:pPr>
  </w:style>
  <w:style w:type="character" w:customStyle="1" w:styleId="BodyTextIndentChar">
    <w:name w:val="Body Text Indent Char"/>
    <w:basedOn w:val="DefaultParagraphFont"/>
    <w:link w:val="BodyTextIndent"/>
    <w:uiPriority w:val="99"/>
    <w:semiHidden/>
    <w:locked/>
    <w:rPr>
      <w:rFonts w:cs="Times New Roman"/>
      <w:sz w:val="20"/>
      <w:szCs w:val="20"/>
      <w:lang w:eastAsia="en-US"/>
    </w:rPr>
  </w:style>
  <w:style w:type="paragraph" w:customStyle="1" w:styleId="Blockquote">
    <w:name w:val="Blockquote"/>
    <w:basedOn w:val="Normal"/>
    <w:uiPriority w:val="99"/>
    <w:rsid w:val="004A7C2D"/>
    <w:pPr>
      <w:autoSpaceDE w:val="0"/>
      <w:autoSpaceDN w:val="0"/>
      <w:adjustRightInd w:val="0"/>
      <w:spacing w:before="100" w:after="100"/>
      <w:ind w:left="360" w:right="360"/>
    </w:pPr>
    <w:rPr>
      <w:sz w:val="20"/>
    </w:rPr>
  </w:style>
  <w:style w:type="paragraph" w:customStyle="1" w:styleId="StyleHeading3Italic">
    <w:name w:val="Style Heading 3 + Italic"/>
    <w:basedOn w:val="Heading3"/>
    <w:autoRedefine/>
    <w:uiPriority w:val="99"/>
    <w:rsid w:val="004A7C2D"/>
    <w:pPr>
      <w:keepNext w:val="0"/>
      <w:numPr>
        <w:ilvl w:val="0"/>
        <w:numId w:val="0"/>
      </w:numPr>
      <w:spacing w:before="120" w:after="0"/>
      <w:outlineLvl w:val="9"/>
    </w:pPr>
    <w:rPr>
      <w:b w:val="0"/>
      <w:bCs w:val="0"/>
      <w:szCs w:val="24"/>
    </w:rPr>
  </w:style>
  <w:style w:type="paragraph" w:styleId="TOC1">
    <w:name w:val="toc 1"/>
    <w:basedOn w:val="Normal"/>
    <w:next w:val="Normal"/>
    <w:autoRedefine/>
    <w:uiPriority w:val="39"/>
    <w:rsid w:val="00C22EE1"/>
    <w:pPr>
      <w:tabs>
        <w:tab w:val="right" w:leader="dot" w:pos="9016"/>
      </w:tabs>
      <w:spacing w:before="120" w:after="120"/>
    </w:pPr>
    <w:rPr>
      <w:rFonts w:ascii="Calibri" w:hAnsi="Calibri" w:cs="Calibri"/>
      <w:b/>
      <w:bCs/>
      <w:caps/>
      <w:noProof/>
      <w:sz w:val="20"/>
    </w:rPr>
  </w:style>
  <w:style w:type="paragraph" w:styleId="TOC2">
    <w:name w:val="toc 2"/>
    <w:basedOn w:val="Normal"/>
    <w:next w:val="Normal"/>
    <w:autoRedefine/>
    <w:uiPriority w:val="39"/>
    <w:rsid w:val="00A637A4"/>
    <w:pPr>
      <w:tabs>
        <w:tab w:val="right" w:leader="dot" w:pos="9016"/>
      </w:tabs>
      <w:ind w:left="240"/>
    </w:pPr>
    <w:rPr>
      <w:iCs/>
      <w:smallCaps/>
      <w:noProof/>
      <w:spacing w:val="40"/>
      <w:sz w:val="18"/>
      <w:szCs w:val="18"/>
    </w:rPr>
  </w:style>
  <w:style w:type="paragraph" w:styleId="TOC3">
    <w:name w:val="toc 3"/>
    <w:basedOn w:val="Normal"/>
    <w:next w:val="Normal"/>
    <w:autoRedefine/>
    <w:uiPriority w:val="99"/>
    <w:semiHidden/>
    <w:rsid w:val="004A7C2D"/>
    <w:pPr>
      <w:ind w:left="480"/>
    </w:pPr>
    <w:rPr>
      <w:rFonts w:ascii="Calibri" w:hAnsi="Calibri"/>
      <w:i/>
      <w:iCs/>
      <w:sz w:val="20"/>
    </w:rPr>
  </w:style>
  <w:style w:type="paragraph" w:styleId="TOC4">
    <w:name w:val="toc 4"/>
    <w:basedOn w:val="Normal"/>
    <w:next w:val="Normal"/>
    <w:autoRedefine/>
    <w:uiPriority w:val="99"/>
    <w:semiHidden/>
    <w:rsid w:val="004A7C2D"/>
    <w:pPr>
      <w:ind w:left="720"/>
    </w:pPr>
    <w:rPr>
      <w:rFonts w:ascii="Calibri" w:hAnsi="Calibri"/>
      <w:sz w:val="18"/>
      <w:szCs w:val="18"/>
    </w:rPr>
  </w:style>
  <w:style w:type="paragraph" w:styleId="TOC5">
    <w:name w:val="toc 5"/>
    <w:basedOn w:val="Normal"/>
    <w:next w:val="Normal"/>
    <w:autoRedefine/>
    <w:uiPriority w:val="99"/>
    <w:semiHidden/>
    <w:rsid w:val="004A7C2D"/>
    <w:pPr>
      <w:ind w:left="960"/>
    </w:pPr>
    <w:rPr>
      <w:rFonts w:ascii="Calibri" w:hAnsi="Calibri"/>
      <w:sz w:val="18"/>
      <w:szCs w:val="18"/>
    </w:rPr>
  </w:style>
  <w:style w:type="paragraph" w:styleId="TOC6">
    <w:name w:val="toc 6"/>
    <w:basedOn w:val="Normal"/>
    <w:next w:val="Normal"/>
    <w:autoRedefine/>
    <w:uiPriority w:val="99"/>
    <w:semiHidden/>
    <w:rsid w:val="004A7C2D"/>
    <w:pPr>
      <w:ind w:left="1200"/>
    </w:pPr>
    <w:rPr>
      <w:rFonts w:ascii="Calibri" w:hAnsi="Calibri"/>
      <w:sz w:val="18"/>
      <w:szCs w:val="18"/>
    </w:rPr>
  </w:style>
  <w:style w:type="paragraph" w:styleId="TOC7">
    <w:name w:val="toc 7"/>
    <w:basedOn w:val="Normal"/>
    <w:next w:val="Normal"/>
    <w:autoRedefine/>
    <w:uiPriority w:val="99"/>
    <w:semiHidden/>
    <w:rsid w:val="004A7C2D"/>
    <w:pPr>
      <w:ind w:left="1440"/>
    </w:pPr>
    <w:rPr>
      <w:rFonts w:ascii="Calibri" w:hAnsi="Calibri"/>
      <w:sz w:val="18"/>
      <w:szCs w:val="18"/>
    </w:rPr>
  </w:style>
  <w:style w:type="paragraph" w:styleId="TOC8">
    <w:name w:val="toc 8"/>
    <w:basedOn w:val="Normal"/>
    <w:next w:val="Normal"/>
    <w:autoRedefine/>
    <w:uiPriority w:val="99"/>
    <w:semiHidden/>
    <w:rsid w:val="004A7C2D"/>
    <w:pPr>
      <w:ind w:left="1680"/>
    </w:pPr>
    <w:rPr>
      <w:rFonts w:ascii="Calibri" w:hAnsi="Calibri"/>
      <w:sz w:val="18"/>
      <w:szCs w:val="18"/>
    </w:rPr>
  </w:style>
  <w:style w:type="paragraph" w:styleId="TOC9">
    <w:name w:val="toc 9"/>
    <w:basedOn w:val="Normal"/>
    <w:next w:val="Normal"/>
    <w:autoRedefine/>
    <w:uiPriority w:val="99"/>
    <w:semiHidden/>
    <w:rsid w:val="004A7C2D"/>
    <w:pPr>
      <w:ind w:left="1920"/>
    </w:pPr>
    <w:rPr>
      <w:rFonts w:ascii="Calibri" w:hAnsi="Calibri"/>
      <w:sz w:val="18"/>
      <w:szCs w:val="18"/>
    </w:rPr>
  </w:style>
  <w:style w:type="paragraph" w:customStyle="1" w:styleId="firstline">
    <w:name w:val="firstline"/>
    <w:basedOn w:val="Normal"/>
    <w:uiPriority w:val="99"/>
    <w:rsid w:val="002E270E"/>
    <w:pPr>
      <w:spacing w:line="240" w:lineRule="atLeast"/>
      <w:ind w:firstLine="640"/>
      <w:jc w:val="both"/>
    </w:pPr>
    <w:rPr>
      <w:rFonts w:ascii="Arial" w:hAnsi="Arial" w:cs="Arial"/>
      <w:color w:val="000000"/>
      <w:szCs w:val="24"/>
      <w:lang w:eastAsia="bg-BG"/>
    </w:rPr>
  </w:style>
  <w:style w:type="paragraph" w:customStyle="1" w:styleId="CharCharCharCharCharCharCharCharChar1CharCharChar1CharCharChar">
    <w:name w:val="Char Char Char Char Char Char Char Char Char1 Char Char Char1 Char Char Char"/>
    <w:basedOn w:val="Normal"/>
    <w:uiPriority w:val="99"/>
    <w:rsid w:val="00911F05"/>
    <w:pPr>
      <w:spacing w:before="120" w:after="160" w:line="240" w:lineRule="exact"/>
    </w:pPr>
    <w:rPr>
      <w:rFonts w:ascii="Tahoma" w:hAnsi="Tahoma"/>
      <w:sz w:val="20"/>
      <w:lang w:val="en-US" w:eastAsia="bg-BG"/>
    </w:rPr>
  </w:style>
  <w:style w:type="paragraph" w:customStyle="1" w:styleId="tp0">
    <w:name w:val="tp0"/>
    <w:basedOn w:val="NormalWeb"/>
    <w:uiPriority w:val="99"/>
    <w:rsid w:val="00371732"/>
    <w:pPr>
      <w:spacing w:before="0" w:after="120"/>
      <w:jc w:val="both"/>
    </w:pPr>
    <w:rPr>
      <w:rFonts w:ascii="Times New Roman" w:hAnsi="Times New Roman"/>
      <w:sz w:val="20"/>
    </w:rPr>
  </w:style>
  <w:style w:type="paragraph" w:customStyle="1" w:styleId="CharCharCharCharCharCharCharCharChar">
    <w:name w:val="Char Char Char Char Char Char Char Char Char"/>
    <w:basedOn w:val="Normal"/>
    <w:uiPriority w:val="99"/>
    <w:rsid w:val="005B7B5E"/>
    <w:pPr>
      <w:widowControl w:val="0"/>
      <w:tabs>
        <w:tab w:val="num" w:pos="5040"/>
      </w:tabs>
      <w:ind w:left="5040" w:hanging="720"/>
      <w:jc w:val="both"/>
    </w:pPr>
    <w:rPr>
      <w:rFonts w:ascii="Arial" w:eastAsia="SimSun" w:hAnsi="Arial" w:cs="Arial"/>
      <w:kern w:val="2"/>
      <w:sz w:val="20"/>
      <w:szCs w:val="24"/>
      <w:lang w:val="en-US" w:eastAsia="zh-CN"/>
    </w:rPr>
  </w:style>
  <w:style w:type="character" w:customStyle="1" w:styleId="StyleHeading3ItalicChar">
    <w:name w:val="Style Heading 3 + Italic Char"/>
    <w:uiPriority w:val="99"/>
    <w:rsid w:val="006A5322"/>
    <w:rPr>
      <w:b/>
      <w:i/>
      <w:sz w:val="24"/>
      <w:lang w:val="bg-BG" w:eastAsia="en-US"/>
    </w:rPr>
  </w:style>
  <w:style w:type="paragraph" w:customStyle="1" w:styleId="CharCharCharChar1">
    <w:name w:val="Char Char Char Char1"/>
    <w:basedOn w:val="Normal"/>
    <w:uiPriority w:val="99"/>
    <w:rsid w:val="00F41417"/>
    <w:pPr>
      <w:spacing w:before="120" w:after="160" w:line="240" w:lineRule="exact"/>
    </w:pPr>
    <w:rPr>
      <w:rFonts w:ascii="Tahoma" w:hAnsi="Tahoma"/>
      <w:sz w:val="20"/>
      <w:lang w:val="en-US" w:eastAsia="bg-BG"/>
    </w:rPr>
  </w:style>
  <w:style w:type="table" w:styleId="TableGrid">
    <w:name w:val="Table Grid"/>
    <w:basedOn w:val="TableNormal"/>
    <w:uiPriority w:val="99"/>
    <w:rsid w:val="00C50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CharChar">
    <w:name w:val="Char Char Char Char1 Char Char"/>
    <w:basedOn w:val="Normal"/>
    <w:uiPriority w:val="99"/>
    <w:rsid w:val="001E0010"/>
    <w:pPr>
      <w:spacing w:before="120" w:after="160" w:line="240" w:lineRule="exact"/>
    </w:pPr>
    <w:rPr>
      <w:rFonts w:ascii="Tahoma" w:hAnsi="Tahoma"/>
      <w:sz w:val="20"/>
      <w:lang w:val="en-US" w:eastAsia="bg-BG"/>
    </w:rPr>
  </w:style>
  <w:style w:type="paragraph" w:customStyle="1" w:styleId="CharCharCharCharCharCharCharCharChar1CharCharChar">
    <w:name w:val="Char Char Char Char Char Char Char Char Char1 Char Char Char"/>
    <w:basedOn w:val="Normal"/>
    <w:uiPriority w:val="99"/>
    <w:rsid w:val="00020583"/>
    <w:pPr>
      <w:spacing w:before="120" w:after="160" w:line="240" w:lineRule="exact"/>
    </w:pPr>
    <w:rPr>
      <w:rFonts w:ascii="Tahoma" w:hAnsi="Tahoma"/>
      <w:sz w:val="20"/>
      <w:lang w:val="en-US" w:eastAsia="bg-BG"/>
    </w:rPr>
  </w:style>
  <w:style w:type="paragraph" w:customStyle="1" w:styleId="CharCharCharChar1CharCharCharCharCharChar1CharChar">
    <w:name w:val="Char Char Char Char1 Char Char Char Char Char Char1 Char Char"/>
    <w:basedOn w:val="Normal"/>
    <w:uiPriority w:val="99"/>
    <w:rsid w:val="00237ECF"/>
    <w:pPr>
      <w:spacing w:before="120" w:after="160" w:line="240" w:lineRule="exact"/>
    </w:pPr>
    <w:rPr>
      <w:rFonts w:ascii="Tahoma" w:hAnsi="Tahoma"/>
      <w:sz w:val="20"/>
      <w:lang w:val="en-US" w:eastAsia="bg-BG"/>
    </w:rPr>
  </w:style>
  <w:style w:type="paragraph" w:customStyle="1" w:styleId="CharCharCharChar1CharCharCharCharCharChar1CharCharChar">
    <w:name w:val="Char Char Char Char1 Char Char Char Char Char Char1 Char Char Char"/>
    <w:basedOn w:val="Normal"/>
    <w:uiPriority w:val="99"/>
    <w:rsid w:val="00277EC0"/>
    <w:pPr>
      <w:spacing w:before="120" w:after="160" w:line="240" w:lineRule="exact"/>
    </w:pPr>
    <w:rPr>
      <w:rFonts w:ascii="Tahoma" w:hAnsi="Tahoma"/>
      <w:sz w:val="20"/>
      <w:lang w:val="en-US" w:eastAsia="bg-BG"/>
    </w:rPr>
  </w:style>
  <w:style w:type="paragraph" w:styleId="PlainText">
    <w:name w:val="Plain Text"/>
    <w:basedOn w:val="Normal"/>
    <w:link w:val="PlainTextChar"/>
    <w:uiPriority w:val="99"/>
    <w:rsid w:val="00902913"/>
    <w:rPr>
      <w:rFonts w:ascii="Courier New" w:hAnsi="Courier New"/>
      <w:sz w:val="20"/>
      <w:lang w:val="en-GB" w:eastAsia="bg-BG"/>
    </w:rPr>
  </w:style>
  <w:style w:type="character" w:customStyle="1" w:styleId="PlainTextChar">
    <w:name w:val="Plain Text Char"/>
    <w:basedOn w:val="DefaultParagraphFont"/>
    <w:link w:val="PlainText"/>
    <w:uiPriority w:val="99"/>
    <w:locked/>
    <w:rsid w:val="003206AC"/>
    <w:rPr>
      <w:rFonts w:ascii="Courier New" w:hAnsi="Courier New" w:cs="Times New Roman"/>
      <w:lang w:val="en-GB"/>
    </w:rPr>
  </w:style>
  <w:style w:type="paragraph" w:customStyle="1" w:styleId="CharCharCharChar1CharCharCharCharCharChar1CharCharCharCharCharCharCharChar">
    <w:name w:val="Char Char Char Char1 Char Char Char Char Char Char1 Char Char Char Char Char Char Char Char"/>
    <w:basedOn w:val="Normal"/>
    <w:uiPriority w:val="99"/>
    <w:rsid w:val="00E86C66"/>
    <w:pPr>
      <w:spacing w:before="120" w:after="160" w:line="240" w:lineRule="exact"/>
    </w:pPr>
    <w:rPr>
      <w:rFonts w:ascii="Tahoma" w:hAnsi="Tahoma"/>
      <w:sz w:val="20"/>
      <w:lang w:val="en-US" w:eastAsia="bg-BG"/>
    </w:rPr>
  </w:style>
  <w:style w:type="paragraph" w:styleId="Index1">
    <w:name w:val="index 1"/>
    <w:basedOn w:val="Normal"/>
    <w:next w:val="Normal"/>
    <w:autoRedefine/>
    <w:uiPriority w:val="99"/>
    <w:semiHidden/>
    <w:rsid w:val="004E0C7E"/>
    <w:pPr>
      <w:ind w:left="240" w:hanging="240"/>
    </w:pPr>
  </w:style>
  <w:style w:type="paragraph" w:customStyle="1" w:styleId="CharCharCharCharCharCharCharCharChar1CharCharChar1CharCharCharCharCharChar">
    <w:name w:val="Char Char Char Char Char Char Char Char Char1 Char Char Char1 Char Char Char Char Char Char"/>
    <w:basedOn w:val="Normal"/>
    <w:uiPriority w:val="99"/>
    <w:rsid w:val="00D05FB6"/>
    <w:pPr>
      <w:spacing w:before="120" w:after="160" w:line="240" w:lineRule="exact"/>
    </w:pPr>
    <w:rPr>
      <w:rFonts w:ascii="Tahoma" w:hAnsi="Tahoma"/>
      <w:sz w:val="20"/>
      <w:lang w:val="en-US" w:eastAsia="bg-BG"/>
    </w:rPr>
  </w:style>
  <w:style w:type="paragraph" w:customStyle="1" w:styleId="CharChar">
    <w:name w:val="Char Char"/>
    <w:basedOn w:val="Normal"/>
    <w:uiPriority w:val="99"/>
    <w:rsid w:val="00815E16"/>
    <w:pPr>
      <w:spacing w:before="120" w:after="160" w:line="240" w:lineRule="exact"/>
    </w:pPr>
    <w:rPr>
      <w:rFonts w:ascii="Tahoma" w:hAnsi="Tahoma"/>
      <w:sz w:val="20"/>
      <w:lang w:val="en-US" w:eastAsia="bg-BG"/>
    </w:rPr>
  </w:style>
  <w:style w:type="paragraph" w:customStyle="1" w:styleId="CharCharCharChar1CharCharCharCharCharChar1CharCharCharCharCharCharCharCharCharCharChar">
    <w:name w:val="Char Char Char Char1 Char Char Char Char Char Char1 Char Char Char Char Char Char Char Char Char Char Char"/>
    <w:basedOn w:val="Normal"/>
    <w:uiPriority w:val="99"/>
    <w:rsid w:val="005F5369"/>
    <w:pPr>
      <w:spacing w:before="120" w:after="160" w:line="240" w:lineRule="exact"/>
    </w:pPr>
    <w:rPr>
      <w:rFonts w:ascii="Tahoma" w:hAnsi="Tahoma"/>
      <w:sz w:val="20"/>
      <w:lang w:val="en-US" w:eastAsia="bg-BG"/>
    </w:rPr>
  </w:style>
  <w:style w:type="paragraph" w:customStyle="1" w:styleId="CharChar1Char">
    <w:name w:val="Char Char1 Char"/>
    <w:basedOn w:val="Normal"/>
    <w:uiPriority w:val="99"/>
    <w:rsid w:val="00181D05"/>
    <w:pPr>
      <w:widowControl w:val="0"/>
      <w:tabs>
        <w:tab w:val="num" w:pos="5040"/>
      </w:tabs>
      <w:ind w:left="5040" w:hanging="720"/>
      <w:jc w:val="both"/>
    </w:pPr>
    <w:rPr>
      <w:rFonts w:ascii="Arial" w:eastAsia="SimSun" w:hAnsi="Arial" w:cs="Arial"/>
      <w:kern w:val="2"/>
      <w:sz w:val="20"/>
      <w:szCs w:val="24"/>
      <w:lang w:val="en-US" w:eastAsia="zh-CN"/>
    </w:rPr>
  </w:style>
  <w:style w:type="paragraph" w:customStyle="1" w:styleId="StyleHeading111pt">
    <w:name w:val="Style Heading 1 + 11 pt"/>
    <w:basedOn w:val="Heading1"/>
    <w:uiPriority w:val="99"/>
    <w:rsid w:val="00C04C80"/>
    <w:rPr>
      <w:sz w:val="22"/>
    </w:rPr>
  </w:style>
  <w:style w:type="paragraph" w:customStyle="1" w:styleId="Char">
    <w:name w:val="Char"/>
    <w:basedOn w:val="Normal"/>
    <w:uiPriority w:val="99"/>
    <w:rsid w:val="006B653D"/>
    <w:pPr>
      <w:spacing w:before="120" w:after="160" w:line="240" w:lineRule="exact"/>
    </w:pPr>
    <w:rPr>
      <w:rFonts w:ascii="Tahoma" w:hAnsi="Tahoma"/>
      <w:sz w:val="20"/>
      <w:lang w:val="en-US" w:eastAsia="bg-BG"/>
    </w:rPr>
  </w:style>
  <w:style w:type="paragraph" w:customStyle="1" w:styleId="BodyText-Bulets">
    <w:name w:val="Body Text - Bulets"/>
    <w:basedOn w:val="Normal"/>
    <w:autoRedefine/>
    <w:uiPriority w:val="99"/>
    <w:rsid w:val="004251B1"/>
    <w:pPr>
      <w:autoSpaceDE w:val="0"/>
      <w:autoSpaceDN w:val="0"/>
      <w:adjustRightInd w:val="0"/>
      <w:spacing w:before="100" w:beforeAutospacing="1" w:after="100" w:afterAutospacing="1"/>
    </w:pPr>
    <w:rPr>
      <w:rFonts w:ascii="Arial" w:hAnsi="Arial" w:cs="Arial"/>
      <w:szCs w:val="24"/>
      <w:lang w:eastAsia="bg-BG"/>
    </w:rPr>
  </w:style>
  <w:style w:type="paragraph" w:styleId="FootnoteText">
    <w:name w:val="footnote text"/>
    <w:basedOn w:val="Normal"/>
    <w:link w:val="FootnoteTextChar"/>
    <w:uiPriority w:val="99"/>
    <w:semiHidden/>
    <w:rsid w:val="00F67831"/>
    <w:rPr>
      <w:sz w:val="20"/>
    </w:rPr>
  </w:style>
  <w:style w:type="character" w:customStyle="1" w:styleId="FootnoteTextChar">
    <w:name w:val="Footnote Text Char"/>
    <w:basedOn w:val="DefaultParagraphFont"/>
    <w:link w:val="FootnoteText"/>
    <w:uiPriority w:val="99"/>
    <w:semiHidden/>
    <w:locked/>
    <w:rsid w:val="00F67831"/>
    <w:rPr>
      <w:rFonts w:cs="Times New Roman"/>
      <w:lang w:eastAsia="en-US"/>
    </w:rPr>
  </w:style>
  <w:style w:type="character" w:styleId="FootnoteReference">
    <w:name w:val="footnote reference"/>
    <w:basedOn w:val="DefaultParagraphFont"/>
    <w:uiPriority w:val="99"/>
    <w:semiHidden/>
    <w:rsid w:val="00F67831"/>
    <w:rPr>
      <w:rFonts w:cs="Times New Roman"/>
      <w:vertAlign w:val="superscript"/>
    </w:rPr>
  </w:style>
  <w:style w:type="paragraph" w:customStyle="1" w:styleId="CharCharCharChar1CharCharCharCharCharCharCharCharChar">
    <w:name w:val="Char Char Char Char1 Char Char Char Char Char Char Char Char Char"/>
    <w:basedOn w:val="Normal"/>
    <w:uiPriority w:val="99"/>
    <w:rsid w:val="00AD2506"/>
    <w:pPr>
      <w:spacing w:before="120" w:after="160" w:line="240" w:lineRule="exact"/>
    </w:pPr>
    <w:rPr>
      <w:rFonts w:ascii="Tahoma" w:hAnsi="Tahoma"/>
      <w:sz w:val="20"/>
      <w:lang w:val="en-US" w:eastAsia="bg-BG"/>
    </w:rPr>
  </w:style>
  <w:style w:type="character" w:styleId="FollowedHyperlink">
    <w:name w:val="FollowedHyperlink"/>
    <w:basedOn w:val="DefaultParagraphFont"/>
    <w:uiPriority w:val="99"/>
    <w:rsid w:val="008B5FCC"/>
    <w:rPr>
      <w:rFonts w:cs="Times New Roman"/>
      <w:color w:val="800080"/>
      <w:u w:val="single"/>
    </w:rPr>
  </w:style>
  <w:style w:type="paragraph" w:customStyle="1" w:styleId="BodyText-H2">
    <w:name w:val="Body Text - H 2"/>
    <w:basedOn w:val="Normal"/>
    <w:autoRedefine/>
    <w:uiPriority w:val="99"/>
    <w:rsid w:val="00916D36"/>
    <w:pPr>
      <w:keepNext/>
      <w:keepLines/>
      <w:spacing w:before="120" w:after="120"/>
      <w:jc w:val="both"/>
    </w:pPr>
    <w:rPr>
      <w:rFonts w:ascii="Verdana" w:hAnsi="Verdana"/>
      <w:b/>
      <w:sz w:val="20"/>
      <w:szCs w:val="22"/>
      <w:lang w:eastAsia="bg-BG"/>
    </w:rPr>
  </w:style>
  <w:style w:type="paragraph" w:customStyle="1" w:styleId="StyleHeading1Indigo">
    <w:name w:val="Style Heading 1 + Indigo"/>
    <w:basedOn w:val="Heading1"/>
    <w:uiPriority w:val="99"/>
    <w:rsid w:val="00FA09F3"/>
    <w:rPr>
      <w:color w:val="333399"/>
    </w:rPr>
  </w:style>
  <w:style w:type="paragraph" w:customStyle="1" w:styleId="CharCharCharChar1CharCharCharCharCharCharCharCharChar1">
    <w:name w:val="Char Char Char Char1 Char Char Char Char Char Char Char Char Char1"/>
    <w:basedOn w:val="Normal"/>
    <w:uiPriority w:val="99"/>
    <w:rsid w:val="00B764A7"/>
    <w:pPr>
      <w:spacing w:before="120" w:after="160" w:line="240" w:lineRule="exact"/>
    </w:pPr>
    <w:rPr>
      <w:rFonts w:ascii="Tahoma" w:hAnsi="Tahoma"/>
      <w:sz w:val="20"/>
      <w:lang w:val="en-US" w:eastAsia="bg-BG"/>
    </w:rPr>
  </w:style>
  <w:style w:type="paragraph" w:styleId="NoSpacing">
    <w:name w:val="No Spacing"/>
    <w:uiPriority w:val="99"/>
    <w:qFormat/>
    <w:rsid w:val="00FE1B67"/>
    <w:rPr>
      <w:sz w:val="24"/>
      <w:szCs w:val="24"/>
      <w:lang w:val="en-GB" w:eastAsia="en-US"/>
    </w:rPr>
  </w:style>
  <w:style w:type="paragraph" w:customStyle="1" w:styleId="Normalen">
    <w:name w:val="Normalen"/>
    <w:basedOn w:val="Normal"/>
    <w:link w:val="NormalenChar"/>
    <w:uiPriority w:val="99"/>
    <w:rsid w:val="007B3348"/>
    <w:pPr>
      <w:jc w:val="both"/>
    </w:pPr>
    <w:rPr>
      <w:lang w:eastAsia="bg-BG"/>
    </w:rPr>
  </w:style>
  <w:style w:type="character" w:customStyle="1" w:styleId="NormalenChar">
    <w:name w:val="Normalen Char"/>
    <w:link w:val="Normalen"/>
    <w:uiPriority w:val="99"/>
    <w:locked/>
    <w:rsid w:val="007B3348"/>
    <w:rPr>
      <w:sz w:val="24"/>
      <w:lang w:val="bg-BG"/>
    </w:rPr>
  </w:style>
  <w:style w:type="character" w:customStyle="1" w:styleId="apple-style-span">
    <w:name w:val="apple-style-span"/>
    <w:basedOn w:val="DefaultParagraphFont"/>
    <w:uiPriority w:val="99"/>
    <w:rsid w:val="00DC6404"/>
    <w:rPr>
      <w:rFonts w:cs="Times New Roman"/>
    </w:rPr>
  </w:style>
  <w:style w:type="character" w:customStyle="1" w:styleId="apple-converted-space">
    <w:name w:val="apple-converted-space"/>
    <w:basedOn w:val="DefaultParagraphFont"/>
    <w:uiPriority w:val="99"/>
    <w:rsid w:val="00511A86"/>
    <w:rPr>
      <w:rFonts w:cs="Times New Roman"/>
    </w:rPr>
  </w:style>
  <w:style w:type="paragraph" w:customStyle="1" w:styleId="Style6">
    <w:name w:val="Style6"/>
    <w:basedOn w:val="Normal"/>
    <w:uiPriority w:val="99"/>
    <w:rsid w:val="0050406E"/>
    <w:pPr>
      <w:widowControl w:val="0"/>
      <w:autoSpaceDE w:val="0"/>
      <w:autoSpaceDN w:val="0"/>
      <w:adjustRightInd w:val="0"/>
      <w:spacing w:line="300" w:lineRule="exact"/>
      <w:jc w:val="both"/>
    </w:pPr>
    <w:rPr>
      <w:rFonts w:ascii="Arial" w:hAnsi="Arial"/>
      <w:szCs w:val="24"/>
      <w:lang w:val="en-US"/>
    </w:rPr>
  </w:style>
  <w:style w:type="character" w:customStyle="1" w:styleId="FontStyle107">
    <w:name w:val="Font Style107"/>
    <w:uiPriority w:val="99"/>
    <w:rsid w:val="0050406E"/>
    <w:rPr>
      <w:rFonts w:ascii="Arial" w:hAnsi="Arial"/>
      <w:b/>
      <w:i/>
      <w:sz w:val="20"/>
    </w:rPr>
  </w:style>
  <w:style w:type="character" w:styleId="CommentReference">
    <w:name w:val="annotation reference"/>
    <w:basedOn w:val="DefaultParagraphFont"/>
    <w:uiPriority w:val="99"/>
    <w:semiHidden/>
    <w:rsid w:val="00934010"/>
    <w:rPr>
      <w:rFonts w:cs="Times New Roman"/>
      <w:sz w:val="16"/>
    </w:rPr>
  </w:style>
  <w:style w:type="paragraph" w:styleId="CommentText">
    <w:name w:val="annotation text"/>
    <w:basedOn w:val="Normal"/>
    <w:link w:val="CommentTextChar"/>
    <w:uiPriority w:val="99"/>
    <w:semiHidden/>
    <w:rsid w:val="00934010"/>
    <w:rPr>
      <w:sz w:val="20"/>
    </w:rPr>
  </w:style>
  <w:style w:type="character" w:customStyle="1" w:styleId="CommentTextChar">
    <w:name w:val="Comment Text Char"/>
    <w:basedOn w:val="DefaultParagraphFont"/>
    <w:link w:val="CommentText"/>
    <w:uiPriority w:val="99"/>
    <w:semiHidden/>
    <w:locked/>
    <w:rsid w:val="00934010"/>
    <w:rPr>
      <w:rFonts w:cs="Times New Roman"/>
      <w:lang w:val="bg-BG" w:eastAsia="en-US"/>
    </w:rPr>
  </w:style>
  <w:style w:type="paragraph" w:styleId="CommentSubject">
    <w:name w:val="annotation subject"/>
    <w:basedOn w:val="CommentText"/>
    <w:next w:val="CommentText"/>
    <w:link w:val="CommentSubjectChar"/>
    <w:uiPriority w:val="99"/>
    <w:semiHidden/>
    <w:rsid w:val="00934010"/>
    <w:rPr>
      <w:b/>
      <w:bCs/>
    </w:rPr>
  </w:style>
  <w:style w:type="character" w:customStyle="1" w:styleId="CommentSubjectChar">
    <w:name w:val="Comment Subject Char"/>
    <w:basedOn w:val="CommentTextChar"/>
    <w:link w:val="CommentSubject"/>
    <w:uiPriority w:val="99"/>
    <w:semiHidden/>
    <w:locked/>
    <w:rsid w:val="00934010"/>
    <w:rPr>
      <w:rFonts w:cs="Times New Roman"/>
      <w:b/>
      <w:lang w:val="bg-BG" w:eastAsia="en-US"/>
    </w:rPr>
  </w:style>
  <w:style w:type="paragraph" w:styleId="Revision">
    <w:name w:val="Revision"/>
    <w:hidden/>
    <w:uiPriority w:val="99"/>
    <w:semiHidden/>
    <w:rsid w:val="00ED60A8"/>
    <w:rPr>
      <w:sz w:val="24"/>
      <w:szCs w:val="20"/>
      <w:lang w:eastAsia="en-US"/>
    </w:rPr>
  </w:style>
  <w:style w:type="paragraph" w:styleId="ListParagraph">
    <w:name w:val="List Paragraph"/>
    <w:basedOn w:val="Normal"/>
    <w:uiPriority w:val="99"/>
    <w:qFormat/>
    <w:rsid w:val="004726CD"/>
    <w:pPr>
      <w:spacing w:after="200" w:line="276" w:lineRule="auto"/>
      <w:ind w:left="720"/>
      <w:contextualSpacing/>
    </w:pPr>
    <w:rPr>
      <w:rFonts w:ascii="Calibri" w:hAnsi="Calibri"/>
      <w:sz w:val="22"/>
      <w:szCs w:val="22"/>
    </w:rPr>
  </w:style>
  <w:style w:type="paragraph" w:customStyle="1" w:styleId="xmsonormal">
    <w:name w:val="x_msonormal"/>
    <w:basedOn w:val="Normal"/>
    <w:uiPriority w:val="99"/>
    <w:rsid w:val="006E76E7"/>
    <w:pPr>
      <w:spacing w:before="100" w:beforeAutospacing="1" w:after="100" w:afterAutospacing="1"/>
    </w:pPr>
    <w:rPr>
      <w:szCs w:val="24"/>
      <w:lang w:val="en-US"/>
    </w:rPr>
  </w:style>
  <w:style w:type="character" w:customStyle="1" w:styleId="Mention1">
    <w:name w:val="Mention1"/>
    <w:basedOn w:val="DefaultParagraphFont"/>
    <w:uiPriority w:val="99"/>
    <w:semiHidden/>
    <w:rsid w:val="00662C15"/>
    <w:rPr>
      <w:rFonts w:cs="Times New Roma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0373468">
      <w:marLeft w:val="0"/>
      <w:marRight w:val="0"/>
      <w:marTop w:val="0"/>
      <w:marBottom w:val="0"/>
      <w:divBdr>
        <w:top w:val="none" w:sz="0" w:space="0" w:color="auto"/>
        <w:left w:val="none" w:sz="0" w:space="0" w:color="auto"/>
        <w:bottom w:val="none" w:sz="0" w:space="0" w:color="auto"/>
        <w:right w:val="none" w:sz="0" w:space="0" w:color="auto"/>
      </w:divBdr>
    </w:div>
    <w:div w:id="1690373470">
      <w:marLeft w:val="0"/>
      <w:marRight w:val="0"/>
      <w:marTop w:val="0"/>
      <w:marBottom w:val="0"/>
      <w:divBdr>
        <w:top w:val="none" w:sz="0" w:space="0" w:color="auto"/>
        <w:left w:val="none" w:sz="0" w:space="0" w:color="auto"/>
        <w:bottom w:val="none" w:sz="0" w:space="0" w:color="auto"/>
        <w:right w:val="none" w:sz="0" w:space="0" w:color="auto"/>
      </w:divBdr>
    </w:div>
    <w:div w:id="1690373471">
      <w:marLeft w:val="0"/>
      <w:marRight w:val="0"/>
      <w:marTop w:val="0"/>
      <w:marBottom w:val="0"/>
      <w:divBdr>
        <w:top w:val="none" w:sz="0" w:space="0" w:color="auto"/>
        <w:left w:val="none" w:sz="0" w:space="0" w:color="auto"/>
        <w:bottom w:val="none" w:sz="0" w:space="0" w:color="auto"/>
        <w:right w:val="none" w:sz="0" w:space="0" w:color="auto"/>
      </w:divBdr>
    </w:div>
    <w:div w:id="1690373473">
      <w:marLeft w:val="0"/>
      <w:marRight w:val="0"/>
      <w:marTop w:val="0"/>
      <w:marBottom w:val="0"/>
      <w:divBdr>
        <w:top w:val="none" w:sz="0" w:space="0" w:color="auto"/>
        <w:left w:val="none" w:sz="0" w:space="0" w:color="auto"/>
        <w:bottom w:val="none" w:sz="0" w:space="0" w:color="auto"/>
        <w:right w:val="none" w:sz="0" w:space="0" w:color="auto"/>
      </w:divBdr>
    </w:div>
    <w:div w:id="1690373475">
      <w:marLeft w:val="0"/>
      <w:marRight w:val="0"/>
      <w:marTop w:val="0"/>
      <w:marBottom w:val="0"/>
      <w:divBdr>
        <w:top w:val="none" w:sz="0" w:space="0" w:color="auto"/>
        <w:left w:val="none" w:sz="0" w:space="0" w:color="auto"/>
        <w:bottom w:val="none" w:sz="0" w:space="0" w:color="auto"/>
        <w:right w:val="none" w:sz="0" w:space="0" w:color="auto"/>
      </w:divBdr>
    </w:div>
    <w:div w:id="1690373476">
      <w:marLeft w:val="0"/>
      <w:marRight w:val="0"/>
      <w:marTop w:val="0"/>
      <w:marBottom w:val="0"/>
      <w:divBdr>
        <w:top w:val="none" w:sz="0" w:space="0" w:color="auto"/>
        <w:left w:val="none" w:sz="0" w:space="0" w:color="auto"/>
        <w:bottom w:val="none" w:sz="0" w:space="0" w:color="auto"/>
        <w:right w:val="none" w:sz="0" w:space="0" w:color="auto"/>
      </w:divBdr>
    </w:div>
    <w:div w:id="1690373477">
      <w:marLeft w:val="0"/>
      <w:marRight w:val="0"/>
      <w:marTop w:val="0"/>
      <w:marBottom w:val="0"/>
      <w:divBdr>
        <w:top w:val="none" w:sz="0" w:space="0" w:color="auto"/>
        <w:left w:val="none" w:sz="0" w:space="0" w:color="auto"/>
        <w:bottom w:val="none" w:sz="0" w:space="0" w:color="auto"/>
        <w:right w:val="none" w:sz="0" w:space="0" w:color="auto"/>
      </w:divBdr>
    </w:div>
    <w:div w:id="1690373478">
      <w:marLeft w:val="0"/>
      <w:marRight w:val="0"/>
      <w:marTop w:val="0"/>
      <w:marBottom w:val="0"/>
      <w:divBdr>
        <w:top w:val="none" w:sz="0" w:space="0" w:color="auto"/>
        <w:left w:val="none" w:sz="0" w:space="0" w:color="auto"/>
        <w:bottom w:val="none" w:sz="0" w:space="0" w:color="auto"/>
        <w:right w:val="none" w:sz="0" w:space="0" w:color="auto"/>
      </w:divBdr>
    </w:div>
    <w:div w:id="1690373480">
      <w:marLeft w:val="0"/>
      <w:marRight w:val="0"/>
      <w:marTop w:val="0"/>
      <w:marBottom w:val="0"/>
      <w:divBdr>
        <w:top w:val="none" w:sz="0" w:space="0" w:color="auto"/>
        <w:left w:val="none" w:sz="0" w:space="0" w:color="auto"/>
        <w:bottom w:val="none" w:sz="0" w:space="0" w:color="auto"/>
        <w:right w:val="none" w:sz="0" w:space="0" w:color="auto"/>
      </w:divBdr>
    </w:div>
    <w:div w:id="1690373481">
      <w:marLeft w:val="0"/>
      <w:marRight w:val="0"/>
      <w:marTop w:val="0"/>
      <w:marBottom w:val="0"/>
      <w:divBdr>
        <w:top w:val="none" w:sz="0" w:space="0" w:color="auto"/>
        <w:left w:val="none" w:sz="0" w:space="0" w:color="auto"/>
        <w:bottom w:val="none" w:sz="0" w:space="0" w:color="auto"/>
        <w:right w:val="none" w:sz="0" w:space="0" w:color="auto"/>
      </w:divBdr>
    </w:div>
    <w:div w:id="1690373484">
      <w:marLeft w:val="0"/>
      <w:marRight w:val="0"/>
      <w:marTop w:val="0"/>
      <w:marBottom w:val="0"/>
      <w:divBdr>
        <w:top w:val="none" w:sz="0" w:space="0" w:color="auto"/>
        <w:left w:val="none" w:sz="0" w:space="0" w:color="auto"/>
        <w:bottom w:val="none" w:sz="0" w:space="0" w:color="auto"/>
        <w:right w:val="none" w:sz="0" w:space="0" w:color="auto"/>
      </w:divBdr>
    </w:div>
    <w:div w:id="1690373485">
      <w:marLeft w:val="0"/>
      <w:marRight w:val="0"/>
      <w:marTop w:val="0"/>
      <w:marBottom w:val="0"/>
      <w:divBdr>
        <w:top w:val="none" w:sz="0" w:space="0" w:color="auto"/>
        <w:left w:val="none" w:sz="0" w:space="0" w:color="auto"/>
        <w:bottom w:val="none" w:sz="0" w:space="0" w:color="auto"/>
        <w:right w:val="none" w:sz="0" w:space="0" w:color="auto"/>
      </w:divBdr>
    </w:div>
    <w:div w:id="1690373486">
      <w:marLeft w:val="0"/>
      <w:marRight w:val="0"/>
      <w:marTop w:val="0"/>
      <w:marBottom w:val="0"/>
      <w:divBdr>
        <w:top w:val="none" w:sz="0" w:space="0" w:color="auto"/>
        <w:left w:val="none" w:sz="0" w:space="0" w:color="auto"/>
        <w:bottom w:val="none" w:sz="0" w:space="0" w:color="auto"/>
        <w:right w:val="none" w:sz="0" w:space="0" w:color="auto"/>
      </w:divBdr>
    </w:div>
    <w:div w:id="1690373487">
      <w:marLeft w:val="0"/>
      <w:marRight w:val="0"/>
      <w:marTop w:val="0"/>
      <w:marBottom w:val="0"/>
      <w:divBdr>
        <w:top w:val="none" w:sz="0" w:space="0" w:color="auto"/>
        <w:left w:val="none" w:sz="0" w:space="0" w:color="auto"/>
        <w:bottom w:val="none" w:sz="0" w:space="0" w:color="auto"/>
        <w:right w:val="none" w:sz="0" w:space="0" w:color="auto"/>
      </w:divBdr>
    </w:div>
    <w:div w:id="1690373489">
      <w:marLeft w:val="0"/>
      <w:marRight w:val="0"/>
      <w:marTop w:val="0"/>
      <w:marBottom w:val="0"/>
      <w:divBdr>
        <w:top w:val="none" w:sz="0" w:space="0" w:color="auto"/>
        <w:left w:val="none" w:sz="0" w:space="0" w:color="auto"/>
        <w:bottom w:val="none" w:sz="0" w:space="0" w:color="auto"/>
        <w:right w:val="none" w:sz="0" w:space="0" w:color="auto"/>
      </w:divBdr>
    </w:div>
    <w:div w:id="1690373490">
      <w:marLeft w:val="0"/>
      <w:marRight w:val="0"/>
      <w:marTop w:val="0"/>
      <w:marBottom w:val="0"/>
      <w:divBdr>
        <w:top w:val="none" w:sz="0" w:space="0" w:color="auto"/>
        <w:left w:val="none" w:sz="0" w:space="0" w:color="auto"/>
        <w:bottom w:val="none" w:sz="0" w:space="0" w:color="auto"/>
        <w:right w:val="none" w:sz="0" w:space="0" w:color="auto"/>
      </w:divBdr>
    </w:div>
    <w:div w:id="1690373491">
      <w:marLeft w:val="0"/>
      <w:marRight w:val="0"/>
      <w:marTop w:val="0"/>
      <w:marBottom w:val="0"/>
      <w:divBdr>
        <w:top w:val="none" w:sz="0" w:space="0" w:color="auto"/>
        <w:left w:val="none" w:sz="0" w:space="0" w:color="auto"/>
        <w:bottom w:val="none" w:sz="0" w:space="0" w:color="auto"/>
        <w:right w:val="none" w:sz="0" w:space="0" w:color="auto"/>
      </w:divBdr>
    </w:div>
    <w:div w:id="1690373492">
      <w:marLeft w:val="0"/>
      <w:marRight w:val="0"/>
      <w:marTop w:val="0"/>
      <w:marBottom w:val="0"/>
      <w:divBdr>
        <w:top w:val="none" w:sz="0" w:space="0" w:color="auto"/>
        <w:left w:val="none" w:sz="0" w:space="0" w:color="auto"/>
        <w:bottom w:val="none" w:sz="0" w:space="0" w:color="auto"/>
        <w:right w:val="none" w:sz="0" w:space="0" w:color="auto"/>
      </w:divBdr>
    </w:div>
    <w:div w:id="1690373494">
      <w:marLeft w:val="0"/>
      <w:marRight w:val="0"/>
      <w:marTop w:val="0"/>
      <w:marBottom w:val="0"/>
      <w:divBdr>
        <w:top w:val="none" w:sz="0" w:space="0" w:color="auto"/>
        <w:left w:val="none" w:sz="0" w:space="0" w:color="auto"/>
        <w:bottom w:val="none" w:sz="0" w:space="0" w:color="auto"/>
        <w:right w:val="none" w:sz="0" w:space="0" w:color="auto"/>
      </w:divBdr>
    </w:div>
    <w:div w:id="1690373495">
      <w:marLeft w:val="0"/>
      <w:marRight w:val="0"/>
      <w:marTop w:val="0"/>
      <w:marBottom w:val="0"/>
      <w:divBdr>
        <w:top w:val="none" w:sz="0" w:space="0" w:color="auto"/>
        <w:left w:val="none" w:sz="0" w:space="0" w:color="auto"/>
        <w:bottom w:val="none" w:sz="0" w:space="0" w:color="auto"/>
        <w:right w:val="none" w:sz="0" w:space="0" w:color="auto"/>
      </w:divBdr>
    </w:div>
    <w:div w:id="1690373496">
      <w:marLeft w:val="0"/>
      <w:marRight w:val="0"/>
      <w:marTop w:val="0"/>
      <w:marBottom w:val="0"/>
      <w:divBdr>
        <w:top w:val="none" w:sz="0" w:space="0" w:color="auto"/>
        <w:left w:val="none" w:sz="0" w:space="0" w:color="auto"/>
        <w:bottom w:val="none" w:sz="0" w:space="0" w:color="auto"/>
        <w:right w:val="none" w:sz="0" w:space="0" w:color="auto"/>
      </w:divBdr>
    </w:div>
    <w:div w:id="1690373497">
      <w:marLeft w:val="0"/>
      <w:marRight w:val="0"/>
      <w:marTop w:val="0"/>
      <w:marBottom w:val="0"/>
      <w:divBdr>
        <w:top w:val="none" w:sz="0" w:space="0" w:color="auto"/>
        <w:left w:val="none" w:sz="0" w:space="0" w:color="auto"/>
        <w:bottom w:val="none" w:sz="0" w:space="0" w:color="auto"/>
        <w:right w:val="none" w:sz="0" w:space="0" w:color="auto"/>
      </w:divBdr>
    </w:div>
    <w:div w:id="1690373498">
      <w:marLeft w:val="0"/>
      <w:marRight w:val="0"/>
      <w:marTop w:val="0"/>
      <w:marBottom w:val="0"/>
      <w:divBdr>
        <w:top w:val="none" w:sz="0" w:space="0" w:color="auto"/>
        <w:left w:val="none" w:sz="0" w:space="0" w:color="auto"/>
        <w:bottom w:val="none" w:sz="0" w:space="0" w:color="auto"/>
        <w:right w:val="none" w:sz="0" w:space="0" w:color="auto"/>
      </w:divBdr>
    </w:div>
    <w:div w:id="1690373499">
      <w:marLeft w:val="0"/>
      <w:marRight w:val="0"/>
      <w:marTop w:val="0"/>
      <w:marBottom w:val="0"/>
      <w:divBdr>
        <w:top w:val="none" w:sz="0" w:space="0" w:color="auto"/>
        <w:left w:val="none" w:sz="0" w:space="0" w:color="auto"/>
        <w:bottom w:val="none" w:sz="0" w:space="0" w:color="auto"/>
        <w:right w:val="none" w:sz="0" w:space="0" w:color="auto"/>
      </w:divBdr>
    </w:div>
    <w:div w:id="1690373500">
      <w:marLeft w:val="0"/>
      <w:marRight w:val="0"/>
      <w:marTop w:val="0"/>
      <w:marBottom w:val="0"/>
      <w:divBdr>
        <w:top w:val="none" w:sz="0" w:space="0" w:color="auto"/>
        <w:left w:val="none" w:sz="0" w:space="0" w:color="auto"/>
        <w:bottom w:val="none" w:sz="0" w:space="0" w:color="auto"/>
        <w:right w:val="none" w:sz="0" w:space="0" w:color="auto"/>
      </w:divBdr>
    </w:div>
    <w:div w:id="1690373501">
      <w:marLeft w:val="0"/>
      <w:marRight w:val="0"/>
      <w:marTop w:val="0"/>
      <w:marBottom w:val="0"/>
      <w:divBdr>
        <w:top w:val="none" w:sz="0" w:space="0" w:color="auto"/>
        <w:left w:val="none" w:sz="0" w:space="0" w:color="auto"/>
        <w:bottom w:val="none" w:sz="0" w:space="0" w:color="auto"/>
        <w:right w:val="none" w:sz="0" w:space="0" w:color="auto"/>
      </w:divBdr>
    </w:div>
    <w:div w:id="1690373502">
      <w:marLeft w:val="0"/>
      <w:marRight w:val="0"/>
      <w:marTop w:val="0"/>
      <w:marBottom w:val="0"/>
      <w:divBdr>
        <w:top w:val="none" w:sz="0" w:space="0" w:color="auto"/>
        <w:left w:val="none" w:sz="0" w:space="0" w:color="auto"/>
        <w:bottom w:val="none" w:sz="0" w:space="0" w:color="auto"/>
        <w:right w:val="none" w:sz="0" w:space="0" w:color="auto"/>
      </w:divBdr>
    </w:div>
    <w:div w:id="1690373504">
      <w:marLeft w:val="0"/>
      <w:marRight w:val="0"/>
      <w:marTop w:val="0"/>
      <w:marBottom w:val="0"/>
      <w:divBdr>
        <w:top w:val="none" w:sz="0" w:space="0" w:color="auto"/>
        <w:left w:val="none" w:sz="0" w:space="0" w:color="auto"/>
        <w:bottom w:val="none" w:sz="0" w:space="0" w:color="auto"/>
        <w:right w:val="none" w:sz="0" w:space="0" w:color="auto"/>
      </w:divBdr>
    </w:div>
    <w:div w:id="1690373505">
      <w:marLeft w:val="0"/>
      <w:marRight w:val="0"/>
      <w:marTop w:val="0"/>
      <w:marBottom w:val="0"/>
      <w:divBdr>
        <w:top w:val="none" w:sz="0" w:space="0" w:color="auto"/>
        <w:left w:val="none" w:sz="0" w:space="0" w:color="auto"/>
        <w:bottom w:val="none" w:sz="0" w:space="0" w:color="auto"/>
        <w:right w:val="none" w:sz="0" w:space="0" w:color="auto"/>
      </w:divBdr>
    </w:div>
    <w:div w:id="1690373506">
      <w:marLeft w:val="0"/>
      <w:marRight w:val="0"/>
      <w:marTop w:val="0"/>
      <w:marBottom w:val="0"/>
      <w:divBdr>
        <w:top w:val="none" w:sz="0" w:space="0" w:color="auto"/>
        <w:left w:val="none" w:sz="0" w:space="0" w:color="auto"/>
        <w:bottom w:val="none" w:sz="0" w:space="0" w:color="auto"/>
        <w:right w:val="none" w:sz="0" w:space="0" w:color="auto"/>
      </w:divBdr>
    </w:div>
    <w:div w:id="1690373507">
      <w:marLeft w:val="0"/>
      <w:marRight w:val="0"/>
      <w:marTop w:val="0"/>
      <w:marBottom w:val="0"/>
      <w:divBdr>
        <w:top w:val="none" w:sz="0" w:space="0" w:color="auto"/>
        <w:left w:val="none" w:sz="0" w:space="0" w:color="auto"/>
        <w:bottom w:val="none" w:sz="0" w:space="0" w:color="auto"/>
        <w:right w:val="none" w:sz="0" w:space="0" w:color="auto"/>
      </w:divBdr>
    </w:div>
    <w:div w:id="1690373508">
      <w:marLeft w:val="0"/>
      <w:marRight w:val="0"/>
      <w:marTop w:val="0"/>
      <w:marBottom w:val="0"/>
      <w:divBdr>
        <w:top w:val="none" w:sz="0" w:space="0" w:color="auto"/>
        <w:left w:val="none" w:sz="0" w:space="0" w:color="auto"/>
        <w:bottom w:val="none" w:sz="0" w:space="0" w:color="auto"/>
        <w:right w:val="none" w:sz="0" w:space="0" w:color="auto"/>
      </w:divBdr>
    </w:div>
    <w:div w:id="1690373511">
      <w:marLeft w:val="0"/>
      <w:marRight w:val="0"/>
      <w:marTop w:val="0"/>
      <w:marBottom w:val="0"/>
      <w:divBdr>
        <w:top w:val="none" w:sz="0" w:space="0" w:color="auto"/>
        <w:left w:val="none" w:sz="0" w:space="0" w:color="auto"/>
        <w:bottom w:val="none" w:sz="0" w:space="0" w:color="auto"/>
        <w:right w:val="none" w:sz="0" w:space="0" w:color="auto"/>
      </w:divBdr>
    </w:div>
    <w:div w:id="1690373512">
      <w:marLeft w:val="0"/>
      <w:marRight w:val="0"/>
      <w:marTop w:val="0"/>
      <w:marBottom w:val="0"/>
      <w:divBdr>
        <w:top w:val="none" w:sz="0" w:space="0" w:color="auto"/>
        <w:left w:val="none" w:sz="0" w:space="0" w:color="auto"/>
        <w:bottom w:val="none" w:sz="0" w:space="0" w:color="auto"/>
        <w:right w:val="none" w:sz="0" w:space="0" w:color="auto"/>
      </w:divBdr>
    </w:div>
    <w:div w:id="1690373513">
      <w:marLeft w:val="0"/>
      <w:marRight w:val="0"/>
      <w:marTop w:val="0"/>
      <w:marBottom w:val="0"/>
      <w:divBdr>
        <w:top w:val="none" w:sz="0" w:space="0" w:color="auto"/>
        <w:left w:val="none" w:sz="0" w:space="0" w:color="auto"/>
        <w:bottom w:val="none" w:sz="0" w:space="0" w:color="auto"/>
        <w:right w:val="none" w:sz="0" w:space="0" w:color="auto"/>
      </w:divBdr>
    </w:div>
    <w:div w:id="1690373514">
      <w:marLeft w:val="0"/>
      <w:marRight w:val="0"/>
      <w:marTop w:val="0"/>
      <w:marBottom w:val="0"/>
      <w:divBdr>
        <w:top w:val="none" w:sz="0" w:space="0" w:color="auto"/>
        <w:left w:val="none" w:sz="0" w:space="0" w:color="auto"/>
        <w:bottom w:val="none" w:sz="0" w:space="0" w:color="auto"/>
        <w:right w:val="none" w:sz="0" w:space="0" w:color="auto"/>
      </w:divBdr>
    </w:div>
    <w:div w:id="1690373515">
      <w:marLeft w:val="0"/>
      <w:marRight w:val="0"/>
      <w:marTop w:val="0"/>
      <w:marBottom w:val="0"/>
      <w:divBdr>
        <w:top w:val="none" w:sz="0" w:space="0" w:color="auto"/>
        <w:left w:val="none" w:sz="0" w:space="0" w:color="auto"/>
        <w:bottom w:val="none" w:sz="0" w:space="0" w:color="auto"/>
        <w:right w:val="none" w:sz="0" w:space="0" w:color="auto"/>
      </w:divBdr>
    </w:div>
    <w:div w:id="1690373516">
      <w:marLeft w:val="0"/>
      <w:marRight w:val="0"/>
      <w:marTop w:val="0"/>
      <w:marBottom w:val="0"/>
      <w:divBdr>
        <w:top w:val="none" w:sz="0" w:space="0" w:color="auto"/>
        <w:left w:val="none" w:sz="0" w:space="0" w:color="auto"/>
        <w:bottom w:val="none" w:sz="0" w:space="0" w:color="auto"/>
        <w:right w:val="none" w:sz="0" w:space="0" w:color="auto"/>
      </w:divBdr>
    </w:div>
    <w:div w:id="1690373517">
      <w:marLeft w:val="0"/>
      <w:marRight w:val="0"/>
      <w:marTop w:val="0"/>
      <w:marBottom w:val="0"/>
      <w:divBdr>
        <w:top w:val="none" w:sz="0" w:space="0" w:color="auto"/>
        <w:left w:val="none" w:sz="0" w:space="0" w:color="auto"/>
        <w:bottom w:val="none" w:sz="0" w:space="0" w:color="auto"/>
        <w:right w:val="none" w:sz="0" w:space="0" w:color="auto"/>
      </w:divBdr>
    </w:div>
    <w:div w:id="1690373518">
      <w:marLeft w:val="0"/>
      <w:marRight w:val="0"/>
      <w:marTop w:val="0"/>
      <w:marBottom w:val="0"/>
      <w:divBdr>
        <w:top w:val="none" w:sz="0" w:space="0" w:color="auto"/>
        <w:left w:val="none" w:sz="0" w:space="0" w:color="auto"/>
        <w:bottom w:val="none" w:sz="0" w:space="0" w:color="auto"/>
        <w:right w:val="none" w:sz="0" w:space="0" w:color="auto"/>
      </w:divBdr>
    </w:div>
    <w:div w:id="1690373520">
      <w:marLeft w:val="0"/>
      <w:marRight w:val="0"/>
      <w:marTop w:val="0"/>
      <w:marBottom w:val="0"/>
      <w:divBdr>
        <w:top w:val="none" w:sz="0" w:space="0" w:color="auto"/>
        <w:left w:val="none" w:sz="0" w:space="0" w:color="auto"/>
        <w:bottom w:val="none" w:sz="0" w:space="0" w:color="auto"/>
        <w:right w:val="none" w:sz="0" w:space="0" w:color="auto"/>
      </w:divBdr>
    </w:div>
    <w:div w:id="1690373521">
      <w:marLeft w:val="0"/>
      <w:marRight w:val="0"/>
      <w:marTop w:val="0"/>
      <w:marBottom w:val="0"/>
      <w:divBdr>
        <w:top w:val="none" w:sz="0" w:space="0" w:color="auto"/>
        <w:left w:val="none" w:sz="0" w:space="0" w:color="auto"/>
        <w:bottom w:val="none" w:sz="0" w:space="0" w:color="auto"/>
        <w:right w:val="none" w:sz="0" w:space="0" w:color="auto"/>
      </w:divBdr>
    </w:div>
    <w:div w:id="1690373524">
      <w:marLeft w:val="0"/>
      <w:marRight w:val="0"/>
      <w:marTop w:val="0"/>
      <w:marBottom w:val="0"/>
      <w:divBdr>
        <w:top w:val="none" w:sz="0" w:space="0" w:color="auto"/>
        <w:left w:val="none" w:sz="0" w:space="0" w:color="auto"/>
        <w:bottom w:val="none" w:sz="0" w:space="0" w:color="auto"/>
        <w:right w:val="none" w:sz="0" w:space="0" w:color="auto"/>
      </w:divBdr>
    </w:div>
    <w:div w:id="1690373526">
      <w:marLeft w:val="0"/>
      <w:marRight w:val="0"/>
      <w:marTop w:val="0"/>
      <w:marBottom w:val="0"/>
      <w:divBdr>
        <w:top w:val="none" w:sz="0" w:space="0" w:color="auto"/>
        <w:left w:val="none" w:sz="0" w:space="0" w:color="auto"/>
        <w:bottom w:val="none" w:sz="0" w:space="0" w:color="auto"/>
        <w:right w:val="none" w:sz="0" w:space="0" w:color="auto"/>
      </w:divBdr>
    </w:div>
    <w:div w:id="1690373529">
      <w:marLeft w:val="0"/>
      <w:marRight w:val="0"/>
      <w:marTop w:val="0"/>
      <w:marBottom w:val="0"/>
      <w:divBdr>
        <w:top w:val="none" w:sz="0" w:space="0" w:color="auto"/>
        <w:left w:val="none" w:sz="0" w:space="0" w:color="auto"/>
        <w:bottom w:val="none" w:sz="0" w:space="0" w:color="auto"/>
        <w:right w:val="none" w:sz="0" w:space="0" w:color="auto"/>
      </w:divBdr>
    </w:div>
    <w:div w:id="1690373530">
      <w:marLeft w:val="0"/>
      <w:marRight w:val="0"/>
      <w:marTop w:val="0"/>
      <w:marBottom w:val="0"/>
      <w:divBdr>
        <w:top w:val="none" w:sz="0" w:space="0" w:color="auto"/>
        <w:left w:val="none" w:sz="0" w:space="0" w:color="auto"/>
        <w:bottom w:val="none" w:sz="0" w:space="0" w:color="auto"/>
        <w:right w:val="none" w:sz="0" w:space="0" w:color="auto"/>
      </w:divBdr>
    </w:div>
    <w:div w:id="1690373531">
      <w:marLeft w:val="0"/>
      <w:marRight w:val="0"/>
      <w:marTop w:val="0"/>
      <w:marBottom w:val="0"/>
      <w:divBdr>
        <w:top w:val="none" w:sz="0" w:space="0" w:color="auto"/>
        <w:left w:val="none" w:sz="0" w:space="0" w:color="auto"/>
        <w:bottom w:val="none" w:sz="0" w:space="0" w:color="auto"/>
        <w:right w:val="none" w:sz="0" w:space="0" w:color="auto"/>
      </w:divBdr>
    </w:div>
    <w:div w:id="1690373532">
      <w:marLeft w:val="0"/>
      <w:marRight w:val="0"/>
      <w:marTop w:val="0"/>
      <w:marBottom w:val="0"/>
      <w:divBdr>
        <w:top w:val="none" w:sz="0" w:space="0" w:color="auto"/>
        <w:left w:val="none" w:sz="0" w:space="0" w:color="auto"/>
        <w:bottom w:val="none" w:sz="0" w:space="0" w:color="auto"/>
        <w:right w:val="none" w:sz="0" w:space="0" w:color="auto"/>
      </w:divBdr>
    </w:div>
    <w:div w:id="1690373533">
      <w:marLeft w:val="0"/>
      <w:marRight w:val="0"/>
      <w:marTop w:val="0"/>
      <w:marBottom w:val="0"/>
      <w:divBdr>
        <w:top w:val="none" w:sz="0" w:space="0" w:color="auto"/>
        <w:left w:val="none" w:sz="0" w:space="0" w:color="auto"/>
        <w:bottom w:val="none" w:sz="0" w:space="0" w:color="auto"/>
        <w:right w:val="none" w:sz="0" w:space="0" w:color="auto"/>
      </w:divBdr>
    </w:div>
    <w:div w:id="1690373534">
      <w:marLeft w:val="0"/>
      <w:marRight w:val="0"/>
      <w:marTop w:val="0"/>
      <w:marBottom w:val="0"/>
      <w:divBdr>
        <w:top w:val="none" w:sz="0" w:space="0" w:color="auto"/>
        <w:left w:val="none" w:sz="0" w:space="0" w:color="auto"/>
        <w:bottom w:val="none" w:sz="0" w:space="0" w:color="auto"/>
        <w:right w:val="none" w:sz="0" w:space="0" w:color="auto"/>
      </w:divBdr>
    </w:div>
    <w:div w:id="1690373535">
      <w:marLeft w:val="0"/>
      <w:marRight w:val="0"/>
      <w:marTop w:val="0"/>
      <w:marBottom w:val="0"/>
      <w:divBdr>
        <w:top w:val="none" w:sz="0" w:space="0" w:color="auto"/>
        <w:left w:val="none" w:sz="0" w:space="0" w:color="auto"/>
        <w:bottom w:val="none" w:sz="0" w:space="0" w:color="auto"/>
        <w:right w:val="none" w:sz="0" w:space="0" w:color="auto"/>
      </w:divBdr>
    </w:div>
    <w:div w:id="1690373537">
      <w:marLeft w:val="0"/>
      <w:marRight w:val="0"/>
      <w:marTop w:val="0"/>
      <w:marBottom w:val="0"/>
      <w:divBdr>
        <w:top w:val="none" w:sz="0" w:space="0" w:color="auto"/>
        <w:left w:val="none" w:sz="0" w:space="0" w:color="auto"/>
        <w:bottom w:val="none" w:sz="0" w:space="0" w:color="auto"/>
        <w:right w:val="none" w:sz="0" w:space="0" w:color="auto"/>
      </w:divBdr>
      <w:divsChild>
        <w:div w:id="1690373558">
          <w:marLeft w:val="0"/>
          <w:marRight w:val="0"/>
          <w:marTop w:val="225"/>
          <w:marBottom w:val="0"/>
          <w:divBdr>
            <w:top w:val="none" w:sz="0" w:space="0" w:color="auto"/>
            <w:left w:val="none" w:sz="0" w:space="0" w:color="auto"/>
            <w:bottom w:val="none" w:sz="0" w:space="0" w:color="auto"/>
            <w:right w:val="none" w:sz="0" w:space="0" w:color="auto"/>
          </w:divBdr>
          <w:divsChild>
            <w:div w:id="1690373528">
              <w:marLeft w:val="0"/>
              <w:marRight w:val="0"/>
              <w:marTop w:val="0"/>
              <w:marBottom w:val="120"/>
              <w:divBdr>
                <w:top w:val="none" w:sz="0" w:space="0" w:color="auto"/>
                <w:left w:val="none" w:sz="0" w:space="0" w:color="auto"/>
                <w:bottom w:val="none" w:sz="0" w:space="0" w:color="auto"/>
                <w:right w:val="none" w:sz="0" w:space="0" w:color="auto"/>
              </w:divBdr>
              <w:divsChild>
                <w:div w:id="16903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373538">
      <w:marLeft w:val="0"/>
      <w:marRight w:val="0"/>
      <w:marTop w:val="0"/>
      <w:marBottom w:val="0"/>
      <w:divBdr>
        <w:top w:val="none" w:sz="0" w:space="0" w:color="auto"/>
        <w:left w:val="none" w:sz="0" w:space="0" w:color="auto"/>
        <w:bottom w:val="none" w:sz="0" w:space="0" w:color="auto"/>
        <w:right w:val="none" w:sz="0" w:space="0" w:color="auto"/>
      </w:divBdr>
    </w:div>
    <w:div w:id="1690373539">
      <w:marLeft w:val="0"/>
      <w:marRight w:val="0"/>
      <w:marTop w:val="0"/>
      <w:marBottom w:val="0"/>
      <w:divBdr>
        <w:top w:val="none" w:sz="0" w:space="0" w:color="auto"/>
        <w:left w:val="none" w:sz="0" w:space="0" w:color="auto"/>
        <w:bottom w:val="none" w:sz="0" w:space="0" w:color="auto"/>
        <w:right w:val="none" w:sz="0" w:space="0" w:color="auto"/>
      </w:divBdr>
      <w:divsChild>
        <w:div w:id="1690373554">
          <w:marLeft w:val="0"/>
          <w:marRight w:val="0"/>
          <w:marTop w:val="75"/>
          <w:marBottom w:val="0"/>
          <w:divBdr>
            <w:top w:val="none" w:sz="0" w:space="0" w:color="auto"/>
            <w:left w:val="none" w:sz="0" w:space="0" w:color="auto"/>
            <w:bottom w:val="none" w:sz="0" w:space="0" w:color="auto"/>
            <w:right w:val="none" w:sz="0" w:space="0" w:color="auto"/>
          </w:divBdr>
          <w:divsChild>
            <w:div w:id="1690373525">
              <w:marLeft w:val="0"/>
              <w:marRight w:val="0"/>
              <w:marTop w:val="225"/>
              <w:marBottom w:val="0"/>
              <w:divBdr>
                <w:top w:val="none" w:sz="0" w:space="0" w:color="auto"/>
                <w:left w:val="none" w:sz="0" w:space="0" w:color="auto"/>
                <w:bottom w:val="none" w:sz="0" w:space="0" w:color="auto"/>
                <w:right w:val="none" w:sz="0" w:space="0" w:color="auto"/>
              </w:divBdr>
              <w:divsChild>
                <w:div w:id="1690373565">
                  <w:marLeft w:val="0"/>
                  <w:marRight w:val="0"/>
                  <w:marTop w:val="0"/>
                  <w:marBottom w:val="120"/>
                  <w:divBdr>
                    <w:top w:val="none" w:sz="0" w:space="0" w:color="auto"/>
                    <w:left w:val="none" w:sz="0" w:space="0" w:color="auto"/>
                    <w:bottom w:val="none" w:sz="0" w:space="0" w:color="auto"/>
                    <w:right w:val="none" w:sz="0" w:space="0" w:color="auto"/>
                  </w:divBdr>
                  <w:divsChild>
                    <w:div w:id="1690373474">
                      <w:marLeft w:val="0"/>
                      <w:marRight w:val="0"/>
                      <w:marTop w:val="0"/>
                      <w:marBottom w:val="0"/>
                      <w:divBdr>
                        <w:top w:val="none" w:sz="0" w:space="0" w:color="auto"/>
                        <w:left w:val="none" w:sz="0" w:space="0" w:color="auto"/>
                        <w:bottom w:val="none" w:sz="0" w:space="0" w:color="auto"/>
                        <w:right w:val="none" w:sz="0" w:space="0" w:color="auto"/>
                      </w:divBdr>
                    </w:div>
                    <w:div w:id="1690373493">
                      <w:marLeft w:val="0"/>
                      <w:marRight w:val="0"/>
                      <w:marTop w:val="0"/>
                      <w:marBottom w:val="0"/>
                      <w:divBdr>
                        <w:top w:val="none" w:sz="0" w:space="0" w:color="auto"/>
                        <w:left w:val="none" w:sz="0" w:space="0" w:color="auto"/>
                        <w:bottom w:val="none" w:sz="0" w:space="0" w:color="auto"/>
                        <w:right w:val="none" w:sz="0" w:space="0" w:color="auto"/>
                      </w:divBdr>
                    </w:div>
                    <w:div w:id="1690373509">
                      <w:marLeft w:val="0"/>
                      <w:marRight w:val="0"/>
                      <w:marTop w:val="0"/>
                      <w:marBottom w:val="0"/>
                      <w:divBdr>
                        <w:top w:val="none" w:sz="0" w:space="0" w:color="auto"/>
                        <w:left w:val="none" w:sz="0" w:space="0" w:color="auto"/>
                        <w:bottom w:val="none" w:sz="0" w:space="0" w:color="auto"/>
                        <w:right w:val="none" w:sz="0" w:space="0" w:color="auto"/>
                      </w:divBdr>
                    </w:div>
                    <w:div w:id="1690373510">
                      <w:marLeft w:val="0"/>
                      <w:marRight w:val="0"/>
                      <w:marTop w:val="0"/>
                      <w:marBottom w:val="0"/>
                      <w:divBdr>
                        <w:top w:val="none" w:sz="0" w:space="0" w:color="auto"/>
                        <w:left w:val="none" w:sz="0" w:space="0" w:color="auto"/>
                        <w:bottom w:val="none" w:sz="0" w:space="0" w:color="auto"/>
                        <w:right w:val="none" w:sz="0" w:space="0" w:color="auto"/>
                      </w:divBdr>
                    </w:div>
                    <w:div w:id="1690373522">
                      <w:marLeft w:val="0"/>
                      <w:marRight w:val="0"/>
                      <w:marTop w:val="0"/>
                      <w:marBottom w:val="0"/>
                      <w:divBdr>
                        <w:top w:val="none" w:sz="0" w:space="0" w:color="auto"/>
                        <w:left w:val="none" w:sz="0" w:space="0" w:color="auto"/>
                        <w:bottom w:val="none" w:sz="0" w:space="0" w:color="auto"/>
                        <w:right w:val="none" w:sz="0" w:space="0" w:color="auto"/>
                      </w:divBdr>
                    </w:div>
                    <w:div w:id="1690373544">
                      <w:marLeft w:val="0"/>
                      <w:marRight w:val="0"/>
                      <w:marTop w:val="0"/>
                      <w:marBottom w:val="0"/>
                      <w:divBdr>
                        <w:top w:val="none" w:sz="0" w:space="0" w:color="auto"/>
                        <w:left w:val="none" w:sz="0" w:space="0" w:color="auto"/>
                        <w:bottom w:val="none" w:sz="0" w:space="0" w:color="auto"/>
                        <w:right w:val="none" w:sz="0" w:space="0" w:color="auto"/>
                      </w:divBdr>
                    </w:div>
                    <w:div w:id="1690373555">
                      <w:marLeft w:val="0"/>
                      <w:marRight w:val="0"/>
                      <w:marTop w:val="0"/>
                      <w:marBottom w:val="0"/>
                      <w:divBdr>
                        <w:top w:val="none" w:sz="0" w:space="0" w:color="auto"/>
                        <w:left w:val="none" w:sz="0" w:space="0" w:color="auto"/>
                        <w:bottom w:val="none" w:sz="0" w:space="0" w:color="auto"/>
                        <w:right w:val="none" w:sz="0" w:space="0" w:color="auto"/>
                      </w:divBdr>
                    </w:div>
                    <w:div w:id="1690373556">
                      <w:marLeft w:val="0"/>
                      <w:marRight w:val="0"/>
                      <w:marTop w:val="0"/>
                      <w:marBottom w:val="0"/>
                      <w:divBdr>
                        <w:top w:val="none" w:sz="0" w:space="0" w:color="auto"/>
                        <w:left w:val="none" w:sz="0" w:space="0" w:color="auto"/>
                        <w:bottom w:val="none" w:sz="0" w:space="0" w:color="auto"/>
                        <w:right w:val="none" w:sz="0" w:space="0" w:color="auto"/>
                      </w:divBdr>
                    </w:div>
                    <w:div w:id="1690373566">
                      <w:marLeft w:val="0"/>
                      <w:marRight w:val="0"/>
                      <w:marTop w:val="0"/>
                      <w:marBottom w:val="0"/>
                      <w:divBdr>
                        <w:top w:val="none" w:sz="0" w:space="0" w:color="auto"/>
                        <w:left w:val="none" w:sz="0" w:space="0" w:color="auto"/>
                        <w:bottom w:val="none" w:sz="0" w:space="0" w:color="auto"/>
                        <w:right w:val="none" w:sz="0" w:space="0" w:color="auto"/>
                      </w:divBdr>
                    </w:div>
                    <w:div w:id="169037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373540">
      <w:marLeft w:val="0"/>
      <w:marRight w:val="0"/>
      <w:marTop w:val="0"/>
      <w:marBottom w:val="0"/>
      <w:divBdr>
        <w:top w:val="none" w:sz="0" w:space="0" w:color="auto"/>
        <w:left w:val="none" w:sz="0" w:space="0" w:color="auto"/>
        <w:bottom w:val="none" w:sz="0" w:space="0" w:color="auto"/>
        <w:right w:val="none" w:sz="0" w:space="0" w:color="auto"/>
      </w:divBdr>
    </w:div>
    <w:div w:id="1690373541">
      <w:marLeft w:val="0"/>
      <w:marRight w:val="0"/>
      <w:marTop w:val="0"/>
      <w:marBottom w:val="0"/>
      <w:divBdr>
        <w:top w:val="none" w:sz="0" w:space="0" w:color="auto"/>
        <w:left w:val="none" w:sz="0" w:space="0" w:color="auto"/>
        <w:bottom w:val="none" w:sz="0" w:space="0" w:color="auto"/>
        <w:right w:val="none" w:sz="0" w:space="0" w:color="auto"/>
      </w:divBdr>
    </w:div>
    <w:div w:id="1690373542">
      <w:marLeft w:val="0"/>
      <w:marRight w:val="0"/>
      <w:marTop w:val="0"/>
      <w:marBottom w:val="0"/>
      <w:divBdr>
        <w:top w:val="none" w:sz="0" w:space="0" w:color="auto"/>
        <w:left w:val="none" w:sz="0" w:space="0" w:color="auto"/>
        <w:bottom w:val="none" w:sz="0" w:space="0" w:color="auto"/>
        <w:right w:val="none" w:sz="0" w:space="0" w:color="auto"/>
      </w:divBdr>
    </w:div>
    <w:div w:id="1690373545">
      <w:marLeft w:val="0"/>
      <w:marRight w:val="0"/>
      <w:marTop w:val="0"/>
      <w:marBottom w:val="0"/>
      <w:divBdr>
        <w:top w:val="none" w:sz="0" w:space="0" w:color="auto"/>
        <w:left w:val="none" w:sz="0" w:space="0" w:color="auto"/>
        <w:bottom w:val="none" w:sz="0" w:space="0" w:color="auto"/>
        <w:right w:val="none" w:sz="0" w:space="0" w:color="auto"/>
      </w:divBdr>
    </w:div>
    <w:div w:id="1690373546">
      <w:marLeft w:val="0"/>
      <w:marRight w:val="0"/>
      <w:marTop w:val="0"/>
      <w:marBottom w:val="0"/>
      <w:divBdr>
        <w:top w:val="none" w:sz="0" w:space="0" w:color="auto"/>
        <w:left w:val="none" w:sz="0" w:space="0" w:color="auto"/>
        <w:bottom w:val="none" w:sz="0" w:space="0" w:color="auto"/>
        <w:right w:val="none" w:sz="0" w:space="0" w:color="auto"/>
      </w:divBdr>
    </w:div>
    <w:div w:id="1690373547">
      <w:marLeft w:val="0"/>
      <w:marRight w:val="0"/>
      <w:marTop w:val="0"/>
      <w:marBottom w:val="0"/>
      <w:divBdr>
        <w:top w:val="none" w:sz="0" w:space="0" w:color="auto"/>
        <w:left w:val="none" w:sz="0" w:space="0" w:color="auto"/>
        <w:bottom w:val="none" w:sz="0" w:space="0" w:color="auto"/>
        <w:right w:val="none" w:sz="0" w:space="0" w:color="auto"/>
      </w:divBdr>
    </w:div>
    <w:div w:id="1690373548">
      <w:marLeft w:val="0"/>
      <w:marRight w:val="0"/>
      <w:marTop w:val="0"/>
      <w:marBottom w:val="0"/>
      <w:divBdr>
        <w:top w:val="none" w:sz="0" w:space="0" w:color="auto"/>
        <w:left w:val="none" w:sz="0" w:space="0" w:color="auto"/>
        <w:bottom w:val="none" w:sz="0" w:space="0" w:color="auto"/>
        <w:right w:val="none" w:sz="0" w:space="0" w:color="auto"/>
      </w:divBdr>
    </w:div>
    <w:div w:id="1690373549">
      <w:marLeft w:val="0"/>
      <w:marRight w:val="0"/>
      <w:marTop w:val="0"/>
      <w:marBottom w:val="0"/>
      <w:divBdr>
        <w:top w:val="none" w:sz="0" w:space="0" w:color="auto"/>
        <w:left w:val="none" w:sz="0" w:space="0" w:color="auto"/>
        <w:bottom w:val="none" w:sz="0" w:space="0" w:color="auto"/>
        <w:right w:val="none" w:sz="0" w:space="0" w:color="auto"/>
      </w:divBdr>
    </w:div>
    <w:div w:id="1690373550">
      <w:marLeft w:val="0"/>
      <w:marRight w:val="0"/>
      <w:marTop w:val="0"/>
      <w:marBottom w:val="0"/>
      <w:divBdr>
        <w:top w:val="none" w:sz="0" w:space="0" w:color="auto"/>
        <w:left w:val="none" w:sz="0" w:space="0" w:color="auto"/>
        <w:bottom w:val="none" w:sz="0" w:space="0" w:color="auto"/>
        <w:right w:val="none" w:sz="0" w:space="0" w:color="auto"/>
      </w:divBdr>
      <w:divsChild>
        <w:div w:id="1690373488">
          <w:marLeft w:val="0"/>
          <w:marRight w:val="0"/>
          <w:marTop w:val="75"/>
          <w:marBottom w:val="0"/>
          <w:divBdr>
            <w:top w:val="none" w:sz="0" w:space="0" w:color="auto"/>
            <w:left w:val="none" w:sz="0" w:space="0" w:color="auto"/>
            <w:bottom w:val="none" w:sz="0" w:space="0" w:color="auto"/>
            <w:right w:val="none" w:sz="0" w:space="0" w:color="auto"/>
          </w:divBdr>
          <w:divsChild>
            <w:div w:id="1690373519">
              <w:marLeft w:val="0"/>
              <w:marRight w:val="0"/>
              <w:marTop w:val="225"/>
              <w:marBottom w:val="0"/>
              <w:divBdr>
                <w:top w:val="none" w:sz="0" w:space="0" w:color="auto"/>
                <w:left w:val="none" w:sz="0" w:space="0" w:color="auto"/>
                <w:bottom w:val="none" w:sz="0" w:space="0" w:color="auto"/>
                <w:right w:val="none" w:sz="0" w:space="0" w:color="auto"/>
              </w:divBdr>
              <w:divsChild>
                <w:div w:id="1690373571">
                  <w:marLeft w:val="0"/>
                  <w:marRight w:val="0"/>
                  <w:marTop w:val="150"/>
                  <w:marBottom w:val="0"/>
                  <w:divBdr>
                    <w:top w:val="none" w:sz="0" w:space="0" w:color="auto"/>
                    <w:left w:val="none" w:sz="0" w:space="0" w:color="auto"/>
                    <w:bottom w:val="none" w:sz="0" w:space="0" w:color="auto"/>
                    <w:right w:val="none" w:sz="0" w:space="0" w:color="auto"/>
                  </w:divBdr>
                  <w:divsChild>
                    <w:div w:id="1690373472">
                      <w:marLeft w:val="0"/>
                      <w:marRight w:val="0"/>
                      <w:marTop w:val="0"/>
                      <w:marBottom w:val="120"/>
                      <w:divBdr>
                        <w:top w:val="none" w:sz="0" w:space="0" w:color="auto"/>
                        <w:left w:val="none" w:sz="0" w:space="0" w:color="auto"/>
                        <w:bottom w:val="none" w:sz="0" w:space="0" w:color="auto"/>
                        <w:right w:val="none" w:sz="0" w:space="0" w:color="auto"/>
                      </w:divBdr>
                      <w:divsChild>
                        <w:div w:id="1690373523">
                          <w:marLeft w:val="0"/>
                          <w:marRight w:val="0"/>
                          <w:marTop w:val="0"/>
                          <w:marBottom w:val="0"/>
                          <w:divBdr>
                            <w:top w:val="none" w:sz="0" w:space="0" w:color="auto"/>
                            <w:left w:val="none" w:sz="0" w:space="0" w:color="auto"/>
                            <w:bottom w:val="none" w:sz="0" w:space="0" w:color="auto"/>
                            <w:right w:val="none" w:sz="0" w:space="0" w:color="auto"/>
                          </w:divBdr>
                        </w:div>
                        <w:div w:id="169037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373551">
      <w:marLeft w:val="0"/>
      <w:marRight w:val="0"/>
      <w:marTop w:val="0"/>
      <w:marBottom w:val="0"/>
      <w:divBdr>
        <w:top w:val="none" w:sz="0" w:space="0" w:color="auto"/>
        <w:left w:val="none" w:sz="0" w:space="0" w:color="auto"/>
        <w:bottom w:val="none" w:sz="0" w:space="0" w:color="auto"/>
        <w:right w:val="none" w:sz="0" w:space="0" w:color="auto"/>
      </w:divBdr>
    </w:div>
    <w:div w:id="1690373552">
      <w:marLeft w:val="0"/>
      <w:marRight w:val="0"/>
      <w:marTop w:val="0"/>
      <w:marBottom w:val="0"/>
      <w:divBdr>
        <w:top w:val="none" w:sz="0" w:space="0" w:color="auto"/>
        <w:left w:val="none" w:sz="0" w:space="0" w:color="auto"/>
        <w:bottom w:val="none" w:sz="0" w:space="0" w:color="auto"/>
        <w:right w:val="none" w:sz="0" w:space="0" w:color="auto"/>
      </w:divBdr>
    </w:div>
    <w:div w:id="1690373553">
      <w:marLeft w:val="0"/>
      <w:marRight w:val="0"/>
      <w:marTop w:val="0"/>
      <w:marBottom w:val="0"/>
      <w:divBdr>
        <w:top w:val="none" w:sz="0" w:space="0" w:color="auto"/>
        <w:left w:val="none" w:sz="0" w:space="0" w:color="auto"/>
        <w:bottom w:val="none" w:sz="0" w:space="0" w:color="auto"/>
        <w:right w:val="none" w:sz="0" w:space="0" w:color="auto"/>
      </w:divBdr>
    </w:div>
    <w:div w:id="1690373557">
      <w:marLeft w:val="0"/>
      <w:marRight w:val="0"/>
      <w:marTop w:val="0"/>
      <w:marBottom w:val="0"/>
      <w:divBdr>
        <w:top w:val="none" w:sz="0" w:space="0" w:color="auto"/>
        <w:left w:val="none" w:sz="0" w:space="0" w:color="auto"/>
        <w:bottom w:val="none" w:sz="0" w:space="0" w:color="auto"/>
        <w:right w:val="none" w:sz="0" w:space="0" w:color="auto"/>
      </w:divBdr>
    </w:div>
    <w:div w:id="1690373559">
      <w:marLeft w:val="0"/>
      <w:marRight w:val="0"/>
      <w:marTop w:val="0"/>
      <w:marBottom w:val="0"/>
      <w:divBdr>
        <w:top w:val="none" w:sz="0" w:space="0" w:color="auto"/>
        <w:left w:val="none" w:sz="0" w:space="0" w:color="auto"/>
        <w:bottom w:val="none" w:sz="0" w:space="0" w:color="auto"/>
        <w:right w:val="none" w:sz="0" w:space="0" w:color="auto"/>
      </w:divBdr>
    </w:div>
    <w:div w:id="1690373560">
      <w:marLeft w:val="0"/>
      <w:marRight w:val="0"/>
      <w:marTop w:val="0"/>
      <w:marBottom w:val="0"/>
      <w:divBdr>
        <w:top w:val="none" w:sz="0" w:space="0" w:color="auto"/>
        <w:left w:val="none" w:sz="0" w:space="0" w:color="auto"/>
        <w:bottom w:val="none" w:sz="0" w:space="0" w:color="auto"/>
        <w:right w:val="none" w:sz="0" w:space="0" w:color="auto"/>
      </w:divBdr>
    </w:div>
    <w:div w:id="1690373561">
      <w:marLeft w:val="0"/>
      <w:marRight w:val="0"/>
      <w:marTop w:val="0"/>
      <w:marBottom w:val="0"/>
      <w:divBdr>
        <w:top w:val="none" w:sz="0" w:space="0" w:color="auto"/>
        <w:left w:val="none" w:sz="0" w:space="0" w:color="auto"/>
        <w:bottom w:val="none" w:sz="0" w:space="0" w:color="auto"/>
        <w:right w:val="none" w:sz="0" w:space="0" w:color="auto"/>
      </w:divBdr>
    </w:div>
    <w:div w:id="1690373563">
      <w:marLeft w:val="0"/>
      <w:marRight w:val="0"/>
      <w:marTop w:val="0"/>
      <w:marBottom w:val="0"/>
      <w:divBdr>
        <w:top w:val="none" w:sz="0" w:space="0" w:color="auto"/>
        <w:left w:val="none" w:sz="0" w:space="0" w:color="auto"/>
        <w:bottom w:val="none" w:sz="0" w:space="0" w:color="auto"/>
        <w:right w:val="none" w:sz="0" w:space="0" w:color="auto"/>
      </w:divBdr>
    </w:div>
    <w:div w:id="1690373564">
      <w:marLeft w:val="0"/>
      <w:marRight w:val="0"/>
      <w:marTop w:val="0"/>
      <w:marBottom w:val="0"/>
      <w:divBdr>
        <w:top w:val="none" w:sz="0" w:space="0" w:color="auto"/>
        <w:left w:val="none" w:sz="0" w:space="0" w:color="auto"/>
        <w:bottom w:val="none" w:sz="0" w:space="0" w:color="auto"/>
        <w:right w:val="none" w:sz="0" w:space="0" w:color="auto"/>
      </w:divBdr>
    </w:div>
    <w:div w:id="1690373567">
      <w:marLeft w:val="0"/>
      <w:marRight w:val="0"/>
      <w:marTop w:val="0"/>
      <w:marBottom w:val="0"/>
      <w:divBdr>
        <w:top w:val="none" w:sz="0" w:space="0" w:color="auto"/>
        <w:left w:val="none" w:sz="0" w:space="0" w:color="auto"/>
        <w:bottom w:val="none" w:sz="0" w:space="0" w:color="auto"/>
        <w:right w:val="none" w:sz="0" w:space="0" w:color="auto"/>
      </w:divBdr>
    </w:div>
    <w:div w:id="1690373568">
      <w:marLeft w:val="0"/>
      <w:marRight w:val="0"/>
      <w:marTop w:val="0"/>
      <w:marBottom w:val="0"/>
      <w:divBdr>
        <w:top w:val="none" w:sz="0" w:space="0" w:color="auto"/>
        <w:left w:val="none" w:sz="0" w:space="0" w:color="auto"/>
        <w:bottom w:val="none" w:sz="0" w:space="0" w:color="auto"/>
        <w:right w:val="none" w:sz="0" w:space="0" w:color="auto"/>
      </w:divBdr>
    </w:div>
    <w:div w:id="1690373569">
      <w:marLeft w:val="0"/>
      <w:marRight w:val="0"/>
      <w:marTop w:val="0"/>
      <w:marBottom w:val="0"/>
      <w:divBdr>
        <w:top w:val="none" w:sz="0" w:space="0" w:color="auto"/>
        <w:left w:val="none" w:sz="0" w:space="0" w:color="auto"/>
        <w:bottom w:val="none" w:sz="0" w:space="0" w:color="auto"/>
        <w:right w:val="none" w:sz="0" w:space="0" w:color="auto"/>
      </w:divBdr>
      <w:divsChild>
        <w:div w:id="1690373536">
          <w:marLeft w:val="0"/>
          <w:marRight w:val="0"/>
          <w:marTop w:val="75"/>
          <w:marBottom w:val="0"/>
          <w:divBdr>
            <w:top w:val="none" w:sz="0" w:space="0" w:color="auto"/>
            <w:left w:val="none" w:sz="0" w:space="0" w:color="auto"/>
            <w:bottom w:val="none" w:sz="0" w:space="0" w:color="auto"/>
            <w:right w:val="none" w:sz="0" w:space="0" w:color="auto"/>
          </w:divBdr>
          <w:divsChild>
            <w:div w:id="1690373562">
              <w:marLeft w:val="0"/>
              <w:marRight w:val="0"/>
              <w:marTop w:val="225"/>
              <w:marBottom w:val="0"/>
              <w:divBdr>
                <w:top w:val="none" w:sz="0" w:space="0" w:color="auto"/>
                <w:left w:val="none" w:sz="0" w:space="0" w:color="auto"/>
                <w:bottom w:val="none" w:sz="0" w:space="0" w:color="auto"/>
                <w:right w:val="none" w:sz="0" w:space="0" w:color="auto"/>
              </w:divBdr>
              <w:divsChild>
                <w:div w:id="1690373503">
                  <w:marLeft w:val="0"/>
                  <w:marRight w:val="0"/>
                  <w:marTop w:val="0"/>
                  <w:marBottom w:val="120"/>
                  <w:divBdr>
                    <w:top w:val="none" w:sz="0" w:space="0" w:color="auto"/>
                    <w:left w:val="none" w:sz="0" w:space="0" w:color="auto"/>
                    <w:bottom w:val="none" w:sz="0" w:space="0" w:color="auto"/>
                    <w:right w:val="none" w:sz="0" w:space="0" w:color="auto"/>
                  </w:divBdr>
                  <w:divsChild>
                    <w:div w:id="1690373469">
                      <w:marLeft w:val="0"/>
                      <w:marRight w:val="0"/>
                      <w:marTop w:val="0"/>
                      <w:marBottom w:val="0"/>
                      <w:divBdr>
                        <w:top w:val="none" w:sz="0" w:space="0" w:color="auto"/>
                        <w:left w:val="none" w:sz="0" w:space="0" w:color="auto"/>
                        <w:bottom w:val="none" w:sz="0" w:space="0" w:color="auto"/>
                        <w:right w:val="none" w:sz="0" w:space="0" w:color="auto"/>
                      </w:divBdr>
                    </w:div>
                    <w:div w:id="1690373482">
                      <w:marLeft w:val="0"/>
                      <w:marRight w:val="0"/>
                      <w:marTop w:val="0"/>
                      <w:marBottom w:val="0"/>
                      <w:divBdr>
                        <w:top w:val="none" w:sz="0" w:space="0" w:color="auto"/>
                        <w:left w:val="none" w:sz="0" w:space="0" w:color="auto"/>
                        <w:bottom w:val="none" w:sz="0" w:space="0" w:color="auto"/>
                        <w:right w:val="none" w:sz="0" w:space="0" w:color="auto"/>
                      </w:divBdr>
                    </w:div>
                    <w:div w:id="16903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373570">
      <w:marLeft w:val="0"/>
      <w:marRight w:val="0"/>
      <w:marTop w:val="0"/>
      <w:marBottom w:val="0"/>
      <w:divBdr>
        <w:top w:val="none" w:sz="0" w:space="0" w:color="auto"/>
        <w:left w:val="none" w:sz="0" w:space="0" w:color="auto"/>
        <w:bottom w:val="none" w:sz="0" w:space="0" w:color="auto"/>
        <w:right w:val="none" w:sz="0" w:space="0" w:color="auto"/>
      </w:divBdr>
    </w:div>
    <w:div w:id="1690373572">
      <w:marLeft w:val="0"/>
      <w:marRight w:val="0"/>
      <w:marTop w:val="0"/>
      <w:marBottom w:val="0"/>
      <w:divBdr>
        <w:top w:val="none" w:sz="0" w:space="0" w:color="auto"/>
        <w:left w:val="none" w:sz="0" w:space="0" w:color="auto"/>
        <w:bottom w:val="none" w:sz="0" w:space="0" w:color="auto"/>
        <w:right w:val="none" w:sz="0" w:space="0" w:color="auto"/>
      </w:divBdr>
    </w:div>
    <w:div w:id="1690373573">
      <w:marLeft w:val="0"/>
      <w:marRight w:val="0"/>
      <w:marTop w:val="0"/>
      <w:marBottom w:val="0"/>
      <w:divBdr>
        <w:top w:val="none" w:sz="0" w:space="0" w:color="auto"/>
        <w:left w:val="none" w:sz="0" w:space="0" w:color="auto"/>
        <w:bottom w:val="none" w:sz="0" w:space="0" w:color="auto"/>
        <w:right w:val="none" w:sz="0" w:space="0" w:color="auto"/>
      </w:divBdr>
    </w:div>
    <w:div w:id="1690373574">
      <w:marLeft w:val="0"/>
      <w:marRight w:val="0"/>
      <w:marTop w:val="0"/>
      <w:marBottom w:val="0"/>
      <w:divBdr>
        <w:top w:val="none" w:sz="0" w:space="0" w:color="auto"/>
        <w:left w:val="none" w:sz="0" w:space="0" w:color="auto"/>
        <w:bottom w:val="none" w:sz="0" w:space="0" w:color="auto"/>
        <w:right w:val="none" w:sz="0" w:space="0" w:color="auto"/>
      </w:divBdr>
    </w:div>
    <w:div w:id="1690373575">
      <w:marLeft w:val="0"/>
      <w:marRight w:val="0"/>
      <w:marTop w:val="0"/>
      <w:marBottom w:val="0"/>
      <w:divBdr>
        <w:top w:val="none" w:sz="0" w:space="0" w:color="auto"/>
        <w:left w:val="none" w:sz="0" w:space="0" w:color="auto"/>
        <w:bottom w:val="none" w:sz="0" w:space="0" w:color="auto"/>
        <w:right w:val="none" w:sz="0" w:space="0" w:color="auto"/>
      </w:divBdr>
    </w:div>
    <w:div w:id="1690373576">
      <w:marLeft w:val="0"/>
      <w:marRight w:val="0"/>
      <w:marTop w:val="0"/>
      <w:marBottom w:val="0"/>
      <w:divBdr>
        <w:top w:val="none" w:sz="0" w:space="0" w:color="auto"/>
        <w:left w:val="none" w:sz="0" w:space="0" w:color="auto"/>
        <w:bottom w:val="none" w:sz="0" w:space="0" w:color="auto"/>
        <w:right w:val="none" w:sz="0" w:space="0" w:color="auto"/>
      </w:divBdr>
    </w:div>
    <w:div w:id="1690373577">
      <w:marLeft w:val="0"/>
      <w:marRight w:val="0"/>
      <w:marTop w:val="0"/>
      <w:marBottom w:val="0"/>
      <w:divBdr>
        <w:top w:val="none" w:sz="0" w:space="0" w:color="auto"/>
        <w:left w:val="none" w:sz="0" w:space="0" w:color="auto"/>
        <w:bottom w:val="none" w:sz="0" w:space="0" w:color="auto"/>
        <w:right w:val="none" w:sz="0" w:space="0" w:color="auto"/>
      </w:divBdr>
    </w:div>
    <w:div w:id="1690373578">
      <w:marLeft w:val="0"/>
      <w:marRight w:val="0"/>
      <w:marTop w:val="0"/>
      <w:marBottom w:val="0"/>
      <w:divBdr>
        <w:top w:val="none" w:sz="0" w:space="0" w:color="auto"/>
        <w:left w:val="none" w:sz="0" w:space="0" w:color="auto"/>
        <w:bottom w:val="none" w:sz="0" w:space="0" w:color="auto"/>
        <w:right w:val="none" w:sz="0" w:space="0" w:color="auto"/>
      </w:divBdr>
      <w:divsChild>
        <w:div w:id="1690373467">
          <w:marLeft w:val="120"/>
          <w:marRight w:val="120"/>
          <w:marTop w:val="120"/>
          <w:marBottom w:val="120"/>
          <w:divBdr>
            <w:top w:val="none" w:sz="0" w:space="0" w:color="auto"/>
            <w:left w:val="none" w:sz="0" w:space="0" w:color="auto"/>
            <w:bottom w:val="none" w:sz="0" w:space="0" w:color="auto"/>
            <w:right w:val="none" w:sz="0" w:space="0" w:color="auto"/>
          </w:divBdr>
          <w:divsChild>
            <w:div w:id="169037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3579">
      <w:marLeft w:val="0"/>
      <w:marRight w:val="0"/>
      <w:marTop w:val="0"/>
      <w:marBottom w:val="0"/>
      <w:divBdr>
        <w:top w:val="none" w:sz="0" w:space="0" w:color="auto"/>
        <w:left w:val="none" w:sz="0" w:space="0" w:color="auto"/>
        <w:bottom w:val="none" w:sz="0" w:space="0" w:color="auto"/>
        <w:right w:val="none" w:sz="0" w:space="0" w:color="auto"/>
      </w:divBdr>
    </w:div>
    <w:div w:id="1690373581">
      <w:marLeft w:val="0"/>
      <w:marRight w:val="0"/>
      <w:marTop w:val="0"/>
      <w:marBottom w:val="0"/>
      <w:divBdr>
        <w:top w:val="none" w:sz="0" w:space="0" w:color="auto"/>
        <w:left w:val="none" w:sz="0" w:space="0" w:color="auto"/>
        <w:bottom w:val="none" w:sz="0" w:space="0" w:color="auto"/>
        <w:right w:val="none" w:sz="0" w:space="0" w:color="auto"/>
      </w:divBdr>
    </w:div>
    <w:div w:id="1690373583">
      <w:marLeft w:val="0"/>
      <w:marRight w:val="0"/>
      <w:marTop w:val="0"/>
      <w:marBottom w:val="0"/>
      <w:divBdr>
        <w:top w:val="none" w:sz="0" w:space="0" w:color="auto"/>
        <w:left w:val="none" w:sz="0" w:space="0" w:color="auto"/>
        <w:bottom w:val="none" w:sz="0" w:space="0" w:color="auto"/>
        <w:right w:val="none" w:sz="0" w:space="0" w:color="auto"/>
      </w:divBdr>
    </w:div>
    <w:div w:id="1690373584">
      <w:marLeft w:val="0"/>
      <w:marRight w:val="0"/>
      <w:marTop w:val="0"/>
      <w:marBottom w:val="0"/>
      <w:divBdr>
        <w:top w:val="none" w:sz="0" w:space="0" w:color="auto"/>
        <w:left w:val="none" w:sz="0" w:space="0" w:color="auto"/>
        <w:bottom w:val="none" w:sz="0" w:space="0" w:color="auto"/>
        <w:right w:val="none" w:sz="0" w:space="0" w:color="auto"/>
      </w:divBdr>
    </w:div>
    <w:div w:id="1690373585">
      <w:marLeft w:val="0"/>
      <w:marRight w:val="0"/>
      <w:marTop w:val="0"/>
      <w:marBottom w:val="0"/>
      <w:divBdr>
        <w:top w:val="none" w:sz="0" w:space="0" w:color="auto"/>
        <w:left w:val="none" w:sz="0" w:space="0" w:color="auto"/>
        <w:bottom w:val="none" w:sz="0" w:space="0" w:color="auto"/>
        <w:right w:val="none" w:sz="0" w:space="0" w:color="auto"/>
      </w:divBdr>
    </w:div>
    <w:div w:id="1690373586">
      <w:marLeft w:val="0"/>
      <w:marRight w:val="0"/>
      <w:marTop w:val="0"/>
      <w:marBottom w:val="0"/>
      <w:divBdr>
        <w:top w:val="none" w:sz="0" w:space="0" w:color="auto"/>
        <w:left w:val="none" w:sz="0" w:space="0" w:color="auto"/>
        <w:bottom w:val="none" w:sz="0" w:space="0" w:color="auto"/>
        <w:right w:val="none" w:sz="0" w:space="0" w:color="auto"/>
      </w:divBdr>
    </w:div>
    <w:div w:id="1690373587">
      <w:marLeft w:val="0"/>
      <w:marRight w:val="0"/>
      <w:marTop w:val="0"/>
      <w:marBottom w:val="0"/>
      <w:divBdr>
        <w:top w:val="none" w:sz="0" w:space="0" w:color="auto"/>
        <w:left w:val="none" w:sz="0" w:space="0" w:color="auto"/>
        <w:bottom w:val="none" w:sz="0" w:space="0" w:color="auto"/>
        <w:right w:val="none" w:sz="0" w:space="0" w:color="auto"/>
      </w:divBdr>
    </w:div>
    <w:div w:id="1690373588">
      <w:marLeft w:val="0"/>
      <w:marRight w:val="0"/>
      <w:marTop w:val="0"/>
      <w:marBottom w:val="0"/>
      <w:divBdr>
        <w:top w:val="none" w:sz="0" w:space="0" w:color="auto"/>
        <w:left w:val="none" w:sz="0" w:space="0" w:color="auto"/>
        <w:bottom w:val="none" w:sz="0" w:space="0" w:color="auto"/>
        <w:right w:val="none" w:sz="0" w:space="0" w:color="auto"/>
      </w:divBdr>
    </w:div>
    <w:div w:id="1690373589">
      <w:marLeft w:val="0"/>
      <w:marRight w:val="0"/>
      <w:marTop w:val="0"/>
      <w:marBottom w:val="0"/>
      <w:divBdr>
        <w:top w:val="none" w:sz="0" w:space="0" w:color="auto"/>
        <w:left w:val="none" w:sz="0" w:space="0" w:color="auto"/>
        <w:bottom w:val="none" w:sz="0" w:space="0" w:color="auto"/>
        <w:right w:val="none" w:sz="0" w:space="0" w:color="auto"/>
      </w:divBdr>
    </w:div>
    <w:div w:id="1690373590">
      <w:marLeft w:val="0"/>
      <w:marRight w:val="0"/>
      <w:marTop w:val="0"/>
      <w:marBottom w:val="0"/>
      <w:divBdr>
        <w:top w:val="none" w:sz="0" w:space="0" w:color="auto"/>
        <w:left w:val="none" w:sz="0" w:space="0" w:color="auto"/>
        <w:bottom w:val="none" w:sz="0" w:space="0" w:color="auto"/>
        <w:right w:val="none" w:sz="0" w:space="0" w:color="auto"/>
      </w:divBdr>
    </w:div>
    <w:div w:id="1690373591">
      <w:marLeft w:val="0"/>
      <w:marRight w:val="0"/>
      <w:marTop w:val="0"/>
      <w:marBottom w:val="0"/>
      <w:divBdr>
        <w:top w:val="none" w:sz="0" w:space="0" w:color="auto"/>
        <w:left w:val="none" w:sz="0" w:space="0" w:color="auto"/>
        <w:bottom w:val="none" w:sz="0" w:space="0" w:color="auto"/>
        <w:right w:val="none" w:sz="0" w:space="0" w:color="auto"/>
      </w:divBdr>
      <w:divsChild>
        <w:div w:id="1690373479">
          <w:marLeft w:val="0"/>
          <w:marRight w:val="0"/>
          <w:marTop w:val="0"/>
          <w:marBottom w:val="120"/>
          <w:divBdr>
            <w:top w:val="none" w:sz="0" w:space="0" w:color="auto"/>
            <w:left w:val="none" w:sz="0" w:space="0" w:color="auto"/>
            <w:bottom w:val="none" w:sz="0" w:space="0" w:color="auto"/>
            <w:right w:val="none" w:sz="0" w:space="0" w:color="auto"/>
          </w:divBdr>
          <w:divsChild>
            <w:div w:id="169037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3592">
      <w:marLeft w:val="0"/>
      <w:marRight w:val="0"/>
      <w:marTop w:val="0"/>
      <w:marBottom w:val="0"/>
      <w:divBdr>
        <w:top w:val="none" w:sz="0" w:space="0" w:color="auto"/>
        <w:left w:val="none" w:sz="0" w:space="0" w:color="auto"/>
        <w:bottom w:val="none" w:sz="0" w:space="0" w:color="auto"/>
        <w:right w:val="none" w:sz="0" w:space="0" w:color="auto"/>
      </w:divBdr>
    </w:div>
    <w:div w:id="1690373593">
      <w:marLeft w:val="0"/>
      <w:marRight w:val="0"/>
      <w:marTop w:val="0"/>
      <w:marBottom w:val="0"/>
      <w:divBdr>
        <w:top w:val="none" w:sz="0" w:space="0" w:color="auto"/>
        <w:left w:val="none" w:sz="0" w:space="0" w:color="auto"/>
        <w:bottom w:val="none" w:sz="0" w:space="0" w:color="auto"/>
        <w:right w:val="none" w:sz="0" w:space="0" w:color="auto"/>
      </w:divBdr>
    </w:div>
    <w:div w:id="1690373595">
      <w:marLeft w:val="0"/>
      <w:marRight w:val="0"/>
      <w:marTop w:val="0"/>
      <w:marBottom w:val="0"/>
      <w:divBdr>
        <w:top w:val="none" w:sz="0" w:space="0" w:color="auto"/>
        <w:left w:val="none" w:sz="0" w:space="0" w:color="auto"/>
        <w:bottom w:val="none" w:sz="0" w:space="0" w:color="auto"/>
        <w:right w:val="none" w:sz="0" w:space="0" w:color="auto"/>
      </w:divBdr>
    </w:div>
    <w:div w:id="1690373596">
      <w:marLeft w:val="0"/>
      <w:marRight w:val="0"/>
      <w:marTop w:val="0"/>
      <w:marBottom w:val="0"/>
      <w:divBdr>
        <w:top w:val="none" w:sz="0" w:space="0" w:color="auto"/>
        <w:left w:val="none" w:sz="0" w:space="0" w:color="auto"/>
        <w:bottom w:val="none" w:sz="0" w:space="0" w:color="auto"/>
        <w:right w:val="none" w:sz="0" w:space="0" w:color="auto"/>
      </w:divBdr>
    </w:div>
    <w:div w:id="1690373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r.reit@gmr-rei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E3E68-C58B-4456-8149-AEAA2E953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31</Pages>
  <Words>14711</Words>
  <Characters>83855</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AFA OOD</Company>
  <LinksUpToDate>false</LinksUpToDate>
  <CharactersWithSpaces>98370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dc:creator>
  <cp:lastModifiedBy>Krasimir Gyurov</cp:lastModifiedBy>
  <cp:revision>59</cp:revision>
  <cp:lastPrinted>2017-10-31T15:43:00Z</cp:lastPrinted>
  <dcterms:created xsi:type="dcterms:W3CDTF">2017-08-14T08:48:00Z</dcterms:created>
  <dcterms:modified xsi:type="dcterms:W3CDTF">2017-11-14T16:09:00Z</dcterms:modified>
</cp:coreProperties>
</file>