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884" w:rsidRDefault="00AE1A93">
      <w:pPr>
        <w:pStyle w:val="Bodytext30"/>
        <w:shd w:val="clear" w:color="auto" w:fill="auto"/>
        <w:spacing w:before="120" w:after="0" w:line="439" w:lineRule="auto"/>
      </w:pPr>
      <w:r>
        <w:t>ДЕЛЕГИРАН РЕГЛАМЕНТ (ЕС) 2017/590 НА КОМИСИЯТА</w:t>
      </w:r>
      <w:r>
        <w:br/>
        <w:t>от 28 юли 2016 година</w:t>
      </w:r>
    </w:p>
    <w:p w:rsidR="003A7884" w:rsidRDefault="00AE1A93">
      <w:pPr>
        <w:pStyle w:val="Bodytext30"/>
        <w:shd w:val="clear" w:color="auto" w:fill="auto"/>
        <w:spacing w:after="260" w:line="360" w:lineRule="auto"/>
        <w:rPr>
          <w:sz w:val="15"/>
          <w:szCs w:val="15"/>
        </w:rPr>
      </w:pPr>
      <w:r>
        <w:t>за допълнение на Регламент (ЕС) № 600/2014 на Европейския парламент и на Съвета по</w:t>
      </w:r>
      <w:r>
        <w:br/>
        <w:t>отношение на регулаторните технически стандарти за докладването на сделки пред</w:t>
      </w:r>
      <w:r>
        <w:br/>
        <w:t>компетентните органи</w:t>
      </w:r>
      <w:r>
        <w:br/>
      </w:r>
      <w:r>
        <w:rPr>
          <w:sz w:val="15"/>
          <w:szCs w:val="15"/>
        </w:rPr>
        <w:t>(текст от значение за ЕИП)</w:t>
      </w:r>
    </w:p>
    <w:p w:rsidR="003A7884" w:rsidRDefault="00AE1A93">
      <w:pPr>
        <w:pStyle w:val="Bodytext30"/>
        <w:shd w:val="clear" w:color="auto" w:fill="auto"/>
        <w:spacing w:after="0" w:line="240" w:lineRule="auto"/>
        <w:rPr>
          <w:sz w:val="15"/>
          <w:szCs w:val="15"/>
        </w:rPr>
      </w:pPr>
      <w:bookmarkStart w:id="0" w:name="_GoBack"/>
      <w:bookmarkEnd w:id="0"/>
      <w:r>
        <w:rPr>
          <w:b w:val="0"/>
          <w:bCs w:val="0"/>
          <w:i/>
          <w:iCs/>
          <w:sz w:val="15"/>
          <w:szCs w:val="15"/>
        </w:rPr>
        <w:t xml:space="preserve">ПРИЛОЖЕНИЕ </w:t>
      </w:r>
      <w:r>
        <w:rPr>
          <w:b w:val="0"/>
          <w:bCs w:val="0"/>
          <w:i/>
          <w:iCs/>
          <w:sz w:val="15"/>
          <w:szCs w:val="15"/>
          <w:lang w:val="en-US" w:eastAsia="en-US" w:bidi="en-US"/>
        </w:rPr>
        <w:t>I</w:t>
      </w:r>
    </w:p>
    <w:p w:rsidR="003A7884" w:rsidRDefault="00AE1A93">
      <w:pPr>
        <w:pStyle w:val="Tablecaption0"/>
        <w:shd w:val="clear" w:color="auto" w:fill="auto"/>
        <w:spacing w:line="240" w:lineRule="auto"/>
        <w:jc w:val="center"/>
        <w:rPr>
          <w:sz w:val="16"/>
          <w:szCs w:val="16"/>
        </w:rPr>
      </w:pPr>
      <w:r>
        <w:rPr>
          <w:i/>
          <w:iCs/>
          <w:sz w:val="16"/>
          <w:szCs w:val="16"/>
        </w:rPr>
        <w:t>Таблица 1</w:t>
      </w:r>
    </w:p>
    <w:p w:rsidR="003A7884" w:rsidRDefault="00AE1A93">
      <w:pPr>
        <w:pStyle w:val="Tablecaption0"/>
        <w:shd w:val="clear" w:color="auto" w:fill="auto"/>
        <w:spacing w:line="240" w:lineRule="auto"/>
        <w:ind w:left="4258"/>
        <w:jc w:val="left"/>
        <w:rPr>
          <w:sz w:val="16"/>
          <w:szCs w:val="16"/>
        </w:rPr>
      </w:pPr>
      <w:r>
        <w:rPr>
          <w:b/>
          <w:bCs/>
          <w:sz w:val="16"/>
          <w:szCs w:val="16"/>
        </w:rPr>
        <w:t>Легенда за 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4"/>
        <w:gridCol w:w="2813"/>
        <w:gridCol w:w="5414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СИМВОЛ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ТИП ДАННИ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ОПРЕДЕЛЕНИЕ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{ALPHANUM-n}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До </w:t>
            </w:r>
            <w:r>
              <w:rPr>
                <w:lang w:val="en-US" w:eastAsia="en-US" w:bidi="en-US"/>
              </w:rPr>
              <w:t xml:space="preserve">n </w:t>
            </w:r>
            <w:r>
              <w:t>на брой буквено-цифрови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Поле за свободен текст.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{CFI CODE}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6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 xml:space="preserve">CFI </w:t>
            </w:r>
            <w:r>
              <w:t xml:space="preserve">код по </w:t>
            </w:r>
            <w:r>
              <w:rPr>
                <w:lang w:val="en-US" w:eastAsia="en-US" w:bidi="en-US"/>
              </w:rPr>
              <w:t xml:space="preserve">ISO </w:t>
            </w:r>
            <w:r>
              <w:t>10962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{COUNTRYCODE 2}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 xml:space="preserve">2 </w:t>
            </w:r>
            <w:r>
              <w:t>буквено-цифрови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 xml:space="preserve">2-буквен код на държавата по </w:t>
            </w:r>
            <w:r>
              <w:rPr>
                <w:lang w:val="en-US" w:eastAsia="en-US" w:bidi="en-US"/>
              </w:rPr>
              <w:t xml:space="preserve">ISO </w:t>
            </w:r>
            <w:r>
              <w:t>3166-1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{CURRENCYCODE 3}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3 буквено-цифрови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 xml:space="preserve">3-буквен код на валутата по </w:t>
            </w:r>
            <w:r>
              <w:rPr>
                <w:lang w:val="en-US" w:eastAsia="en-US" w:bidi="en-US"/>
              </w:rPr>
              <w:t xml:space="preserve">ISO </w:t>
            </w:r>
            <w:r>
              <w:t>4217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394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rPr>
                <w:lang w:val="en-US" w:eastAsia="en-US" w:bidi="en-US"/>
              </w:rPr>
              <w:t>{DATE_TIME_FORMAT}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54" w:lineRule="auto"/>
            </w:pPr>
            <w:r>
              <w:t xml:space="preserve">Формат за представяне на дати и време по </w:t>
            </w:r>
            <w:r>
              <w:rPr>
                <w:lang w:val="en-US" w:eastAsia="en-US" w:bidi="en-US"/>
              </w:rPr>
              <w:t xml:space="preserve">ISO </w:t>
            </w:r>
            <w:r>
              <w:t>8601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Дата и време в следния формат:</w:t>
            </w:r>
          </w:p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ГГГГ-ММ-ДДТчч:мм:сс.сссссс2.</w:t>
            </w:r>
          </w:p>
          <w:p w:rsidR="003A7884" w:rsidRDefault="00AE1A93">
            <w:pPr>
              <w:pStyle w:val="Other0"/>
              <w:numPr>
                <w:ilvl w:val="0"/>
                <w:numId w:val="14"/>
              </w:numPr>
              <w:shd w:val="clear" w:color="auto" w:fill="auto"/>
              <w:tabs>
                <w:tab w:val="left" w:pos="278"/>
              </w:tabs>
              <w:spacing w:after="80" w:line="240" w:lineRule="auto"/>
              <w:jc w:val="left"/>
            </w:pPr>
            <w:r>
              <w:t>„ГГГГ“ е годината,</w:t>
            </w:r>
          </w:p>
          <w:p w:rsidR="003A7884" w:rsidRDefault="00AE1A93">
            <w:pPr>
              <w:pStyle w:val="Other0"/>
              <w:numPr>
                <w:ilvl w:val="0"/>
                <w:numId w:val="14"/>
              </w:numPr>
              <w:shd w:val="clear" w:color="auto" w:fill="auto"/>
              <w:tabs>
                <w:tab w:val="left" w:pos="278"/>
              </w:tabs>
              <w:spacing w:after="80" w:line="240" w:lineRule="auto"/>
              <w:jc w:val="left"/>
            </w:pPr>
            <w:r>
              <w:t>„ММ“ е месецът,</w:t>
            </w:r>
          </w:p>
          <w:p w:rsidR="003A7884" w:rsidRDefault="00AE1A93">
            <w:pPr>
              <w:pStyle w:val="Other0"/>
              <w:numPr>
                <w:ilvl w:val="0"/>
                <w:numId w:val="14"/>
              </w:numPr>
              <w:shd w:val="clear" w:color="auto" w:fill="auto"/>
              <w:tabs>
                <w:tab w:val="left" w:pos="278"/>
              </w:tabs>
              <w:spacing w:after="80" w:line="240" w:lineRule="auto"/>
              <w:jc w:val="left"/>
            </w:pPr>
            <w:r>
              <w:t>„ДД“ е денят,</w:t>
            </w:r>
          </w:p>
          <w:p w:rsidR="003A7884" w:rsidRDefault="00AE1A93">
            <w:pPr>
              <w:pStyle w:val="Other0"/>
              <w:numPr>
                <w:ilvl w:val="0"/>
                <w:numId w:val="14"/>
              </w:numPr>
              <w:shd w:val="clear" w:color="auto" w:fill="auto"/>
              <w:tabs>
                <w:tab w:val="left" w:pos="278"/>
              </w:tabs>
              <w:spacing w:after="80" w:line="240" w:lineRule="auto"/>
              <w:jc w:val="left"/>
            </w:pPr>
            <w:r>
              <w:t>„Т“ означава, че трябва да се използва буквата „Т“,</w:t>
            </w:r>
          </w:p>
          <w:p w:rsidR="003A7884" w:rsidRDefault="00AE1A93">
            <w:pPr>
              <w:pStyle w:val="Other0"/>
              <w:numPr>
                <w:ilvl w:val="0"/>
                <w:numId w:val="14"/>
              </w:numPr>
              <w:shd w:val="clear" w:color="auto" w:fill="auto"/>
              <w:tabs>
                <w:tab w:val="left" w:pos="278"/>
              </w:tabs>
              <w:spacing w:after="80" w:line="240" w:lineRule="auto"/>
              <w:jc w:val="left"/>
            </w:pPr>
            <w:r>
              <w:t>„чч“ е часът,</w:t>
            </w:r>
          </w:p>
          <w:p w:rsidR="003A7884" w:rsidRDefault="00AE1A93">
            <w:pPr>
              <w:pStyle w:val="Other0"/>
              <w:numPr>
                <w:ilvl w:val="0"/>
                <w:numId w:val="14"/>
              </w:numPr>
              <w:shd w:val="clear" w:color="auto" w:fill="auto"/>
              <w:tabs>
                <w:tab w:val="left" w:pos="278"/>
              </w:tabs>
              <w:spacing w:after="80" w:line="240" w:lineRule="auto"/>
              <w:jc w:val="left"/>
            </w:pPr>
            <w:r>
              <w:t>„мм“ е минутата,</w:t>
            </w:r>
          </w:p>
          <w:p w:rsidR="003A7884" w:rsidRDefault="00AE1A93">
            <w:pPr>
              <w:pStyle w:val="Other0"/>
              <w:numPr>
                <w:ilvl w:val="0"/>
                <w:numId w:val="14"/>
              </w:numPr>
              <w:shd w:val="clear" w:color="auto" w:fill="auto"/>
              <w:tabs>
                <w:tab w:val="left" w:pos="278"/>
              </w:tabs>
              <w:spacing w:after="80" w:line="240" w:lineRule="auto"/>
              <w:jc w:val="left"/>
            </w:pPr>
            <w:r>
              <w:t>„сс.сссссс“ е секундата и частите от секундата,</w:t>
            </w:r>
          </w:p>
          <w:p w:rsidR="003A7884" w:rsidRDefault="00AE1A93">
            <w:pPr>
              <w:pStyle w:val="Other0"/>
              <w:numPr>
                <w:ilvl w:val="0"/>
                <w:numId w:val="14"/>
              </w:numPr>
              <w:shd w:val="clear" w:color="auto" w:fill="auto"/>
              <w:tabs>
                <w:tab w:val="left" w:pos="283"/>
              </w:tabs>
              <w:spacing w:after="80" w:line="240" w:lineRule="auto"/>
              <w:jc w:val="left"/>
            </w:pPr>
            <w:r>
              <w:rPr>
                <w:lang w:val="en-US" w:eastAsia="en-US" w:bidi="en-US"/>
              </w:rPr>
              <w:t xml:space="preserve">Z </w:t>
            </w:r>
            <w:r>
              <w:t xml:space="preserve">е времето по </w:t>
            </w:r>
            <w:r>
              <w:rPr>
                <w:lang w:val="en-US" w:eastAsia="en-US" w:bidi="en-US"/>
              </w:rPr>
              <w:t>UTC.</w:t>
            </w:r>
          </w:p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 xml:space="preserve">Датите и часовете се отчитат по </w:t>
            </w:r>
            <w:r>
              <w:rPr>
                <w:lang w:val="en-US" w:eastAsia="en-US" w:bidi="en-US"/>
              </w:rPr>
              <w:t>UTC.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rPr>
                <w:lang w:val="en-US" w:eastAsia="en-US" w:bidi="en-US"/>
              </w:rPr>
              <w:t>{DATEFORMAT}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t xml:space="preserve">Формат за дати по </w:t>
            </w:r>
            <w:r>
              <w:rPr>
                <w:lang w:val="en-US" w:eastAsia="en-US" w:bidi="en-US"/>
              </w:rPr>
              <w:t xml:space="preserve">ISO </w:t>
            </w:r>
            <w:r>
              <w:t>8601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Датите се представят в следния формат: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ГГГГ-ММ-ДД.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rPr>
                <w:lang w:val="en-US" w:eastAsia="en-US" w:bidi="en-US"/>
              </w:rPr>
              <w:t>{DECIMAL-n/m}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/>
            </w:pPr>
            <w:r>
              <w:t xml:space="preserve">Десетично число с общо до </w:t>
            </w:r>
            <w:r>
              <w:rPr>
                <w:lang w:val="en-US" w:eastAsia="en-US" w:bidi="en-US"/>
              </w:rPr>
              <w:t xml:space="preserve">n </w:t>
            </w:r>
            <w:r>
              <w:t>ци</w:t>
            </w:r>
            <w:r>
              <w:softHyphen/>
              <w:t xml:space="preserve">фри, от които до </w:t>
            </w:r>
            <w:r>
              <w:rPr>
                <w:lang w:val="en-US" w:eastAsia="en-US" w:bidi="en-US"/>
              </w:rPr>
              <w:t xml:space="preserve">m </w:t>
            </w:r>
            <w:r>
              <w:t>цифри може да са цифри след десетичния знак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  <w:jc w:val="left"/>
            </w:pPr>
            <w:r>
              <w:t>Цифрово поле както</w:t>
            </w:r>
            <w:r>
              <w:t xml:space="preserve"> за положителни, така и за отрицателни стойно</w:t>
            </w:r>
            <w:r>
              <w:softHyphen/>
              <w:t>сти:</w:t>
            </w:r>
          </w:p>
          <w:p w:rsidR="003A7884" w:rsidRDefault="00AE1A93">
            <w:pPr>
              <w:pStyle w:val="Other0"/>
              <w:numPr>
                <w:ilvl w:val="0"/>
                <w:numId w:val="15"/>
              </w:numPr>
              <w:shd w:val="clear" w:color="auto" w:fill="auto"/>
              <w:tabs>
                <w:tab w:val="left" w:pos="278"/>
              </w:tabs>
              <w:spacing w:after="80"/>
              <w:jc w:val="left"/>
            </w:pPr>
            <w:r>
              <w:t>десетичният знак е „.“ (точка),</w:t>
            </w:r>
          </w:p>
          <w:p w:rsidR="003A7884" w:rsidRDefault="00AE1A93">
            <w:pPr>
              <w:pStyle w:val="Other0"/>
              <w:numPr>
                <w:ilvl w:val="0"/>
                <w:numId w:val="15"/>
              </w:numPr>
              <w:shd w:val="clear" w:color="auto" w:fill="auto"/>
              <w:tabs>
                <w:tab w:val="left" w:pos="283"/>
              </w:tabs>
              <w:spacing w:after="80"/>
              <w:jc w:val="left"/>
            </w:pPr>
            <w:r>
              <w:t>пред отрицателните числа се поставя „-“ (минус).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  <w:jc w:val="left"/>
            </w:pPr>
            <w:r>
              <w:t>Стойностите се закръгляват и не се съкращават.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776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rPr>
                <w:lang w:val="en-US" w:eastAsia="en-US" w:bidi="en-US"/>
              </w:rPr>
              <w:lastRenderedPageBreak/>
              <w:t>{INDEX}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t>4 буквени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„EONA“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EONIA „EONS“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EONIA SWAP „EURI“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EURIBOR „EUUS“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EURODOLLAR „EUCH“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EuroSwiss „GCFR“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GCF REPO „ISDA“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ISDAFIX „LIBI“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LIBID „LIBO“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LIBOR „MAAA“ </w:t>
            </w:r>
            <w:r>
              <w:t xml:space="preserve">— </w:t>
            </w:r>
            <w:r>
              <w:rPr>
                <w:lang w:val="en-US" w:eastAsia="en-US" w:bidi="en-US"/>
              </w:rPr>
              <w:t>Muni AAA</w:t>
            </w:r>
          </w:p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„PFAN“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Pfandbriefe „TIBO“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TIBOR „STBO“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STIBOR „BBSW“ </w:t>
            </w:r>
            <w:r>
              <w:t xml:space="preserve">— </w:t>
            </w:r>
            <w:r>
              <w:rPr>
                <w:lang w:val="en-US" w:eastAsia="en-US" w:bidi="en-US"/>
              </w:rPr>
              <w:t>BBSW</w:t>
            </w:r>
          </w:p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„JIBA“ </w:t>
            </w:r>
            <w:r>
              <w:t xml:space="preserve">— </w:t>
            </w:r>
            <w:r>
              <w:rPr>
                <w:lang w:val="en-US" w:eastAsia="en-US" w:bidi="en-US"/>
              </w:rPr>
              <w:t xml:space="preserve">JIBAR „BUBO“ </w:t>
            </w:r>
            <w:r>
              <w:t xml:space="preserve">— </w:t>
            </w:r>
            <w:r>
              <w:rPr>
                <w:lang w:val="en-US" w:eastAsia="en-US" w:bidi="en-US"/>
              </w:rPr>
              <w:t>BUBOR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4"/>
        <w:gridCol w:w="2813"/>
        <w:gridCol w:w="5414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СИМВОЛ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ТИП ДАННИ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ОПРЕДЕЛЕНИЕ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144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„CDOR“ </w:t>
            </w:r>
            <w:r>
              <w:t xml:space="preserve">— </w:t>
            </w:r>
            <w:r>
              <w:rPr>
                <w:lang w:val="en-US" w:eastAsia="en-US" w:bidi="en-US"/>
              </w:rPr>
              <w:t>CDOR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„CIBO“ </w:t>
            </w:r>
            <w:r>
              <w:t xml:space="preserve">— </w:t>
            </w:r>
            <w:r>
              <w:rPr>
                <w:lang w:val="en-US" w:eastAsia="en-US" w:bidi="en-US"/>
              </w:rPr>
              <w:t>CIBOR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„MOSP“ </w:t>
            </w:r>
            <w:r>
              <w:t xml:space="preserve">— </w:t>
            </w:r>
            <w:r>
              <w:rPr>
                <w:lang w:val="en-US" w:eastAsia="en-US" w:bidi="en-US"/>
              </w:rPr>
              <w:t>MOSPRIM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„NIBO“ </w:t>
            </w:r>
            <w:r>
              <w:t xml:space="preserve">— </w:t>
            </w:r>
            <w:r>
              <w:rPr>
                <w:lang w:val="en-US" w:eastAsia="en-US" w:bidi="en-US"/>
              </w:rPr>
              <w:t>NIBOR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„PRBO“ </w:t>
            </w:r>
            <w:r>
              <w:t xml:space="preserve">— </w:t>
            </w:r>
            <w:r>
              <w:rPr>
                <w:lang w:val="en-US" w:eastAsia="en-US" w:bidi="en-US"/>
              </w:rPr>
              <w:t>PRIBOR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„TLBO“ </w:t>
            </w:r>
            <w:r>
              <w:t xml:space="preserve">— </w:t>
            </w:r>
            <w:r>
              <w:rPr>
                <w:lang w:val="en-US" w:eastAsia="en-US" w:bidi="en-US"/>
              </w:rPr>
              <w:t>TELBOR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„WIBO“ </w:t>
            </w:r>
            <w:r>
              <w:t xml:space="preserve">— </w:t>
            </w:r>
            <w:r>
              <w:rPr>
                <w:lang w:val="en-US" w:eastAsia="en-US" w:bidi="en-US"/>
              </w:rPr>
              <w:t>WIBOR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„TREA“ </w:t>
            </w:r>
            <w:r>
              <w:t xml:space="preserve">— </w:t>
            </w:r>
            <w:r>
              <w:rPr>
                <w:lang w:val="en-US" w:eastAsia="en-US" w:bidi="en-US"/>
              </w:rPr>
              <w:t>Treasury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„SWAP“ </w:t>
            </w:r>
            <w:r>
              <w:t xml:space="preserve">— </w:t>
            </w:r>
            <w:r>
              <w:rPr>
                <w:lang w:val="en-US" w:eastAsia="en-US" w:bidi="en-US"/>
              </w:rPr>
              <w:t>SWAP</w:t>
            </w:r>
          </w:p>
          <w:p w:rsidR="003A7884" w:rsidRDefault="00AE1A93">
            <w:pPr>
              <w:pStyle w:val="Other0"/>
              <w:shd w:val="clear" w:color="auto" w:fill="auto"/>
              <w:spacing w:after="60" w:line="240" w:lineRule="auto"/>
            </w:pPr>
            <w:r>
              <w:rPr>
                <w:lang w:val="en-US" w:eastAsia="en-US" w:bidi="en-US"/>
              </w:rPr>
              <w:t xml:space="preserve">„FUSW“ </w:t>
            </w:r>
            <w:r>
              <w:t xml:space="preserve">— </w:t>
            </w:r>
            <w:r>
              <w:rPr>
                <w:lang w:val="en-US" w:eastAsia="en-US" w:bidi="en-US"/>
              </w:rPr>
              <w:t>Future SWAP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{INTEGER-n}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 xml:space="preserve">Цяло число с общо до </w:t>
            </w:r>
            <w:r>
              <w:rPr>
                <w:lang w:val="en-US" w:eastAsia="en-US" w:bidi="en-US"/>
              </w:rPr>
              <w:t xml:space="preserve">n </w:t>
            </w:r>
            <w:r>
              <w:t>цифри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Цифрово поле както за положителни, </w:t>
            </w:r>
            <w:r>
              <w:t>така и за отрицателни стойно</w:t>
            </w:r>
            <w:r>
              <w:softHyphen/>
              <w:t>сти на цели числа.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{ISIN}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12 буквено-цифрови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 xml:space="preserve">ISIN </w:t>
            </w:r>
            <w:r>
              <w:t xml:space="preserve">код по </w:t>
            </w:r>
            <w:r>
              <w:rPr>
                <w:lang w:val="en-US" w:eastAsia="en-US" w:bidi="en-US"/>
              </w:rPr>
              <w:t xml:space="preserve">ISO </w:t>
            </w:r>
            <w:r>
              <w:t>6166.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{LEI}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20 буквено-цифрови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 xml:space="preserve">Идентификационен код за юридически лица по </w:t>
            </w:r>
            <w:r>
              <w:rPr>
                <w:lang w:val="en-US" w:eastAsia="en-US" w:bidi="en-US"/>
              </w:rPr>
              <w:t xml:space="preserve">ISO </w:t>
            </w:r>
            <w:r>
              <w:t>17442.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207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{MIC}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4 буквено-цифрови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 xml:space="preserve">Идентификационен код на пазара по </w:t>
            </w:r>
            <w:r>
              <w:rPr>
                <w:lang w:val="en-US" w:eastAsia="en-US" w:bidi="en-US"/>
              </w:rPr>
              <w:t xml:space="preserve">ISO </w:t>
            </w:r>
            <w:r>
              <w:t>10383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{NATIONAL_ID}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35 буквено-цифрови знака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Идентификационният код се съставя съгласно член 6 и таблицата от приложение </w:t>
            </w:r>
            <w:r>
              <w:rPr>
                <w:lang w:val="en-US" w:eastAsia="en-US" w:bidi="en-US"/>
              </w:rPr>
              <w:t>II.</w:t>
            </w:r>
          </w:p>
        </w:tc>
      </w:tr>
    </w:tbl>
    <w:p w:rsidR="003A7884" w:rsidRDefault="00AE1A93">
      <w:pPr>
        <w:pStyle w:val="Tablecaption0"/>
        <w:shd w:val="clear" w:color="auto" w:fill="auto"/>
        <w:spacing w:line="240" w:lineRule="auto"/>
        <w:ind w:left="4738"/>
        <w:jc w:val="left"/>
        <w:rPr>
          <w:sz w:val="16"/>
          <w:szCs w:val="16"/>
        </w:rPr>
      </w:pPr>
      <w:r>
        <w:rPr>
          <w:i/>
          <w:iCs/>
          <w:sz w:val="16"/>
          <w:szCs w:val="16"/>
        </w:rPr>
        <w:t>Таблица 2</w:t>
      </w:r>
    </w:p>
    <w:p w:rsidR="003A7884" w:rsidRDefault="003A7884">
      <w:pPr>
        <w:spacing w:after="266" w:line="14" w:lineRule="exact"/>
      </w:pPr>
    </w:p>
    <w:p w:rsidR="003A7884" w:rsidRDefault="00AE1A93">
      <w:pPr>
        <w:pStyle w:val="Bodytext30"/>
        <w:shd w:val="clear" w:color="auto" w:fill="auto"/>
        <w:spacing w:after="0" w:line="240" w:lineRule="auto"/>
      </w:pPr>
      <w:r>
        <w:t>Данни, които трябва се докладват в отчетите за сделките</w:t>
      </w:r>
    </w:p>
    <w:p w:rsidR="003A7884" w:rsidRDefault="00AE1A93">
      <w:pPr>
        <w:pStyle w:val="Tablecaption0"/>
        <w:shd w:val="clear" w:color="auto" w:fill="auto"/>
        <w:spacing w:line="240" w:lineRule="auto"/>
        <w:ind w:left="10"/>
        <w:jc w:val="left"/>
        <w:rPr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Всички полета са задължителни, освен ако е посочено друго.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</w:pPr>
            <w:r>
              <w:t>Статус на отчета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Указване дали отчетът за сделката е нов, или се касае за от</w:t>
            </w:r>
            <w:r>
              <w:softHyphen/>
              <w:t>меняне.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 w:line="240" w:lineRule="auto"/>
              <w:jc w:val="left"/>
            </w:pPr>
            <w:r>
              <w:rPr>
                <w:lang w:val="en-US" w:eastAsia="en-US" w:bidi="en-US"/>
              </w:rPr>
              <w:t xml:space="preserve">„NEWT“ </w:t>
            </w:r>
            <w:r>
              <w:t>— Нов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 xml:space="preserve">„CANC“ </w:t>
            </w:r>
            <w:r>
              <w:t>— Отмяна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328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0" w:line="240" w:lineRule="auto"/>
              <w:jc w:val="center"/>
            </w:pPr>
            <w: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</w:pPr>
            <w:r>
              <w:t>Референтен номер на сделката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Идентификационен номер, който при изпълняващия посред</w:t>
            </w:r>
            <w:r>
              <w:softHyphen/>
              <w:t>ник е уникален за всеки отчет за сделка.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Когато съгласно член 26, параграф 5 от Регламент (ЕС) № 600/2014 мястото на търговия подава отчета от името на посредник, който не попада под действието на Регла</w:t>
            </w:r>
            <w:r>
              <w:t>мент (ЕС) № 600/2014, мястото на търговия попълва в това поле номер, който се генерира вътрешно от мястото на търговия и е уникален за всеки отчет за сделка, подаден от мястото на търговия.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0" w:line="240" w:lineRule="auto"/>
              <w:jc w:val="left"/>
            </w:pPr>
            <w:r>
              <w:rPr>
                <w:lang w:val="en-US" w:eastAsia="en-US" w:bidi="en-US"/>
              </w:rPr>
              <w:t>{ALPHANUM-52}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493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0" w:line="240" w:lineRule="auto"/>
              <w:jc w:val="center"/>
            </w:pPr>
            <w: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/>
            </w:pPr>
            <w:r>
              <w:t>Идентификационен код на сделката, определен от мя</w:t>
            </w:r>
            <w:r>
              <w:softHyphen/>
              <w:t>стото на търговия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Този номер се генерира от местата на търговия и се предос</w:t>
            </w:r>
            <w:r>
              <w:softHyphen/>
              <w:t>тавя както на купувача, така и на продавача, съгласно член 12 от Делегиран регламент (ЕС) 2017/580 (</w:t>
            </w:r>
            <w:r>
              <w:rPr>
                <w:vertAlign w:val="superscript"/>
              </w:rPr>
              <w:t>1</w:t>
            </w:r>
            <w:r>
              <w:t>).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Това поле се изисква само за пазарната страна на сделка, из</w:t>
            </w:r>
            <w:r>
              <w:softHyphen/>
              <w:t>пълнена на даде</w:t>
            </w:r>
            <w:r>
              <w:t>но място на търговия.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0" w:line="240" w:lineRule="auto"/>
              <w:jc w:val="left"/>
            </w:pPr>
            <w:r>
              <w:rPr>
                <w:lang w:val="en-US" w:eastAsia="en-US" w:bidi="en-US"/>
              </w:rPr>
              <w:t>{ALPHANUM-52}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Идентификационен код на изпълняващия субект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Код, използван за идентифициране на субекта, който изпъл</w:t>
            </w:r>
            <w:r>
              <w:softHyphen/>
              <w:t>нява сделката.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left"/>
            </w:pPr>
            <w:r>
              <w:rPr>
                <w:lang w:val="en-US" w:eastAsia="en-US" w:bidi="en-US"/>
              </w:rPr>
              <w:t>{LEI}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Инвестиционен посредник, обхванат от Директива 2014/65/ЕС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Указва дали субектът, който е идентифициран в поле 4, е инвестиционен посредник, обхванат от член 4, параграф 1 от Директива 2014/65/ЕС.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„true“ </w:t>
            </w:r>
            <w:r>
              <w:t xml:space="preserve">— да </w:t>
            </w:r>
            <w:r>
              <w:rPr>
                <w:lang w:val="en-US" w:eastAsia="en-US" w:bidi="en-US"/>
              </w:rPr>
              <w:t xml:space="preserve">„false“ </w:t>
            </w:r>
            <w:r>
              <w:t>— не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173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60" w:after="0" w:line="240" w:lineRule="auto"/>
              <w:jc w:val="center"/>
            </w:pPr>
            <w: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80" w:after="0"/>
            </w:pPr>
            <w:r>
              <w:t xml:space="preserve">Идентификационен код на </w:t>
            </w:r>
            <w:r>
              <w:t>подаващия субект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57" w:lineRule="auto"/>
            </w:pPr>
            <w:r>
              <w:t>Код, използван за идентифициране на субекта, който подава отчета за сделката до компетентния орган в съответствие с член 26, параграф 7 от Регламент (ЕС) № 600/2014.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Когато отчетът се подава пряко от изпълняващия посредник до компетентния </w:t>
            </w:r>
            <w:r>
              <w:t xml:space="preserve">орган, в него се посочва кодът </w:t>
            </w:r>
            <w:r>
              <w:rPr>
                <w:lang w:val="en-US" w:eastAsia="en-US" w:bidi="en-US"/>
              </w:rPr>
              <w:t xml:space="preserve">LEI </w:t>
            </w:r>
            <w:r>
              <w:t>на из</w:t>
            </w:r>
            <w:r>
              <w:softHyphen/>
              <w:t>пълняващия посредник (когато изпълняващият посредник е юридическо лице).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Когато отчетът се подава от място на търговия, в него се по</w:t>
            </w:r>
            <w:r>
              <w:softHyphen/>
              <w:t xml:space="preserve">сочва кодът </w:t>
            </w:r>
            <w:r>
              <w:rPr>
                <w:lang w:val="en-US" w:eastAsia="en-US" w:bidi="en-US"/>
              </w:rPr>
              <w:t xml:space="preserve">LEI </w:t>
            </w:r>
            <w:r>
              <w:t>на оператора на мястото на търговия.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Когато отчетът се подава от ОМД, в него се попълва кодът </w:t>
            </w:r>
            <w:r>
              <w:rPr>
                <w:lang w:val="en-US" w:eastAsia="en-US" w:bidi="en-US"/>
              </w:rPr>
              <w:t xml:space="preserve">LEI </w:t>
            </w:r>
            <w:r>
              <w:t>на ОМД.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60" w:after="0" w:line="240" w:lineRule="auto"/>
              <w:jc w:val="left"/>
            </w:pPr>
            <w:r>
              <w:rPr>
                <w:lang w:val="en-US" w:eastAsia="en-US" w:bidi="en-US"/>
              </w:rPr>
              <w:t>{LEI}</w:t>
            </w:r>
          </w:p>
        </w:tc>
      </w:tr>
    </w:tbl>
    <w:p w:rsidR="003A7884" w:rsidRDefault="00AE1A93">
      <w:pPr>
        <w:pStyle w:val="Tablecaption0"/>
        <w:shd w:val="clear" w:color="auto" w:fill="auto"/>
        <w:ind w:left="91"/>
        <w:jc w:val="left"/>
        <w:rPr>
          <w:sz w:val="16"/>
          <w:szCs w:val="16"/>
        </w:rPr>
      </w:pPr>
      <w:r>
        <w:rPr>
          <w:b/>
          <w:bCs/>
          <w:sz w:val="16"/>
          <w:szCs w:val="16"/>
        </w:rPr>
        <w:t>Данни за купувача</w:t>
      </w:r>
    </w:p>
    <w:p w:rsidR="003A7884" w:rsidRDefault="003A7884">
      <w:pPr>
        <w:spacing w:after="66" w:line="14" w:lineRule="exact"/>
      </w:pPr>
    </w:p>
    <w:p w:rsidR="003A7884" w:rsidRDefault="00AE1A93">
      <w:pPr>
        <w:pStyle w:val="BodyText"/>
        <w:shd w:val="clear" w:color="auto" w:fill="auto"/>
        <w:spacing w:after="80"/>
        <w:ind w:left="380" w:hanging="380"/>
        <w:jc w:val="left"/>
      </w:pPr>
      <w:r>
        <w:t>— За съвместни сметки полета 7—11 се повтарят за всеки купувач.</w:t>
      </w:r>
    </w:p>
    <w:p w:rsidR="003A7884" w:rsidRDefault="00AE1A93">
      <w:pPr>
        <w:pStyle w:val="BodyText"/>
        <w:shd w:val="clear" w:color="auto" w:fill="auto"/>
        <w:spacing w:after="80"/>
        <w:ind w:left="380" w:hanging="380"/>
        <w:jc w:val="left"/>
      </w:pPr>
      <w:r>
        <w:t xml:space="preserve">— Когато сделката се отнася до предадено нареждане, което е изпълнило условията за предаване, </w:t>
      </w:r>
      <w:r>
        <w:t>посочени в член 4, получаващият посредник попълва в полета 7—15 в отчета си на получаващ посредник информацията, получена от предаващия посредник.</w:t>
      </w:r>
    </w:p>
    <w:p w:rsidR="003A7884" w:rsidRDefault="00AE1A93">
      <w:pPr>
        <w:pStyle w:val="BodyText"/>
        <w:shd w:val="clear" w:color="auto" w:fill="auto"/>
        <w:spacing w:after="0"/>
        <w:ind w:left="380" w:hanging="380"/>
        <w:jc w:val="left"/>
      </w:pPr>
      <w:r>
        <w:t xml:space="preserve">— Когато предаването се отнася до предадено нареждане, което не е изпълнило условията за предаване, посочени </w:t>
      </w:r>
      <w:r>
        <w:t>в член 4, получа</w:t>
      </w:r>
      <w:r>
        <w:softHyphen/>
        <w:t>ващият посредник третира предаващия посредник като купувач.</w:t>
      </w:r>
    </w:p>
    <w:p w:rsidR="003A7884" w:rsidRDefault="00AE1A93">
      <w:pPr>
        <w:spacing w:line="14" w:lineRule="exact"/>
      </w:pP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7810" distB="634365" distL="114300" distR="4274820" simplePos="0" relativeHeight="125829378" behindDoc="0" locked="0" layoutInCell="1" allowOverlap="1">
                <wp:simplePos x="0" y="0"/>
                <wp:positionH relativeFrom="page">
                  <wp:posOffset>730885</wp:posOffset>
                </wp:positionH>
                <wp:positionV relativeFrom="paragraph">
                  <wp:posOffset>266700</wp:posOffset>
                </wp:positionV>
                <wp:extent cx="1557655" cy="298450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655" cy="298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/>
                              <w:ind w:left="520" w:hanging="520"/>
                              <w:jc w:val="left"/>
                            </w:pPr>
                            <w:r>
                              <w:t>7 Идентификационен код купувача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57.55pt;margin-top:21pt;width:122.65pt;height:23.5pt;z-index:125829378;visibility:visible;mso-wrap-style:square;mso-wrap-distance-left:9pt;mso-wrap-distance-top:20.3pt;mso-wrap-distance-right:336.6pt;mso-wrap-distance-bottom:49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/>
                        <w:ind w:left="520" w:hanging="520"/>
                        <w:jc w:val="left"/>
                      </w:pPr>
                      <w:r>
                        <w:t>7 Идентификационен код купувача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60985" distB="780415" distL="1760220" distR="4046220" simplePos="0" relativeHeight="125829380" behindDoc="0" locked="0" layoutInCell="1" allowOverlap="1">
                <wp:simplePos x="0" y="0"/>
                <wp:positionH relativeFrom="page">
                  <wp:posOffset>2376805</wp:posOffset>
                </wp:positionH>
                <wp:positionV relativeFrom="paragraph">
                  <wp:posOffset>269875</wp:posOffset>
                </wp:positionV>
                <wp:extent cx="140335" cy="149225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на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" o:spid="_x0000_s1027" type="#_x0000_t202" style="position:absolute;margin-left:187.15pt;margin-top:21.25pt;width:11.05pt;height:11.75pt;z-index:125829380;visibility:visible;mso-wrap-style:square;mso-wrap-distance-left:138.6pt;mso-wrap-distance-top:20.55pt;mso-wrap-distance-right:318.6pt;mso-wrap-distance-bottom:61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на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7810" distB="634365" distL="1982470" distR="2281555" simplePos="0" relativeHeight="125829382" behindDoc="0" locked="0" layoutInCell="1" allowOverlap="1">
                <wp:simplePos x="0" y="0"/>
                <wp:positionH relativeFrom="page">
                  <wp:posOffset>2599690</wp:posOffset>
                </wp:positionH>
                <wp:positionV relativeFrom="paragraph">
                  <wp:posOffset>266700</wp:posOffset>
                </wp:positionV>
                <wp:extent cx="1682750" cy="29845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750" cy="298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t>Код, използван за идентифициране совия инструмент.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8" type="#_x0000_t202" style="position:absolute;margin-left:204.7pt;margin-top:21pt;width:132.5pt;height:23.5pt;z-index:125829382;visibility:visible;mso-wrap-style:square;mso-wrap-distance-left:156.1pt;mso-wrap-distance-top:20.3pt;mso-wrap-distance-right:179.65pt;mso-wrap-distance-bottom:49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/>
                      </w:pPr>
                      <w:r>
                        <w:t>Код, използван за идентифициране совия инструмент.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7810" distB="768350" distL="3671570" distR="1040765" simplePos="0" relativeHeight="125829384" behindDoc="0" locked="0" layoutInCell="1" allowOverlap="1">
                <wp:simplePos x="0" y="0"/>
                <wp:positionH relativeFrom="page">
                  <wp:posOffset>4288155</wp:posOffset>
                </wp:positionH>
                <wp:positionV relativeFrom="paragraph">
                  <wp:posOffset>266700</wp:posOffset>
                </wp:positionV>
                <wp:extent cx="1234440" cy="16446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440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на придобиващия финан-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" o:spid="_x0000_s1029" type="#_x0000_t202" style="position:absolute;margin-left:337.65pt;margin-top:21pt;width:97.2pt;height:12.95pt;z-index:125829384;visibility:visible;mso-wrap-style:square;mso-wrap-distance-left:289.1pt;mso-wrap-distance-top:20.3pt;mso-wrap-distance-right:81.95pt;mso-wrap-distance-bottom:60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на придобиващия финан-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581025" distB="0" distL="1982470" distR="1040765" simplePos="0" relativeHeight="125829386" behindDoc="0" locked="0" layoutInCell="1" allowOverlap="1">
                <wp:simplePos x="0" y="0"/>
                <wp:positionH relativeFrom="page">
                  <wp:posOffset>2599690</wp:posOffset>
                </wp:positionH>
                <wp:positionV relativeFrom="paragraph">
                  <wp:posOffset>589915</wp:posOffset>
                </wp:positionV>
                <wp:extent cx="2922905" cy="618490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2905" cy="618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/>
                            </w:pPr>
                            <w:r>
                              <w:t>Когато придобиващият е юридическо лице, се използва ко</w:t>
                            </w:r>
                            <w:r>
                              <w:softHyphen/>
                            </w:r>
                            <w:r>
                              <w:t xml:space="preserve">дът 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LEI </w:t>
                            </w:r>
                            <w:r>
                              <w:t>на придобиващия.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t>Когато придобиващият не е юридическо лице, се използва идентификационният код, посочен в член 6.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" o:spid="_x0000_s1030" type="#_x0000_t202" style="position:absolute;margin-left:204.7pt;margin-top:46.45pt;width:230.15pt;height:48.7pt;z-index:125829386;visibility:visible;mso-wrap-style:square;mso-wrap-distance-left:156.1pt;mso-wrap-distance-top:45.75pt;mso-wrap-distance-right:81.9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60"/>
                      </w:pPr>
                      <w:r>
                        <w:t>Когато придобиващият е юридическо лице, се използва ко</w:t>
                      </w:r>
                      <w:r>
                        <w:softHyphen/>
                      </w:r>
                      <w:r>
                        <w:t xml:space="preserve">дът </w:t>
                      </w:r>
                      <w:r>
                        <w:rPr>
                          <w:lang w:val="en-US" w:eastAsia="en-US" w:bidi="en-US"/>
                        </w:rPr>
                        <w:t xml:space="preserve">LEI </w:t>
                      </w:r>
                      <w:r>
                        <w:t>на придобиващия.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0"/>
                      </w:pPr>
                      <w:r>
                        <w:t>Когато придобиващият не е юридическо лице, се използва идентификационният код, посочен в член 6.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7810" distB="210820" distL="4987925" distR="114300" simplePos="0" relativeHeight="125829388" behindDoc="0" locked="0" layoutInCell="1" allowOverlap="1">
                <wp:simplePos x="0" y="0"/>
                <wp:positionH relativeFrom="page">
                  <wp:posOffset>5605145</wp:posOffset>
                </wp:positionH>
                <wp:positionV relativeFrom="paragraph">
                  <wp:posOffset>266700</wp:posOffset>
                </wp:positionV>
                <wp:extent cx="844550" cy="72263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722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{LEI}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{MIC}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{NATIONAL_ID}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„INTC“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" o:spid="_x0000_s1031" type="#_x0000_t202" style="position:absolute;margin-left:441.35pt;margin-top:21pt;width:66.5pt;height:56.9pt;z-index:125829388;visibility:visible;mso-wrap-style:square;mso-wrap-distance-left:392.75pt;mso-wrap-distance-top:20.3pt;mso-wrap-distance-right:9pt;mso-wrap-distance-bottom:16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{LEI}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{MIC}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{NATIONAL_ID}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„INTC“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Когато сделката е изпълнена на място на търговия или на платформа за организирана търговия, коет</w:t>
      </w:r>
      <w:r>
        <w:t xml:space="preserve">о/която се намира извън Съюза и използва централен контрагент (ЦК), и когато самоличността на придобиващия не е разкрита, се използва кодът </w:t>
      </w:r>
      <w:r>
        <w:rPr>
          <w:lang w:val="en-US" w:eastAsia="en-US" w:bidi="en-US"/>
        </w:rPr>
        <w:t xml:space="preserve">LEI </w:t>
      </w:r>
      <w:r>
        <w:t>на ЦК.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Когато сделката е извършена на място на търговия или на платформа за организирана търговия, което/която с</w:t>
      </w:r>
      <w:r>
        <w:t xml:space="preserve">е намира извън Съюза и не използва ЦК, и когато самоличността на придобиващия не е разкрита, се използва кодът </w:t>
      </w:r>
      <w:r>
        <w:rPr>
          <w:lang w:val="en-US" w:eastAsia="en-US" w:bidi="en-US"/>
        </w:rPr>
        <w:t xml:space="preserve">MIC </w:t>
      </w:r>
      <w:r>
        <w:t>на мя</w:t>
      </w:r>
      <w:r>
        <w:softHyphen/>
        <w:t>стото на търговия или на платформата за организирана тър</w:t>
      </w:r>
      <w:r>
        <w:softHyphen/>
        <w:t>говия, което/която се намира извън Съюза.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Когато придобиващият е инвестиционен</w:t>
      </w:r>
      <w:r>
        <w:t xml:space="preserve"> посредник, който действа като систематичен участник (СУ), се използва кодът </w:t>
      </w:r>
      <w:r>
        <w:rPr>
          <w:lang w:val="en-US" w:eastAsia="en-US" w:bidi="en-US"/>
        </w:rPr>
        <w:t xml:space="preserve">LEI </w:t>
      </w:r>
      <w:r>
        <w:t>на СУ.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rPr>
          <w:lang w:val="en-US" w:eastAsia="en-US" w:bidi="en-US"/>
        </w:rPr>
        <w:t xml:space="preserve">„INTC“ </w:t>
      </w:r>
      <w:r>
        <w:t>се използва за обозначаване на агрегираната сметка на клиента при инвестиционния посредник, за да се до</w:t>
      </w:r>
      <w:r>
        <w:softHyphen/>
        <w:t>кладва прехвърляне към или от тази сметка със свързано ра</w:t>
      </w:r>
      <w:r>
        <w:t>зпределение за отделния(те) клиент(и) съответно от или към въпросната сметка.</w:t>
      </w:r>
      <w:r>
        <w:br w:type="page"/>
      </w:r>
    </w:p>
    <w:p w:rsidR="003A7884" w:rsidRDefault="00AE1A93">
      <w:pPr>
        <w:spacing w:line="14" w:lineRule="exact"/>
      </w:pP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w:lastRenderedPageBreak/>
        <mc:AlternateContent>
          <mc:Choice Requires="wps">
            <w:drawing>
              <wp:anchor distT="119380" distB="144145" distL="114300" distR="5088890" simplePos="0" relativeHeight="125829390" behindDoc="0" locked="0" layoutInCell="1" allowOverlap="1">
                <wp:simplePos x="0" y="0"/>
                <wp:positionH relativeFrom="page">
                  <wp:posOffset>1645285</wp:posOffset>
                </wp:positionH>
                <wp:positionV relativeFrom="paragraph">
                  <wp:posOffset>128270</wp:posOffset>
                </wp:positionV>
                <wp:extent cx="280670" cy="13398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20"/>
                              <w:shd w:val="clear" w:color="auto" w:fill="auto"/>
                              <w:spacing w:after="0" w:line="240" w:lineRule="auto"/>
                              <w:ind w:left="0" w:firstLine="0"/>
                              <w:jc w:val="left"/>
                            </w:pPr>
                            <w:r>
                              <w:t>ПОЛЕ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3" o:spid="_x0000_s1032" type="#_x0000_t202" style="position:absolute;margin-left:129.55pt;margin-top:10.1pt;width:22.1pt;height:10.55pt;z-index:125829390;visibility:visible;mso-wrap-style:square;mso-wrap-distance-left:9pt;mso-wrap-distance-top:9.4pt;mso-wrap-distance-right:400.7pt;mso-wrap-distance-bottom:11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" filled="f" stroked="f">
                <v:textbox inset="0,0,0,0">
                  <w:txbxContent>
                    <w:p w:rsidR="003A7884" w:rsidRDefault="00AE1A93">
                      <w:pPr>
                        <w:pStyle w:val="Bodytext20"/>
                        <w:shd w:val="clear" w:color="auto" w:fill="auto"/>
                        <w:spacing w:after="0" w:line="240" w:lineRule="auto"/>
                        <w:ind w:left="0" w:firstLine="0"/>
                        <w:jc w:val="left"/>
                      </w:pPr>
                      <w:r>
                        <w:t>ПОЛЕ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119380" distB="132080" distL="1677670" distR="2101850" simplePos="0" relativeHeight="125829392" behindDoc="0" locked="0" layoutInCell="1" allowOverlap="1">
                <wp:simplePos x="0" y="0"/>
                <wp:positionH relativeFrom="page">
                  <wp:posOffset>3209290</wp:posOffset>
                </wp:positionH>
                <wp:positionV relativeFrom="paragraph">
                  <wp:posOffset>128270</wp:posOffset>
                </wp:positionV>
                <wp:extent cx="1703705" cy="146050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3705" cy="146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20"/>
                              <w:shd w:val="clear" w:color="auto" w:fill="auto"/>
                              <w:spacing w:after="0" w:line="240" w:lineRule="auto"/>
                              <w:ind w:left="0" w:firstLine="0"/>
                              <w:jc w:val="left"/>
                            </w:pPr>
                            <w:r>
                              <w:t>СЪДЪРЖАНИЕ, КОЕТО СЕ ДОКЛАДВА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5" o:spid="_x0000_s1033" type="#_x0000_t202" style="position:absolute;margin-left:252.7pt;margin-top:10.1pt;width:134.15pt;height:11.5pt;z-index:125829392;visibility:visible;mso-wrap-style:square;mso-wrap-distance-left:132.1pt;mso-wrap-distance-top:9.4pt;mso-wrap-distance-right:165.5pt;mso-wrap-distance-bottom:10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" filled="f" stroked="f">
                <v:textbox inset="0,0,0,0">
                  <w:txbxContent>
                    <w:p w:rsidR="003A7884" w:rsidRDefault="00AE1A93">
                      <w:pPr>
                        <w:pStyle w:val="Bodytext20"/>
                        <w:shd w:val="clear" w:color="auto" w:fill="auto"/>
                        <w:spacing w:after="0" w:line="240" w:lineRule="auto"/>
                        <w:ind w:left="0" w:firstLine="0"/>
                        <w:jc w:val="left"/>
                      </w:pPr>
                      <w:r>
                        <w:t>СЪДЪРЖАНИЕ, КОЕТО СЕ ДОКЛАДВА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0" distB="3810" distL="4164965" distR="114300" simplePos="0" relativeHeight="125829394" behindDoc="0" locked="0" layoutInCell="1" allowOverlap="1">
                <wp:simplePos x="0" y="0"/>
                <wp:positionH relativeFrom="page">
                  <wp:posOffset>5696585</wp:posOffset>
                </wp:positionH>
                <wp:positionV relativeFrom="paragraph">
                  <wp:posOffset>8890</wp:posOffset>
                </wp:positionV>
                <wp:extent cx="1203960" cy="402590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402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20"/>
                              <w:shd w:val="clear" w:color="auto" w:fill="auto"/>
                              <w:spacing w:after="0"/>
                              <w:ind w:left="0" w:firstLine="0"/>
                              <w:jc w:val="center"/>
                            </w:pPr>
                            <w:r>
                              <w:t>ФОРМАТ И СТАНДАРТИ,</w:t>
                            </w:r>
                            <w:r>
                              <w:br/>
                              <w:t>КОИТО СЕ ИЗПОЛЗВАТ ЗА</w:t>
                            </w:r>
                            <w:r>
                              <w:br/>
                              <w:t>ДОКЛАДВАНЕТО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7" o:spid="_x0000_s1034" type="#_x0000_t202" style="position:absolute;margin-left:448.55pt;margin-top:.7pt;width:94.8pt;height:31.7pt;z-index:125829394;visibility:visible;mso-wrap-style:square;mso-wrap-distance-left:327.95pt;mso-wrap-distance-top:0;mso-wrap-distance-right:9pt;mso-wrap-distance-bottom: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" filled="f" stroked="f">
                <v:textbox inset="0,0,0,0">
                  <w:txbxContent>
                    <w:p w:rsidR="003A7884" w:rsidRDefault="00AE1A93">
                      <w:pPr>
                        <w:pStyle w:val="Bodytext20"/>
                        <w:shd w:val="clear" w:color="auto" w:fill="auto"/>
                        <w:spacing w:after="0"/>
                        <w:ind w:left="0" w:firstLine="0"/>
                        <w:jc w:val="center"/>
                      </w:pPr>
                      <w:r>
                        <w:t>ФОРМАТ И СТАНДАРТИ,</w:t>
                      </w:r>
                      <w:r>
                        <w:br/>
                        <w:t>КОИТО СЕ ИЗПОЛЗВАТ ЗА</w:t>
                      </w:r>
                      <w:r>
                        <w:br/>
                        <w:t>ДОКЛАДВАНЕТО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опции и суапции купувачът е контрагентът, който притежава правото</w:t>
      </w:r>
      <w:r>
        <w:t xml:space="preserve"> да упражни опцията, а продавачът е контрагентът, който продава опцията и получава премия.</w:t>
      </w:r>
    </w:p>
    <w:p w:rsidR="003A7884" w:rsidRDefault="00AE1A93">
      <w:pPr>
        <w:pStyle w:val="BodyText"/>
        <w:shd w:val="clear" w:color="auto" w:fill="auto"/>
        <w:spacing w:after="80" w:line="262" w:lineRule="auto"/>
        <w:ind w:left="3300" w:right="2420"/>
      </w:pPr>
      <w:r>
        <w:t>В случай на фючърси и форуърди, различни от фючърси и форуърди, свързани с валути, купувачът е контрагентът, който купува инструмента, а продавачът е контрагентът, к</w:t>
      </w:r>
      <w:r>
        <w:t>ойто продава инструмента.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суапове, свързани с ценни книжа, купувачът е контрагентът, който носи риска от промяна на цената на ба</w:t>
      </w:r>
      <w:r>
        <w:softHyphen/>
        <w:t>зовата ценна книга и получава сумата на ценната книга. Продавачът е контрагентът, който плаща сумата на ценната кни</w:t>
      </w:r>
      <w:r>
        <w:t>га.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суапове, свързани с лихвени проценти или ин</w:t>
      </w:r>
      <w:r>
        <w:softHyphen/>
        <w:t>флационни индекси, купувачът е контрагентът, който плаща фиксираната ставка. Продавачът е контрагентът, който полу</w:t>
      </w:r>
      <w:r>
        <w:softHyphen/>
        <w:t>чава фиксираната ставка. В случай на базови суапове (лих</w:t>
      </w:r>
      <w:r>
        <w:softHyphen/>
        <w:t xml:space="preserve">вени суапове за размяна </w:t>
      </w:r>
      <w:r>
        <w:t>на плаващи лихвени проценти), ку</w:t>
      </w:r>
      <w:r>
        <w:softHyphen/>
        <w:t>пувачът е контрагентът, който плаща спреда, а продавачът е контрагентът, който получава спреда.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суапове и форуърди, свързани с валути, и на кръстосани валутни суапове, купувачът е контрагентът, по</w:t>
      </w:r>
      <w:r>
        <w:softHyphen/>
        <w:t>лучаващ валута</w:t>
      </w:r>
      <w:r>
        <w:t xml:space="preserve">та, която се явява първа при подреждане по азбучен ред съгласно стандарт </w:t>
      </w:r>
      <w:r>
        <w:rPr>
          <w:lang w:val="en-US" w:eastAsia="en-US" w:bidi="en-US"/>
        </w:rPr>
        <w:t xml:space="preserve">ISO </w:t>
      </w:r>
      <w:r>
        <w:t>4217, а продавачът е контрагентът, който предоставя тази валута.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суап, свързан с дивиденти, купувачът е контра</w:t>
      </w:r>
      <w:r>
        <w:softHyphen/>
        <w:t>гентът, който получава равностойността на действителните</w:t>
      </w:r>
      <w:r>
        <w:t xml:space="preserve"> плащания на дивиденти. Продавачът е контрагентът, който плаща дивидента и получава фиксираната ставка.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дериватни инструменти за прехвърляне на кре</w:t>
      </w:r>
      <w:r>
        <w:softHyphen/>
        <w:t>дитен риск, с изключение на опции и суапции, купувачът е контрагентът, който купува защитата. Пр</w:t>
      </w:r>
      <w:r>
        <w:t>одавачът е контра</w:t>
      </w:r>
      <w:r>
        <w:softHyphen/>
        <w:t>гентът, който продава защитата.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договор за деривати, свързан със стоки, купува</w:t>
      </w:r>
      <w:r>
        <w:softHyphen/>
        <w:t>чът е контрагентът, който получава стоката, посочена в от</w:t>
      </w:r>
      <w:r>
        <w:softHyphen/>
        <w:t>чета, а продавачът е контрагентът, който предоставя тази стока.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 xml:space="preserve">В случай на споразумения </w:t>
      </w:r>
      <w:r>
        <w:t>за лихвен форуърд, купувачът е контрагентът, който плаща фиксираната ставка, а продавачът е контрагентът, който получава фиксираната ставка.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При увеличение на номиналната стойност купувачът е иден</w:t>
      </w:r>
      <w:r>
        <w:softHyphen/>
        <w:t>тичен на придобиващия финансовия инструмент в рамките на пъ</w:t>
      </w:r>
      <w:r>
        <w:t>рвоначалната сделка, а продавачът е идентичен на ли</w:t>
      </w:r>
      <w:r>
        <w:softHyphen/>
        <w:t>цето, което се освобождава от финансовия инструмент в рамките на първоначалната сделка.</w:t>
      </w:r>
    </w:p>
    <w:p w:rsidR="003A7884" w:rsidRDefault="00AE1A93">
      <w:pPr>
        <w:pStyle w:val="BodyText"/>
        <w:shd w:val="clear" w:color="auto" w:fill="auto"/>
        <w:spacing w:after="820"/>
        <w:ind w:left="3300" w:right="2420"/>
      </w:pPr>
      <w:r>
        <w:t>При намаление на номиналната стойност купувачът е иден</w:t>
      </w:r>
      <w:r>
        <w:softHyphen/>
        <w:t>тичен на лицето, което се освобождава от финансовия ин</w:t>
      </w:r>
      <w:r>
        <w:softHyphen/>
      </w:r>
      <w:r>
        <w:t>струмент в рамките на първоначалната сделка, а продавачът е идентичен на придобиващия финансовия инструмент в рамките на първоначалната сделка.</w:t>
      </w:r>
    </w:p>
    <w:p w:rsidR="003A7884" w:rsidRDefault="00AE1A93">
      <w:pPr>
        <w:pStyle w:val="Bodytext30"/>
        <w:shd w:val="clear" w:color="auto" w:fill="auto"/>
        <w:spacing w:after="80" w:line="240" w:lineRule="auto"/>
        <w:jc w:val="left"/>
      </w:pPr>
      <w:r>
        <w:t>Допълнителни данни</w:t>
      </w:r>
    </w:p>
    <w:p w:rsidR="003A7884" w:rsidRDefault="00AE1A93">
      <w:pPr>
        <w:pStyle w:val="BodyText"/>
        <w:shd w:val="clear" w:color="auto" w:fill="auto"/>
        <w:spacing w:after="80" w:line="240" w:lineRule="auto"/>
        <w:jc w:val="left"/>
      </w:pPr>
      <w:r>
        <w:t>— Полета 8—15 са приложими само ако купувачът е клиент.</w:t>
      </w:r>
    </w:p>
    <w:p w:rsidR="003A7884" w:rsidRDefault="00AE1A93">
      <w:pPr>
        <w:pStyle w:val="BodyText"/>
        <w:shd w:val="clear" w:color="auto" w:fill="auto"/>
        <w:spacing w:after="80" w:line="240" w:lineRule="auto"/>
        <w:jc w:val="left"/>
      </w:pPr>
      <w:r>
        <w:t>— Полета 9—11 са приложими само ако к</w:t>
      </w:r>
      <w:r>
        <w:t>упувачът е физическо лице.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667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t>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/>
            </w:pPr>
            <w:r>
              <w:t>Държава на клона за купу</w:t>
            </w:r>
            <w:r>
              <w:softHyphen/>
              <w:t>вача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Когато придобиващият е клиент, в това поле се идентифи</w:t>
            </w:r>
            <w:r>
              <w:softHyphen/>
              <w:t xml:space="preserve">цира държавата на клона, който е получил </w:t>
            </w:r>
            <w:r>
              <w:t>нареждането от клиента или е взел инвестиционното решение от името на клиента в съответствие с дискреционен мандат, даден му от клиента, както се изисква по член 14, параграф 3.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Когато тази дейност не е извършена от клон, в полето се по</w:t>
            </w:r>
            <w:r>
              <w:softHyphen/>
              <w:t>пълва кодът на държ</w:t>
            </w:r>
            <w:r>
              <w:t>авата членка по произход на инвести</w:t>
            </w:r>
            <w:r>
              <w:softHyphen/>
              <w:t>ционния посредник или кодът на държавата, в която е уста</w:t>
            </w:r>
            <w:r>
              <w:softHyphen/>
              <w:t>новено главното управление или седалището на инвести</w:t>
            </w:r>
            <w:r>
              <w:softHyphen/>
              <w:t>ционния посредник (в случай на посредници от трета дър</w:t>
            </w:r>
            <w:r>
              <w:softHyphen/>
              <w:t>жава).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Когато сделката се отнася до предадено нареждане</w:t>
            </w:r>
            <w:r>
              <w:t>, което е изпълнило условията за предаване, посочени в член 4, това поле се попълва, като се използва информацията, получена от предаващия посредник.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left"/>
            </w:pPr>
            <w:r>
              <w:rPr>
                <w:lang w:val="en-US" w:eastAsia="en-US" w:bidi="en-US"/>
              </w:rPr>
              <w:t>{COUNTRYCODE_2}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  <w:jc w:val="left"/>
            </w:pPr>
            <w:r>
              <w:t>Купувач — собствено(и) име(на)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Пълното(ите) собствено(и) име(на) на купувача. В случай </w:t>
            </w:r>
            <w:r>
              <w:t>че има повече от едно собствено име, в това поле се посочват всички имена, като се отделят със запетая.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left"/>
            </w:pPr>
            <w:r>
              <w:rPr>
                <w:lang w:val="en-US" w:eastAsia="en-US" w:bidi="en-US"/>
              </w:rPr>
              <w:t>{ALPHANUM-140}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  <w:jc w:val="left"/>
            </w:pPr>
            <w:r>
              <w:t>Купувач — фамилно(и) име(на)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Пълното(ите) фамилно(и) име(на) на купувача. В случай че има повече от едно фамилно име, в това поле се </w:t>
            </w:r>
            <w:r>
              <w:t>посочват всички фамилни имена, като се отделят със запетая.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left"/>
            </w:pPr>
            <w:r>
              <w:rPr>
                <w:lang w:val="en-US" w:eastAsia="en-US" w:bidi="en-US"/>
              </w:rPr>
              <w:t>{ALPHANUM-140}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Купувач — дата на раждане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Дата на раждане на купувача.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{DATEFORMAT}</w:t>
            </w:r>
          </w:p>
        </w:tc>
      </w:tr>
    </w:tbl>
    <w:p w:rsidR="003A7884" w:rsidRDefault="003A7884">
      <w:pPr>
        <w:spacing w:after="166" w:line="14" w:lineRule="exact"/>
      </w:pPr>
    </w:p>
    <w:p w:rsidR="003A7884" w:rsidRDefault="00AE1A93">
      <w:pPr>
        <w:pStyle w:val="Bodytext30"/>
        <w:shd w:val="clear" w:color="auto" w:fill="auto"/>
        <w:spacing w:after="60" w:line="240" w:lineRule="auto"/>
        <w:jc w:val="left"/>
      </w:pPr>
      <w:r>
        <w:t>Лице, което взема решение от името на купувача</w:t>
      </w:r>
    </w:p>
    <w:p w:rsidR="003A7884" w:rsidRDefault="00AE1A93">
      <w:pPr>
        <w:pStyle w:val="BodyText"/>
        <w:shd w:val="clear" w:color="auto" w:fill="auto"/>
        <w:spacing w:after="0" w:line="240" w:lineRule="auto"/>
        <w:jc w:val="left"/>
      </w:pPr>
      <w:r>
        <w:t xml:space="preserve">— Полета 12—15 са приложими само ако лицето, което взема </w:t>
      </w:r>
      <w:r>
        <w:t>решението, действа въз основа на правомощие за представителство.</w:t>
      </w:r>
    </w:p>
    <w:p w:rsidR="003A7884" w:rsidRDefault="00AE1A93">
      <w:pPr>
        <w:spacing w:line="14" w:lineRule="exact"/>
      </w:pP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146685" distB="728980" distL="114300" distR="5716270" simplePos="0" relativeHeight="125829396" behindDoc="0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155575</wp:posOffset>
                </wp:positionV>
                <wp:extent cx="149225" cy="149225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2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9" o:spid="_x0000_s1035" type="#_x0000_t202" style="position:absolute;margin-left:54.95pt;margin-top:12.25pt;width:11.75pt;height:11.75pt;z-index:125829396;visibility:visible;mso-wrap-style:square;mso-wrap-distance-left:9pt;mso-wrap-distance-top:11.55pt;mso-wrap-distance-right:450.1pt;mso-wrap-distance-bottom:57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12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146685" distB="451485" distL="473710" distR="4046220" simplePos="0" relativeHeight="125829398" behindDoc="0" locked="0" layoutInCell="1" allowOverlap="1">
                <wp:simplePos x="0" y="0"/>
                <wp:positionH relativeFrom="page">
                  <wp:posOffset>1057275</wp:posOffset>
                </wp:positionH>
                <wp:positionV relativeFrom="paragraph">
                  <wp:posOffset>155575</wp:posOffset>
                </wp:positionV>
                <wp:extent cx="1459865" cy="426720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865" cy="4267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t>Код на лицето, което взема решение от името на купу</w:t>
                            </w:r>
                            <w:r>
                              <w:softHyphen/>
                              <w:t>вача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1" o:spid="_x0000_s1036" type="#_x0000_t202" style="position:absolute;margin-left:83.25pt;margin-top:12.25pt;width:114.95pt;height:33.6pt;z-index:125829398;visibility:visible;mso-wrap-style:square;mso-wrap-distance-left:37.3pt;mso-wrap-distance-top:11.55pt;mso-wrap-distance-right:318.6pt;mso-wrap-distance-bottom:35.5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/>
                      </w:pPr>
                      <w:r>
                        <w:t>Код на лицето, което взема решение от името на купу</w:t>
                      </w:r>
                      <w:r>
                        <w:softHyphen/>
                        <w:t>вача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143510" distB="0" distL="2012950" distR="1040765" simplePos="0" relativeHeight="125829400" behindDoc="0" locked="0" layoutInCell="1" allowOverlap="1">
                <wp:simplePos x="0" y="0"/>
                <wp:positionH relativeFrom="page">
                  <wp:posOffset>2596515</wp:posOffset>
                </wp:positionH>
                <wp:positionV relativeFrom="paragraph">
                  <wp:posOffset>152400</wp:posOffset>
                </wp:positionV>
                <wp:extent cx="2926080" cy="890270"/>
                <wp:effectExtent l="0" t="0" r="0" b="0"/>
                <wp:wrapTopAndBottom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890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66" w:lineRule="auto"/>
                            </w:pPr>
                            <w:r>
                              <w:t>Код, използван за идентифициране на лицето, което взема решението за придобиване на финансовия инструмент.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t>Когато решението</w:t>
                            </w:r>
                            <w:r>
                              <w:t xml:space="preserve"> се взема от инвестиционен посредник, в това поле се попълват идентификационните данни на инве</w:t>
                            </w:r>
                            <w:r>
                              <w:softHyphen/>
                              <w:t>стиционния посредник, а не на физическото лице, което взема инвестиционното решение.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3" o:spid="_x0000_s1037" type="#_x0000_t202" style="position:absolute;margin-left:204.45pt;margin-top:12pt;width:230.4pt;height:70.1pt;z-index:125829400;visibility:visible;mso-wrap-style:square;mso-wrap-distance-left:158.5pt;mso-wrap-distance-top:11.3pt;mso-wrap-distance-right:81.9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66" w:lineRule="auto"/>
                      </w:pPr>
                      <w:r>
                        <w:t>Код, използван за идентифициране на лицето, което взема решението за придобиване на финансовия инструмент.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0"/>
                      </w:pPr>
                      <w:r>
                        <w:t>Когато решението</w:t>
                      </w:r>
                      <w:r>
                        <w:t xml:space="preserve"> се взема от инвестиционен посредник, в това поле се попълват идентификационните данни на инве</w:t>
                      </w:r>
                      <w:r>
                        <w:softHyphen/>
                        <w:t>стиционния посредник, а не на физическото лице, което взема инвестиционното решение.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143510" distB="530860" distL="5024755" distR="114300" simplePos="0" relativeHeight="125829402" behindDoc="0" locked="0" layoutInCell="1" allowOverlap="1">
                <wp:simplePos x="0" y="0"/>
                <wp:positionH relativeFrom="page">
                  <wp:posOffset>5607685</wp:posOffset>
                </wp:positionH>
                <wp:positionV relativeFrom="paragraph">
                  <wp:posOffset>152400</wp:posOffset>
                </wp:positionV>
                <wp:extent cx="841375" cy="350520"/>
                <wp:effectExtent l="0" t="0" r="0" b="0"/>
                <wp:wrapTopAndBottom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375" cy="3505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{LEI}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{NATIONAL_ID}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5" o:spid="_x0000_s1038" type="#_x0000_t202" style="position:absolute;margin-left:441.55pt;margin-top:12pt;width:66.25pt;height:27.6pt;z-index:125829402;visibility:visible;mso-wrap-style:square;mso-wrap-distance-left:395.65pt;mso-wrap-distance-top:11.3pt;mso-wrap-distance-right:9pt;mso-wrap-distance-bottom:41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{LEI}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{NATIONAL_ID}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 xml:space="preserve">Когато лицето, което взема решението, е юридическо </w:t>
      </w:r>
      <w:r>
        <w:t xml:space="preserve">лице, се използва кодът </w:t>
      </w:r>
      <w:r>
        <w:rPr>
          <w:lang w:val="en-US" w:eastAsia="en-US" w:bidi="en-US"/>
        </w:rPr>
        <w:t xml:space="preserve">LEI </w:t>
      </w:r>
      <w:r>
        <w:t>на лицето, което взема решението.</w:t>
      </w:r>
    </w:p>
    <w:p w:rsidR="003A7884" w:rsidRDefault="00AE1A93">
      <w:pPr>
        <w:pStyle w:val="BodyText"/>
        <w:shd w:val="clear" w:color="auto" w:fill="auto"/>
        <w:spacing w:after="380"/>
        <w:ind w:left="3300" w:right="2420"/>
      </w:pPr>
      <w:r>
        <w:t>Когато лицето, което взема решението, не е юридическо лице, се използва идентификационният код, посочен в член 6.</w:t>
      </w:r>
    </w:p>
    <w:p w:rsidR="003A7884" w:rsidRDefault="00AE1A93">
      <w:pPr>
        <w:pStyle w:val="Bodytext30"/>
        <w:shd w:val="clear" w:color="auto" w:fill="auto"/>
        <w:spacing w:after="80" w:line="240" w:lineRule="auto"/>
        <w:jc w:val="left"/>
      </w:pPr>
      <w:r>
        <w:t>Данни за лицето, което взема решение от името на купувача</w:t>
      </w:r>
    </w:p>
    <w:p w:rsidR="003A7884" w:rsidRDefault="00AE1A93">
      <w:pPr>
        <w:pStyle w:val="BodyText"/>
        <w:shd w:val="clear" w:color="auto" w:fill="auto"/>
        <w:spacing w:after="0" w:line="240" w:lineRule="auto"/>
        <w:jc w:val="left"/>
      </w:pPr>
      <w:r>
        <w:t>— Полета 13—15 са прил</w:t>
      </w:r>
      <w:r>
        <w:t>ожими само ако лицето, което взема решението, е физическо лице.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1243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center"/>
            </w:pPr>
            <w:r>
              <w:t>13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Лице, което взема решението за купуване — собствено(и) име(на)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Пълното(ите) собствено(и) име(на) на лицето, което взема ре</w:t>
            </w:r>
            <w:r>
              <w:softHyphen/>
              <w:t xml:space="preserve">шението от името на купувача. В случай че има повече от едно </w:t>
            </w:r>
            <w:r>
              <w:t>собствено име, в това поле се посочват всички имена, като се отделят със запетая.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left"/>
            </w:pPr>
            <w:r>
              <w:rPr>
                <w:lang w:val="en-US" w:eastAsia="en-US" w:bidi="en-US"/>
              </w:rPr>
              <w:t>{ALPHANUM-140}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248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14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Лице, което взема решението за купуване — фамилно(и) име(на)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Пълното(ите) фамилно(и) име(на) на лицето, което взема ре</w:t>
            </w:r>
            <w:r>
              <w:softHyphen/>
              <w:t xml:space="preserve">шението от името на купувача. В </w:t>
            </w:r>
            <w:r>
              <w:t>случай че има повече от едно фамилно име, в това поле се посочват всички фамилни имена, като се отделят със запетая.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left"/>
            </w:pPr>
            <w:r>
              <w:rPr>
                <w:lang w:val="en-US" w:eastAsia="en-US" w:bidi="en-US"/>
              </w:rPr>
              <w:t>{ALPHANUM-140}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402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t>15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/>
            </w:pPr>
            <w:r>
              <w:t xml:space="preserve">Лице, което взема </w:t>
            </w:r>
            <w:r>
              <w:t>решението за купуване — дата на ра</w:t>
            </w:r>
            <w:r>
              <w:softHyphen/>
              <w:t>ждане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/>
            </w:pPr>
            <w:r>
              <w:t>Дата на раждане на лицето, което взема решението от името на купувача.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left"/>
            </w:pPr>
            <w:r>
              <w:rPr>
                <w:lang w:val="en-US" w:eastAsia="en-US" w:bidi="en-US"/>
              </w:rPr>
              <w:t>{DATEFORMAT}</w:t>
            </w:r>
          </w:p>
        </w:tc>
      </w:tr>
    </w:tbl>
    <w:p w:rsidR="003A7884" w:rsidRDefault="003A7884">
      <w:pPr>
        <w:spacing w:after="586" w:line="14" w:lineRule="exact"/>
      </w:pPr>
    </w:p>
    <w:p w:rsidR="003A7884" w:rsidRDefault="00AE1A93">
      <w:pPr>
        <w:pStyle w:val="Bodytext30"/>
        <w:shd w:val="clear" w:color="auto" w:fill="auto"/>
        <w:spacing w:after="60" w:line="276" w:lineRule="auto"/>
        <w:ind w:left="380" w:hanging="380"/>
        <w:jc w:val="both"/>
      </w:pPr>
      <w:r>
        <w:t>Данни за продавача и лицето, което взема решението</w:t>
      </w:r>
    </w:p>
    <w:p w:rsidR="003A7884" w:rsidRDefault="00AE1A93">
      <w:pPr>
        <w:pStyle w:val="BodyText"/>
        <w:shd w:val="clear" w:color="auto" w:fill="auto"/>
        <w:spacing w:after="60"/>
        <w:ind w:left="380" w:hanging="380"/>
      </w:pPr>
      <w:r>
        <w:t>— При съвместни сметки полета 16—20 се повтарят за всеки продавач.</w:t>
      </w:r>
    </w:p>
    <w:p w:rsidR="003A7884" w:rsidRDefault="00AE1A93">
      <w:pPr>
        <w:pStyle w:val="BodyText"/>
        <w:shd w:val="clear" w:color="auto" w:fill="auto"/>
        <w:spacing w:after="60"/>
        <w:ind w:left="380" w:hanging="380"/>
      </w:pPr>
      <w:r>
        <w:t xml:space="preserve">— Когато </w:t>
      </w:r>
      <w:r>
        <w:t>сделката от името на продавача се отнася до предадено нареждане, което е изпълнило условията за предаване, посочени в член 4, получаващият посредник попълва в полета 16—24 в отчета си на получаващ посредник информацията, получена от пре</w:t>
      </w:r>
      <w:r>
        <w:softHyphen/>
        <w:t>даващия посредник.</w:t>
      </w:r>
    </w:p>
    <w:p w:rsidR="003A7884" w:rsidRDefault="00AE1A93">
      <w:pPr>
        <w:pStyle w:val="BodyText"/>
        <w:shd w:val="clear" w:color="auto" w:fill="auto"/>
        <w:spacing w:after="0"/>
        <w:ind w:left="380" w:hanging="380"/>
      </w:pPr>
      <w:r>
        <w:t>— Когато предаването се отнася до предадено нареждане, което не е изпълнило условията за предаване, посочени в член 4, получа</w:t>
      </w:r>
      <w:r>
        <w:softHyphen/>
        <w:t>ващият посредник третира предаващия посредник като продавач.</w:t>
      </w:r>
    </w:p>
    <w:p w:rsidR="003A7884" w:rsidRDefault="00AE1A93">
      <w:pPr>
        <w:spacing w:line="14" w:lineRule="exact"/>
      </w:pP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692785" distB="591820" distL="114300" distR="5716270" simplePos="0" relativeHeight="125829404" behindDoc="0" locked="0" layoutInCell="1" allowOverlap="1">
                <wp:simplePos x="0" y="0"/>
                <wp:positionH relativeFrom="page">
                  <wp:posOffset>697865</wp:posOffset>
                </wp:positionH>
                <wp:positionV relativeFrom="paragraph">
                  <wp:posOffset>701675</wp:posOffset>
                </wp:positionV>
                <wp:extent cx="149225" cy="149225"/>
                <wp:effectExtent l="0" t="0" r="0" b="0"/>
                <wp:wrapTopAndBottom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2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7" o:spid="_x0000_s1039" type="#_x0000_t202" style="position:absolute;margin-left:54.95pt;margin-top:55.25pt;width:11.75pt;height:11.75pt;z-index:125829404;visibility:visible;mso-wrap-style:square;mso-wrap-distance-left:9pt;mso-wrap-distance-top:54.55pt;mso-wrap-distance-right:450.1pt;mso-wrap-distance-bottom:46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16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689610" distB="445135" distL="473710" distR="4564380" simplePos="0" relativeHeight="125829406" behindDoc="0" locked="0" layoutInCell="1" allowOverlap="1">
                <wp:simplePos x="0" y="0"/>
                <wp:positionH relativeFrom="page">
                  <wp:posOffset>1057275</wp:posOffset>
                </wp:positionH>
                <wp:positionV relativeFrom="paragraph">
                  <wp:posOffset>698500</wp:posOffset>
                </wp:positionV>
                <wp:extent cx="941705" cy="298450"/>
                <wp:effectExtent l="0" t="0" r="0" b="0"/>
                <wp:wrapTopAndBottom/>
                <wp:docPr id="29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705" cy="298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Идентификационен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продавача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9" o:spid="_x0000_s1040" type="#_x0000_t202" style="position:absolute;margin-left:83.25pt;margin-top:55pt;width:74.15pt;height:23.5pt;z-index:125829406;visibility:visible;mso-wrap-style:square;mso-wrap-distance-left:37.3pt;mso-wrap-distance-top:54.3pt;mso-wrap-distance-right:359.4pt;mso-wrap-distance-bottom:35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Идентификационен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продавача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692785" distB="585470" distL="1504315" distR="4274820" simplePos="0" relativeHeight="125829408" behindDoc="0" locked="0" layoutInCell="1" allowOverlap="1">
                <wp:simplePos x="0" y="0"/>
                <wp:positionH relativeFrom="page">
                  <wp:posOffset>2087245</wp:posOffset>
                </wp:positionH>
                <wp:positionV relativeFrom="paragraph">
                  <wp:posOffset>701675</wp:posOffset>
                </wp:positionV>
                <wp:extent cx="201295" cy="155575"/>
                <wp:effectExtent l="0" t="0" r="0" b="0"/>
                <wp:wrapTopAndBottom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код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1" o:spid="_x0000_s1041" type="#_x0000_t202" style="position:absolute;margin-left:164.35pt;margin-top:55.25pt;width:15.85pt;height:12.25pt;z-index:125829408;visibility:visible;mso-wrap-style:square;mso-wrap-distance-left:118.45pt;mso-wrap-distance-top:54.55pt;mso-wrap-distance-right:336.6pt;mso-wrap-distance-bottom:46.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код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692785" distB="591820" distL="1793875" distR="4046220" simplePos="0" relativeHeight="125829410" behindDoc="0" locked="0" layoutInCell="1" allowOverlap="1">
                <wp:simplePos x="0" y="0"/>
                <wp:positionH relativeFrom="page">
                  <wp:posOffset>2376805</wp:posOffset>
                </wp:positionH>
                <wp:positionV relativeFrom="paragraph">
                  <wp:posOffset>701675</wp:posOffset>
                </wp:positionV>
                <wp:extent cx="140335" cy="149225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на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3" o:spid="_x0000_s1042" type="#_x0000_t202" style="position:absolute;margin-left:187.15pt;margin-top:55.25pt;width:11.05pt;height:11.75pt;z-index:125829410;visibility:visible;mso-wrap-style:square;mso-wrap-distance-left:141.25pt;mso-wrap-distance-top:54.55pt;mso-wrap-distance-right:318.6pt;mso-wrap-distance-bottom:46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на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689610" distB="445135" distL="2016125" distR="1040765" simplePos="0" relativeHeight="125829412" behindDoc="0" locked="0" layoutInCell="1" allowOverlap="1">
                <wp:simplePos x="0" y="0"/>
                <wp:positionH relativeFrom="page">
                  <wp:posOffset>2599690</wp:posOffset>
                </wp:positionH>
                <wp:positionV relativeFrom="paragraph">
                  <wp:posOffset>698500</wp:posOffset>
                </wp:positionV>
                <wp:extent cx="2922905" cy="298450"/>
                <wp:effectExtent l="0" t="0" r="0" b="0"/>
                <wp:wrapTopAndBottom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2905" cy="298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t xml:space="preserve">Код, използван за </w:t>
                            </w:r>
                            <w:r>
                              <w:t>идентифициране на лицето, което се осво</w:t>
                            </w:r>
                            <w:r>
                              <w:softHyphen/>
                              <w:t>бождава от финансовия инструмент.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5" o:spid="_x0000_s1043" type="#_x0000_t202" style="position:absolute;margin-left:204.7pt;margin-top:55pt;width:230.15pt;height:23.5pt;z-index:125829412;visibility:visible;mso-wrap-style:square;mso-wrap-distance-left:158.75pt;mso-wrap-distance-top:54.3pt;mso-wrap-distance-right:81.95pt;mso-wrap-distance-bottom:35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/>
                      </w:pPr>
                      <w:r>
                        <w:t xml:space="preserve">Код, използван за </w:t>
                      </w:r>
                      <w:r>
                        <w:t>идентифициране на лицето, което се осво</w:t>
                      </w:r>
                      <w:r>
                        <w:softHyphen/>
                        <w:t>бождава от финансовия инструмент.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1009650" distB="0" distL="2016125" distR="1040765" simplePos="0" relativeHeight="125829414" behindDoc="0" locked="0" layoutInCell="1" allowOverlap="1">
                <wp:simplePos x="0" y="0"/>
                <wp:positionH relativeFrom="page">
                  <wp:posOffset>2599690</wp:posOffset>
                </wp:positionH>
                <wp:positionV relativeFrom="paragraph">
                  <wp:posOffset>1018540</wp:posOffset>
                </wp:positionV>
                <wp:extent cx="2922905" cy="433070"/>
                <wp:effectExtent l="0" t="0" r="0" b="0"/>
                <wp:wrapTopAndBottom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2905" cy="4330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t>Когато лицето, което се освобождава от финансовия инстру</w:t>
                            </w:r>
                            <w:r>
                              <w:softHyphen/>
                              <w:t xml:space="preserve">мент, е юридическо лице, се използва кодът </w:t>
                            </w:r>
                            <w:r>
                              <w:rPr>
                                <w:lang w:val="en-US" w:eastAsia="en-US" w:bidi="en-US"/>
                              </w:rPr>
                              <w:t xml:space="preserve">LEI </w:t>
                            </w:r>
                            <w:r>
                              <w:t>на лицето, което се освобождава от финансовия инструмент.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7" o:spid="_x0000_s1044" type="#_x0000_t202" style="position:absolute;margin-left:204.7pt;margin-top:80.2pt;width:230.15pt;height:34.1pt;z-index:125829414;visibility:visible;mso-wrap-style:square;mso-wrap-distance-left:158.75pt;mso-wrap-distance-top:79.5pt;mso-wrap-distance-right:81.9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/>
                      </w:pPr>
                      <w:r>
                        <w:t>Когато лицето, което се освобождава от финансовия инстру</w:t>
                      </w:r>
                      <w:r>
                        <w:softHyphen/>
                        <w:t xml:space="preserve">мент, е юридическо лице, се използва кодът </w:t>
                      </w:r>
                      <w:r>
                        <w:rPr>
                          <w:lang w:val="en-US" w:eastAsia="en-US" w:bidi="en-US"/>
                        </w:rPr>
                        <w:t xml:space="preserve">LEI </w:t>
                      </w:r>
                      <w:r>
                        <w:t>на лицето, което се освобождава от финансовия инструмент.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689610" distB="21590" distL="5021580" distR="114300" simplePos="0" relativeHeight="125829416" behindDoc="0" locked="0" layoutInCell="1" allowOverlap="1">
                <wp:simplePos x="0" y="0"/>
                <wp:positionH relativeFrom="page">
                  <wp:posOffset>5605145</wp:posOffset>
                </wp:positionH>
                <wp:positionV relativeFrom="paragraph">
                  <wp:posOffset>698500</wp:posOffset>
                </wp:positionV>
                <wp:extent cx="844550" cy="722630"/>
                <wp:effectExtent l="0" t="0" r="0" b="0"/>
                <wp:wrapTopAndBottom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722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{LEI}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{MIC}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{NATIONAL_ID}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6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„INTC“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39" o:spid="_x0000_s1045" type="#_x0000_t202" style="position:absolute;margin-left:441.35pt;margin-top:55pt;width:66.5pt;height:56.9pt;z-index:125829416;visibility:visible;mso-wrap-style:square;mso-wrap-distance-left:395.4pt;mso-wrap-distance-top:54.3pt;mso-wrap-distance-right:9pt;mso-wrap-distance-bottom:1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" filled="f" stroked="f">
                <v:textbox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{LEI}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{MIC}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{NATIONAL_ID}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6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„INTC“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Когато лицето, което се освобождава от финансовия инстру</w:t>
      </w:r>
      <w:r>
        <w:softHyphen/>
        <w:t>мент, не е юридическо лице, се използва идентификацион</w:t>
      </w:r>
      <w:r>
        <w:softHyphen/>
        <w:t>ният код, посочен в член 6.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 xml:space="preserve">Когато сделката е изпълнена на място на търговия или на платформа за организирана търговия, </w:t>
      </w:r>
      <w:r>
        <w:t>което/която се намира извън Съюза и използва ЦК, и когато самоличността на ли</w:t>
      </w:r>
      <w:r>
        <w:softHyphen/>
        <w:t xml:space="preserve">цето, което се освобождава от финансовия инструмент, не е разкрита, се използва кодът </w:t>
      </w:r>
      <w:r>
        <w:rPr>
          <w:lang w:val="en-US" w:eastAsia="en-US" w:bidi="en-US"/>
        </w:rPr>
        <w:t xml:space="preserve">LEI </w:t>
      </w:r>
      <w:r>
        <w:t>на ЦК.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Когато сделката е изпълнена на място на търговия или плат</w:t>
      </w:r>
      <w:r>
        <w:softHyphen/>
        <w:t>форма за организирана т</w:t>
      </w:r>
      <w:r>
        <w:t>ърговия, което/която се намира из</w:t>
      </w:r>
      <w:r>
        <w:softHyphen/>
        <w:t>вън Съюза и не използва ЦК, и когато самоличността на ли</w:t>
      </w:r>
      <w:r>
        <w:softHyphen/>
        <w:t xml:space="preserve">цето, което се освобождава от финансовия инструмент, не е разкрита, се използва кодът </w:t>
      </w:r>
      <w:r>
        <w:rPr>
          <w:lang w:val="en-US" w:eastAsia="en-US" w:bidi="en-US"/>
        </w:rPr>
        <w:t xml:space="preserve">MIC </w:t>
      </w:r>
      <w:r>
        <w:t>на мястото на търговия или платформата за организирана търговия, което/коят</w:t>
      </w:r>
      <w:r>
        <w:t>о се намира извън Съюза.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Когато лицето, което се освобождава от финансовия инстру</w:t>
      </w:r>
      <w:r>
        <w:softHyphen/>
        <w:t xml:space="preserve">мент, е инвестиционен посредник, който действа като СУ, се използва кодът </w:t>
      </w:r>
      <w:r>
        <w:rPr>
          <w:lang w:val="en-US" w:eastAsia="en-US" w:bidi="en-US"/>
        </w:rPr>
        <w:t xml:space="preserve">LEI </w:t>
      </w:r>
      <w:r>
        <w:t>на СУ.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rPr>
          <w:lang w:val="en-US" w:eastAsia="en-US" w:bidi="en-US"/>
        </w:rPr>
        <w:t xml:space="preserve">„INTC“ </w:t>
      </w:r>
      <w:r>
        <w:t>се използва за обозначаване на агрегираната сметка на клиента при инвестиционния п</w:t>
      </w:r>
      <w:r>
        <w:t>осредник, за да се до</w:t>
      </w:r>
      <w:r>
        <w:softHyphen/>
        <w:t>кладва прехвърляне към или от тази сметка със свързано разпределение за отделния(те) клиент(и) съответно от или към въпросната сметка.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опции и суапции купувачът е контрагентът, който притежава правото да упражни опцията, а</w:t>
      </w:r>
      <w:r>
        <w:t xml:space="preserve"> продавачът е контрагентът, който продава опцията и получава премия.</w:t>
      </w:r>
    </w:p>
    <w:p w:rsidR="003A7884" w:rsidRDefault="00AE1A93">
      <w:pPr>
        <w:pStyle w:val="BodyText"/>
        <w:shd w:val="clear" w:color="auto" w:fill="auto"/>
        <w:spacing w:after="80"/>
        <w:ind w:left="3300" w:right="2420"/>
      </w:pPr>
      <w:r>
        <w:t>В случай на фючърси и форуърди, различни от фючърси и форуърди, свързани с валути, купувачът е контрагентът, който купува инструмента, а продавачът е контрагентът, който продава инструмен</w:t>
      </w:r>
      <w:r>
        <w:t>та.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8966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суапове, свързани с ценни книжа, купувачът е контрагентът, който носи риска от промяна на цената на ба</w:t>
            </w:r>
            <w:r>
              <w:softHyphen/>
              <w:t xml:space="preserve">зовата ценна книга и получава сумата на </w:t>
            </w:r>
            <w:r>
              <w:t>ценната книга. Продавачът е контрагентът, който плаща сумата на ценната книга.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суапове, свързани с лихвени проценти или ин</w:t>
            </w:r>
            <w:r>
              <w:softHyphen/>
              <w:t>флационни индекси, купувачът е контрагентът, който плаща фиксираната ставка. Продавачът е контрагентът, който полу</w:t>
            </w:r>
            <w:r>
              <w:softHyphen/>
              <w:t>чава ф</w:t>
            </w:r>
            <w:r>
              <w:t>иксираната ставка. В случай на базови суапове (лих</w:t>
            </w:r>
            <w:r>
              <w:softHyphen/>
              <w:t>вени суапове за размяна на плаващи лихвени проценти), ку</w:t>
            </w:r>
            <w:r>
              <w:softHyphen/>
              <w:t>пувачът е контрагентът, който плаща спреда, а продавачът е контрагентът, който получава спреда.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суапове и форуърди, свързани с валути, и</w:t>
            </w:r>
            <w:r>
              <w:t xml:space="preserve"> на кръстосани валутни суапове, купувачът е контрагентът, по</w:t>
            </w:r>
            <w:r>
              <w:softHyphen/>
              <w:t xml:space="preserve">лучаващ валутата, която се явява първа при подреждане по азбучен ред съгласно стандарт </w:t>
            </w:r>
            <w:r>
              <w:rPr>
                <w:lang w:val="en-US" w:eastAsia="en-US" w:bidi="en-US"/>
              </w:rPr>
              <w:t xml:space="preserve">ISO </w:t>
            </w:r>
            <w:r>
              <w:t>4217, а продавачът е контрагентът, който предоставя тази валута.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В случай на суап, свързан с дивиденти, </w:t>
            </w:r>
            <w:r>
              <w:t>купувачът е контра</w:t>
            </w:r>
            <w:r>
              <w:softHyphen/>
              <w:t>гентът, който получава равностойността на действителните плащания на дивиденти. Продавачът е контрагентът, който плаща дивидента и получава фиксираната ставка.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дериватни инструменти за прехвърляне на кре</w:t>
            </w:r>
            <w:r>
              <w:softHyphen/>
              <w:t>дитен риск, с изключе</w:t>
            </w:r>
            <w:r>
              <w:t>ние на опции и суапции, купувачът е контрагентът, който купува защитата. Продавачът е контра</w:t>
            </w:r>
            <w:r>
              <w:softHyphen/>
              <w:t>гентът, който продава защитата.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договор за деривати, свързан със стоки, купува</w:t>
            </w:r>
            <w:r>
              <w:softHyphen/>
              <w:t>чът е контрагентът, който получава стоката, посочена в от</w:t>
            </w:r>
            <w:r>
              <w:softHyphen/>
              <w:t>чета, а продав</w:t>
            </w:r>
            <w:r>
              <w:t>ачът е контрагентът, който предоставя тази стока.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споразумения за лихвен форуърд, купувачът е контрагентът, който плаща фиксираната ставка, а продавачът е контрагентът, който получава фиксираната ставка.</w:t>
            </w:r>
          </w:p>
          <w:p w:rsidR="003A7884" w:rsidRDefault="00AE1A93">
            <w:pPr>
              <w:pStyle w:val="Other0"/>
              <w:shd w:val="clear" w:color="auto" w:fill="auto"/>
              <w:spacing w:after="80" w:line="257" w:lineRule="auto"/>
            </w:pPr>
            <w:r>
              <w:t xml:space="preserve">При увеличение на номиналната стойност </w:t>
            </w:r>
            <w:r>
              <w:t>продавачът е идентичен на лицето, което се освобождава от финансовия инструмент в рамките на първоначалната сделка.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При намаление на номиналната стойност продавачът е иден</w:t>
            </w:r>
            <w:r>
              <w:softHyphen/>
              <w:t>тичен на придобиващия финансовия инструмент в рамките на първоначалната сделка.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17</w:t>
            </w:r>
            <w:r>
              <w:t>—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7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83" w:lineRule="auto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Полета 17—24 отразяват всички полета, свързани с купувача, с номера 8—15 (данни взема решение), но за продавача.</w:t>
            </w: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за купувача и лицето, което</w:t>
            </w:r>
          </w:p>
        </w:tc>
      </w:tr>
    </w:tbl>
    <w:p w:rsidR="003A7884" w:rsidRDefault="00AE1A93">
      <w:pPr>
        <w:pStyle w:val="Tablecaption0"/>
        <w:shd w:val="clear" w:color="auto" w:fill="auto"/>
        <w:spacing w:line="269" w:lineRule="auto"/>
        <w:ind w:left="91"/>
        <w:jc w:val="left"/>
        <w:rPr>
          <w:sz w:val="16"/>
          <w:szCs w:val="16"/>
        </w:rPr>
      </w:pPr>
      <w:r>
        <w:rPr>
          <w:b/>
          <w:bCs/>
          <w:sz w:val="16"/>
          <w:szCs w:val="16"/>
        </w:rPr>
        <w:t>Данни за предаването</w:t>
      </w:r>
    </w:p>
    <w:p w:rsidR="003A7884" w:rsidRDefault="003A7884">
      <w:pPr>
        <w:spacing w:after="66" w:line="14" w:lineRule="exact"/>
      </w:pPr>
    </w:p>
    <w:p w:rsidR="003A7884" w:rsidRDefault="00AE1A93">
      <w:pPr>
        <w:pStyle w:val="BodyText"/>
        <w:shd w:val="clear" w:color="auto" w:fill="auto"/>
        <w:spacing w:after="80" w:line="254" w:lineRule="auto"/>
        <w:ind w:left="380" w:hanging="380"/>
        <w:jc w:val="left"/>
      </w:pPr>
      <w:r>
        <w:t>— Полета 26 и 27 се попълват само за отчети за сделки от получаващ посредник, когато са</w:t>
      </w:r>
      <w:r>
        <w:t xml:space="preserve"> били изпълнени всички условия за пре</w:t>
      </w:r>
      <w:r>
        <w:softHyphen/>
        <w:t>даването съгласно член 4.</w:t>
      </w:r>
    </w:p>
    <w:p w:rsidR="003A7884" w:rsidRDefault="00AE1A93">
      <w:pPr>
        <w:pStyle w:val="BodyText"/>
        <w:shd w:val="clear" w:color="auto" w:fill="auto"/>
        <w:spacing w:after="0"/>
        <w:ind w:left="380" w:hanging="380"/>
        <w:jc w:val="left"/>
      </w:pPr>
      <w:r>
        <w:t xml:space="preserve">— Когато посредникът действа както като получаващ посредник, така и като предаващ посредник, той попълва поле 25, за да укаже, че е предаващ посредник, и попълва полета 26 и 27 от своя гледна </w:t>
      </w:r>
      <w:r>
        <w:t>точка в качеството си на получаващ посредник.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center"/>
            </w:pPr>
            <w:r>
              <w:t>25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/>
            </w:pPr>
            <w:r>
              <w:t>Показател за предаване на на</w:t>
            </w:r>
            <w:r>
              <w:softHyphen/>
              <w:t>реждане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„true“ </w:t>
            </w:r>
            <w:r>
              <w:t>се попълва от предаващия посредник в отчета на пре</w:t>
            </w:r>
            <w:r>
              <w:softHyphen/>
              <w:t>даващия посредник, когато не са изпълнени условията за предаване, посочени в член 4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rPr>
                <w:lang w:val="en-US" w:eastAsia="en-US" w:bidi="en-US"/>
              </w:rPr>
              <w:t xml:space="preserve">„false“ </w:t>
            </w:r>
            <w:r>
              <w:t>— във всички останал</w:t>
            </w:r>
            <w:r>
              <w:t>и случаи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60" w:line="240" w:lineRule="auto"/>
              <w:jc w:val="left"/>
            </w:pPr>
            <w:r>
              <w:rPr>
                <w:lang w:val="en-US" w:eastAsia="en-US" w:bidi="en-US"/>
              </w:rPr>
              <w:t>„true“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„false“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center"/>
            </w:pPr>
            <w:r>
              <w:t>26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/>
            </w:pPr>
            <w:r>
              <w:t>Идентификационен код на предаващия посредник за ку</w:t>
            </w:r>
            <w:r>
              <w:softHyphen/>
              <w:t>пувача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Код, използван за идентифициране на посредника, който предава нареждането.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Получаващият посредник попълва в това поле от отчета на получаващ посредник идентификационния </w:t>
            </w:r>
            <w:r>
              <w:t>код, предоставен от предаващия посредник.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rPr>
                <w:lang w:val="en-US" w:eastAsia="en-US" w:bidi="en-US"/>
              </w:rPr>
              <w:t>{LEI}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507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t>27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/>
            </w:pPr>
            <w:r>
              <w:t>Идентификационен код на предаващия посредник за продавача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Код, използван за идентифициране на посредника, </w:t>
            </w:r>
            <w:r>
              <w:t>който предава нареждането.</w:t>
            </w:r>
          </w:p>
          <w:p w:rsidR="003A7884" w:rsidRDefault="00AE1A93">
            <w:pPr>
              <w:pStyle w:val="Other0"/>
              <w:shd w:val="clear" w:color="auto" w:fill="auto"/>
              <w:spacing w:after="0" w:line="257" w:lineRule="auto"/>
            </w:pPr>
            <w:r>
              <w:t>Получаващият посредник попълва в това поле от отчета на получаващ посредник идентификационния код, предоставен от предаващия посредник.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rPr>
                <w:lang w:val="en-US" w:eastAsia="en-US" w:bidi="en-US"/>
              </w:rPr>
              <w:t>{LEI}</w:t>
            </w:r>
          </w:p>
        </w:tc>
      </w:tr>
    </w:tbl>
    <w:p w:rsidR="003A7884" w:rsidRDefault="00AE1A93">
      <w:pPr>
        <w:pStyle w:val="Tablecaption0"/>
        <w:shd w:val="clear" w:color="auto" w:fill="auto"/>
        <w:spacing w:line="240" w:lineRule="auto"/>
        <w:ind w:left="91"/>
        <w:jc w:val="left"/>
        <w:rPr>
          <w:sz w:val="16"/>
          <w:szCs w:val="16"/>
        </w:rPr>
      </w:pPr>
      <w:r>
        <w:rPr>
          <w:b/>
          <w:bCs/>
          <w:sz w:val="16"/>
          <w:szCs w:val="16"/>
        </w:rPr>
        <w:t>Данни за сделката</w:t>
      </w:r>
    </w:p>
    <w:p w:rsidR="003A7884" w:rsidRDefault="003A7884">
      <w:pPr>
        <w:spacing w:line="14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  <w:jc w:val="center"/>
            </w:pPr>
            <w:r>
              <w:t>28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20" w:after="0" w:line="240" w:lineRule="auto"/>
            </w:pPr>
            <w:r>
              <w:t>Дата и време на търгуване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Дата и време на изпълнение на </w:t>
            </w:r>
            <w:r>
              <w:t>сделката.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сделки, изпълнени на място на търгуване, нивото на де</w:t>
            </w:r>
            <w:r>
              <w:softHyphen/>
              <w:t>тайлност се определя в съответствие с изискванията, посо</w:t>
            </w:r>
            <w:r>
              <w:softHyphen/>
              <w:t>чени в член 3 от Делегиран регламент (ЕС) 2017/574 на Ко</w:t>
            </w:r>
            <w:r>
              <w:softHyphen/>
              <w:t>мисията (</w:t>
            </w:r>
            <w:r>
              <w:rPr>
                <w:vertAlign w:val="superscript"/>
              </w:rPr>
              <w:t>2</w:t>
            </w:r>
            <w:r>
              <w:t>).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сделки, които не са изпълнени на място на търговия, да</w:t>
            </w:r>
            <w:r>
              <w:softHyphen/>
              <w:t>тата</w:t>
            </w:r>
            <w:r>
              <w:t xml:space="preserve"> и времето са датата и времето, когато контрагентите са договорили съдържанието на следните полета: количество, цена, валути в полета 31, 34 и 44, идентификационен код на инструмента, класификация на инструмента и код на ба</w:t>
            </w:r>
            <w:r>
              <w:softHyphen/>
              <w:t>зовия инструмент, ако е приложим</w:t>
            </w:r>
            <w:r>
              <w:t>о. За сделки, които не са изпълнени на място на търговия, докладваното време трябва да бъде поне до най-близката секунда.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Когато сделката е резултат от нареждане, предадено на трета страна от изпълняващия посредник от името на клиент, ко- гато не са изпълн</w:t>
            </w:r>
            <w:r>
              <w:t>ени условията за предаване, посочени в член 4, това са датата и времето на сделката, а не времето на предаване на нареждането.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</w:pPr>
            <w:r>
              <w:rPr>
                <w:lang w:val="en-US" w:eastAsia="en-US" w:bidi="en-US"/>
              </w:rPr>
              <w:t>{DATE_TIME_FORMAT}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861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  <w:jc w:val="center"/>
            </w:pPr>
            <w:r>
              <w:t>29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20" w:after="0" w:line="240" w:lineRule="auto"/>
            </w:pPr>
            <w:r>
              <w:t>Търгуване в качеството на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 xml:space="preserve">Посочва се дали сделката е резултат от извършването от страна на изпълняващия </w:t>
            </w:r>
            <w:r>
              <w:t>посредник на търговия за собствена сметка, опосредена чрез насрещни сделки, съгласно член 4, параграф 1, точка 38 от Директива 2014/65/ЕС, или търго</w:t>
            </w:r>
            <w:r>
              <w:softHyphen/>
              <w:t>вия за собствена сметка съгласно член 4, параграф 1, точка 6 от Директива 2014/65/ЕС.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Когато сделката не е </w:t>
            </w:r>
            <w:r>
              <w:t>резултат от извършването от страна на изпълняващия посредник на търговия за собствена сметка, опосредена чрез насрещни сделки, или търговия за соб</w:t>
            </w:r>
            <w:r>
              <w:softHyphen/>
              <w:t>ствена сметка, в полето се посочва, че сделката е изпълнена в друго качество.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20" w:after="80"/>
            </w:pPr>
            <w:r>
              <w:rPr>
                <w:lang w:val="en-US" w:eastAsia="en-US" w:bidi="en-US"/>
              </w:rPr>
              <w:t xml:space="preserve">„DEAL“ </w:t>
            </w:r>
            <w:r>
              <w:t>— търговия за соб</w:t>
            </w:r>
            <w:r>
              <w:softHyphen/>
              <w:t>ствена</w:t>
            </w:r>
            <w:r>
              <w:t xml:space="preserve"> сметка</w:t>
            </w:r>
          </w:p>
          <w:p w:rsidR="003A7884" w:rsidRDefault="00AE1A93">
            <w:pPr>
              <w:pStyle w:val="Other0"/>
              <w:shd w:val="clear" w:color="auto" w:fill="auto"/>
              <w:spacing w:after="80" w:line="257" w:lineRule="auto"/>
            </w:pPr>
            <w:r>
              <w:rPr>
                <w:lang w:val="en-US" w:eastAsia="en-US" w:bidi="en-US"/>
              </w:rPr>
              <w:t xml:space="preserve">„MTCH“ </w:t>
            </w:r>
            <w:r>
              <w:t>— търговия за соб</w:t>
            </w:r>
            <w:r>
              <w:softHyphen/>
              <w:t>ствена сметка, опосредена чрез насрещни сделки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„AOTC“ </w:t>
            </w:r>
            <w:r>
              <w:t>— друго качество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056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  <w:jc w:val="center"/>
            </w:pPr>
            <w:r>
              <w:t>30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20" w:after="0" w:line="240" w:lineRule="auto"/>
            </w:pPr>
            <w:r>
              <w:t>Количество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Броят на единиците от финансовия инструмент или броят на договорите за деривати в рамките на сделката.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Номиналната или паричната стойност</w:t>
            </w:r>
            <w:r>
              <w:t xml:space="preserve"> на финансовия ин</w:t>
            </w:r>
            <w:r>
              <w:softHyphen/>
              <w:t>струмент.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При финансови залагания въз основа на спред, количеството е заложената парична стойност на пункт промяна в базовия финансов инструмент.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При суапове за кредитно неизпълнение, количеството е но</w:t>
            </w:r>
            <w:r>
              <w:softHyphen/>
              <w:t xml:space="preserve">миналната стойност на придобиването </w:t>
            </w:r>
            <w:r>
              <w:t>на или освобождава</w:t>
            </w:r>
            <w:r>
              <w:softHyphen/>
              <w:t>нето от защита.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При увеличение или намаление на номиналната стойност на договори за деривати, броят отразява абсолютната стойност на промяната и се изразява като положително число.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Информацията, която се докладва в това поле, трябва да о</w:t>
            </w:r>
            <w:r>
              <w:t>т</w:t>
            </w:r>
            <w:r>
              <w:softHyphen/>
              <w:t>говаря на стойностите, посочени в полета 33 и 46.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60"/>
            </w:pPr>
            <w:r>
              <w:rPr>
                <w:lang w:val="en-US" w:eastAsia="en-US" w:bidi="en-US"/>
              </w:rPr>
              <w:t xml:space="preserve">{DECIMAL-18/17} </w:t>
            </w:r>
            <w:r>
              <w:t>— ако количеството е изразено като брой единици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rPr>
                <w:lang w:val="en-US" w:eastAsia="en-US" w:bidi="en-US"/>
              </w:rPr>
              <w:t xml:space="preserve">{DECIMAL-18/5} </w:t>
            </w:r>
            <w:r>
              <w:t>— ако ко</w:t>
            </w:r>
            <w:r>
              <w:softHyphen/>
              <w:t>личеството е изразено като парична или номинална стойност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ФОРМАТ И </w:t>
            </w:r>
            <w:r>
              <w:rPr>
                <w:rFonts w:ascii="Arial" w:eastAsia="Arial" w:hAnsi="Arial" w:cs="Arial"/>
                <w:sz w:val="13"/>
                <w:szCs w:val="13"/>
              </w:rPr>
              <w:t>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t>31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</w:pPr>
            <w:r>
              <w:t>Валута на количеството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Валута, в която е изразено количеството.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Приложимо е само ако количеството е изразено като номи</w:t>
            </w:r>
            <w:r>
              <w:softHyphen/>
              <w:t>нална или парична стойност.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rPr>
                <w:lang w:val="en-US" w:eastAsia="en-US" w:bidi="en-US"/>
              </w:rPr>
              <w:t>{CURRENCYCODE_3}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  <w:jc w:val="center"/>
            </w:pPr>
            <w:r>
              <w:t>32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Увеличение/намаление на но</w:t>
            </w:r>
            <w:r>
              <w:softHyphen/>
              <w:t xml:space="preserve">миналната </w:t>
            </w:r>
            <w:r>
              <w:t>стойност на дери</w:t>
            </w:r>
            <w:r>
              <w:softHyphen/>
              <w:t>ват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Посочва се дали сделката представлява увеличение, или на</w:t>
            </w:r>
            <w:r>
              <w:softHyphen/>
              <w:t>маление на номиналната стойност на договор за деривати.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Това поле е приложимо само когато има промяна в номи</w:t>
            </w:r>
            <w:r>
              <w:softHyphen/>
              <w:t>налната стойност на договор за деривати.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„INCR“ </w:t>
            </w:r>
            <w:r>
              <w:t xml:space="preserve">— увеличение </w:t>
            </w:r>
            <w:r>
              <w:rPr>
                <w:lang w:val="en-US" w:eastAsia="en-US" w:bidi="en-US"/>
              </w:rPr>
              <w:t xml:space="preserve">„DECR“ </w:t>
            </w:r>
            <w:r>
              <w:t>—</w:t>
            </w:r>
            <w:r>
              <w:t xml:space="preserve"> намаление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205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  <w:jc w:val="center"/>
            </w:pPr>
            <w:r>
              <w:t>33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20" w:after="0" w:line="240" w:lineRule="auto"/>
            </w:pPr>
            <w:r>
              <w:t>Цена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Цената, на която е сключена сделката, с изключение, ако е приложимо, на комисионата и начислената лихва.</w:t>
            </w:r>
          </w:p>
          <w:p w:rsidR="003A7884" w:rsidRDefault="00AE1A93">
            <w:pPr>
              <w:pStyle w:val="Other0"/>
              <w:shd w:val="clear" w:color="auto" w:fill="auto"/>
              <w:spacing w:after="80" w:line="254" w:lineRule="auto"/>
            </w:pPr>
            <w:r>
              <w:t>В случай на договори за опции, това е премията на договора за деривати на базов инструмент или индексен пункт.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В случай на </w:t>
            </w:r>
            <w:r>
              <w:t>финансови залагания на основата на спред, това е референтната цена на базовия инструмент.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суапове за кредитно неизпълнение (СКН), това е купонът в базисни пунктове.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Когато цената се докладва в парично изражение, тя се по</w:t>
            </w:r>
            <w:r>
              <w:softHyphen/>
              <w:t>сочва в основната валут</w:t>
            </w:r>
            <w:r>
              <w:t>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Когато цената не е налична към дадения момент, но пред</w:t>
            </w:r>
            <w:r>
              <w:softHyphen/>
              <w:t xml:space="preserve">стои да бъде определена, стойността е </w:t>
            </w:r>
            <w:r>
              <w:rPr>
                <w:lang w:val="en-US" w:eastAsia="en-US" w:bidi="en-US"/>
              </w:rPr>
              <w:t>„PNDG“.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Когато цената не е приложима, стойността е </w:t>
            </w:r>
            <w:r>
              <w:rPr>
                <w:lang w:val="en-US" w:eastAsia="en-US" w:bidi="en-US"/>
              </w:rPr>
              <w:t>„NOAP“.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Информацията, която се докладва в това поле, трябва да от</w:t>
            </w:r>
            <w:r>
              <w:softHyphen/>
              <w:t>говаря на стойностите, посочени в полета 30</w:t>
            </w:r>
            <w:r>
              <w:t xml:space="preserve"> и 46.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60"/>
            </w:pPr>
            <w:r>
              <w:rPr>
                <w:lang w:val="en-US" w:eastAsia="en-US" w:bidi="en-US"/>
              </w:rPr>
              <w:t xml:space="preserve">{DECIMAL-18/13} </w:t>
            </w:r>
            <w:r>
              <w:t>— в слу</w:t>
            </w:r>
            <w:r>
              <w:softHyphen/>
              <w:t>чай че цената е изразена като парична стойност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{DECIMAL-11/10} </w:t>
            </w:r>
            <w:r>
              <w:t>— в слу</w:t>
            </w:r>
            <w:r>
              <w:softHyphen/>
              <w:t>чай че цената е изразена като процент или доходност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{DECIMAL-18/17} </w:t>
            </w:r>
            <w:r>
              <w:t>— в слу</w:t>
            </w:r>
            <w:r>
              <w:softHyphen/>
              <w:t>чай че цената е изразена в базисни пунктове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„PNDG“— </w:t>
            </w:r>
            <w:r>
              <w:t>в случай че цената не е на</w:t>
            </w:r>
            <w:r>
              <w:t>лична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„NOAP“ </w:t>
            </w:r>
            <w:r>
              <w:t>— в случай че це</w:t>
            </w:r>
            <w:r>
              <w:softHyphen/>
              <w:t>ната не е приложима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Валута на цената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Валутата, в която е изразена цената (приложимо, ако цената е изразена като парична стойност).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{CURRENCYCODE_3}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42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  <w:jc w:val="center"/>
            </w:pPr>
            <w:r>
              <w:t>35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</w:pPr>
            <w:r>
              <w:t>Нетна сума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Нетната сума на сделката означава паричната сума, която се </w:t>
            </w:r>
            <w:r>
              <w:t>плаща от купувача на дълговия инструмент при сетълмента на сделката. Тази парична сума е равна на: (чистата цена * номиналната стойност) + всички начислени купони. В ре</w:t>
            </w:r>
            <w:r>
              <w:softHyphen/>
              <w:t>зултат на това в нетната сума на сделката не се включват никакви комисиони или други та</w:t>
            </w:r>
            <w:r>
              <w:t>кси, които се начисляват на купувача на дълговия инструмент.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Това поле е приложимо само когато финансовият инстру</w:t>
            </w:r>
            <w:r>
              <w:softHyphen/>
              <w:t>мент е дългов.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</w:pPr>
            <w:r>
              <w:rPr>
                <w:lang w:val="en-US" w:eastAsia="en-US" w:bidi="en-US"/>
              </w:rPr>
              <w:t>{DECIMAL-18/5}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68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  <w:jc w:val="center"/>
            </w:pPr>
            <w:r>
              <w:t>36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20" w:after="0" w:line="240" w:lineRule="auto"/>
            </w:pPr>
            <w:r>
              <w:t>Място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/>
              <w:jc w:val="center"/>
            </w:pPr>
            <w:r>
              <w:t>Идентификация на мястото, на което е изпълнена сделката.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За сделки, които са изпълнени на място на </w:t>
            </w:r>
            <w:r>
              <w:t>търговия, чрез систематичен участник (СУ) или на платформа за организи</w:t>
            </w:r>
            <w:r>
              <w:softHyphen/>
              <w:t xml:space="preserve">рана търговия, което/който/която се намира извън Съюза, се използва кодът </w:t>
            </w:r>
            <w:r>
              <w:rPr>
                <w:lang w:val="en-US" w:eastAsia="en-US" w:bidi="en-US"/>
              </w:rPr>
              <w:t xml:space="preserve">MIC </w:t>
            </w:r>
            <w:r>
              <w:t xml:space="preserve">по </w:t>
            </w:r>
            <w:r>
              <w:rPr>
                <w:lang w:val="en-US" w:eastAsia="en-US" w:bidi="en-US"/>
              </w:rPr>
              <w:t xml:space="preserve">ISO </w:t>
            </w:r>
            <w:r>
              <w:t xml:space="preserve">10383 за съответния пазарен сегмент. Когато за съответния сегмент не съществува </w:t>
            </w:r>
            <w:r>
              <w:rPr>
                <w:lang w:val="en-US" w:eastAsia="en-US" w:bidi="en-US"/>
              </w:rPr>
              <w:t xml:space="preserve">MIC, </w:t>
            </w:r>
            <w:r>
              <w:t>се използва опе</w:t>
            </w:r>
            <w:r>
              <w:t xml:space="preserve">ративният </w:t>
            </w:r>
            <w:r>
              <w:rPr>
                <w:lang w:val="en-US" w:eastAsia="en-US" w:bidi="en-US"/>
              </w:rPr>
              <w:t>MIC.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финансови инструменти, които са допуснати до търговия или търгувани на място на търговия или за които е отпра</w:t>
            </w:r>
            <w:r>
              <w:softHyphen/>
              <w:t>вено искане за допускане, когато сделката с този финансов инструмент не е изпълнена на място на търговия, чрез СУ или на платфор</w:t>
            </w:r>
            <w:r>
              <w:t>ма за организирана търговия, които се нами</w:t>
            </w:r>
            <w:r>
              <w:softHyphen/>
              <w:t xml:space="preserve">рат извън Съюза, или когато инвестиционният посредник не знае, че търгува с друг инвестиционен посредник, действащ като СУ, се използва </w:t>
            </w:r>
            <w:r>
              <w:rPr>
                <w:lang w:val="en-US" w:eastAsia="en-US" w:bidi="en-US"/>
              </w:rPr>
              <w:t xml:space="preserve">MIC </w:t>
            </w:r>
            <w:r>
              <w:t xml:space="preserve">код </w:t>
            </w:r>
            <w:r>
              <w:rPr>
                <w:lang w:val="en-US" w:eastAsia="en-US" w:bidi="en-US"/>
              </w:rPr>
              <w:t>„XOFF“.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</w:pPr>
            <w:r>
              <w:rPr>
                <w:lang w:val="en-US" w:eastAsia="en-US" w:bidi="en-US"/>
              </w:rPr>
              <w:t>{MIC}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ФОРМАТ И </w:t>
            </w:r>
            <w:r>
              <w:rPr>
                <w:rFonts w:ascii="Arial" w:eastAsia="Arial" w:hAnsi="Arial" w:cs="Arial"/>
                <w:sz w:val="13"/>
                <w:szCs w:val="13"/>
              </w:rPr>
              <w:t>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74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За финансови инструменти, които не са допуснати до търго</w:t>
            </w:r>
            <w:r>
              <w:softHyphen/>
            </w:r>
            <w:r>
              <w:t>вия или търгувани на място на търговия или за които не е отправено искане за допускане и които не се търгуват на платформа за организирана търговия, която се намира извън Съюза, но при които базовият инструмент е допуснат до търговия или се търгува на мяст</w:t>
            </w:r>
            <w:r>
              <w:t xml:space="preserve">о на търговия, се използва </w:t>
            </w:r>
            <w:r>
              <w:rPr>
                <w:lang w:val="en-US" w:eastAsia="en-US" w:bidi="en-US"/>
              </w:rPr>
              <w:t xml:space="preserve">MIC </w:t>
            </w:r>
            <w:r>
              <w:t xml:space="preserve">код </w:t>
            </w:r>
            <w:r>
              <w:rPr>
                <w:lang w:val="en-US" w:eastAsia="en-US" w:bidi="en-US"/>
              </w:rPr>
              <w:t>„XXXX“.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26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40" w:after="0" w:line="240" w:lineRule="auto"/>
              <w:jc w:val="center"/>
            </w:pPr>
            <w:r>
              <w:t>37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60" w:after="0"/>
            </w:pPr>
            <w:r>
              <w:t>Държава на членството на клона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Код, който се използва за идентифициране на държавата на клон на инвестиционен посредник, когато членството на клона на даден пазар е използвано за изпълнение на сдел</w:t>
            </w:r>
            <w:r>
              <w:softHyphen/>
              <w:t>ката.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Когато не е използвано членството на клона на даден пазар, в това поле се попълва кодът на държавата членка по произ</w:t>
            </w:r>
            <w:r>
              <w:softHyphen/>
              <w:t xml:space="preserve">ход на инвестиционния посредник или кодът на държавата, в която е установено главното управление или седалището на посредника (в случай на </w:t>
            </w:r>
            <w:r>
              <w:t>посредници от трети държави).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Това поле се попълва само за пазарната страна на сделка, из</w:t>
            </w:r>
            <w:r>
              <w:softHyphen/>
              <w:t>пълнена на място за търговия или платформа за организи</w:t>
            </w:r>
            <w:r>
              <w:softHyphen/>
              <w:t>рана търговия, което/която се намира извън Съюза.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40" w:after="0" w:line="240" w:lineRule="auto"/>
              <w:jc w:val="left"/>
            </w:pPr>
            <w:r>
              <w:rPr>
                <w:lang w:val="en-US" w:eastAsia="en-US" w:bidi="en-US"/>
              </w:rPr>
              <w:t>{COUNTRYCODE_2}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709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60" w:after="0" w:line="240" w:lineRule="auto"/>
              <w:jc w:val="center"/>
            </w:pPr>
            <w:r>
              <w:t>38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60" w:after="0" w:line="240" w:lineRule="auto"/>
            </w:pPr>
            <w:r>
              <w:t>Предварително плащане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Паричната стойност </w:t>
            </w:r>
            <w:r>
              <w:t>на всяко предварително плащане, полу</w:t>
            </w:r>
            <w:r>
              <w:softHyphen/>
              <w:t>чено или извършено от продавача.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Когато продавачът получава предварителното плащане, се попълва положителна стойност. Когато продавачът извършва предварителното плащане, се попълва отрицателна стойност.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60" w:after="0" w:line="240" w:lineRule="auto"/>
              <w:jc w:val="left"/>
            </w:pPr>
            <w:r>
              <w:rPr>
                <w:lang w:val="en-US" w:eastAsia="en-US" w:bidi="en-US"/>
              </w:rPr>
              <w:t>{DECIMAL-18/5}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Валута на предварителното плащане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Валута на предварителното плащане.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{CURRENCYCODE_3}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347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40" w:after="0" w:line="240" w:lineRule="auto"/>
              <w:jc w:val="center"/>
            </w:pPr>
            <w:r>
              <w:t>40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60" w:after="0"/>
            </w:pPr>
            <w:r>
              <w:t>Идентификационен код на компонент при комплексна търговия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Вътрешен идентификационен код на докладващия посред</w:t>
            </w:r>
            <w:r>
              <w:softHyphen/>
              <w:t xml:space="preserve">ник, който служи за идентифицирането на всички </w:t>
            </w:r>
            <w:r>
              <w:t>отчети, свързани с едно и също изпълнение на комбинация от фи</w:t>
            </w:r>
            <w:r>
              <w:softHyphen/>
              <w:t>нансови инструменти в съответствие с член 12. На нивото на посредника кодът трябва да е уникален за групата отчети, свързани с изпълнението.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Това поле е приложимо само когато се прилагат </w:t>
            </w:r>
            <w:r>
              <w:t>условията, посочени в член 12.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40" w:after="0" w:line="240" w:lineRule="auto"/>
              <w:jc w:val="left"/>
            </w:pPr>
            <w:r>
              <w:rPr>
                <w:lang w:val="en-US" w:eastAsia="en-US" w:bidi="en-US"/>
              </w:rPr>
              <w:t>{ALPHANUM-35}</w:t>
            </w:r>
          </w:p>
        </w:tc>
      </w:tr>
    </w:tbl>
    <w:p w:rsidR="003A7884" w:rsidRDefault="00AE1A93">
      <w:pPr>
        <w:pStyle w:val="Tablecaption0"/>
        <w:shd w:val="clear" w:color="auto" w:fill="auto"/>
        <w:spacing w:line="240" w:lineRule="auto"/>
        <w:ind w:left="91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7175" distB="146050" distL="114300" distR="5192395" simplePos="0" relativeHeight="125829418" behindDoc="0" locked="0" layoutInCell="1" allowOverlap="1">
                <wp:simplePos x="0" y="0"/>
                <wp:positionH relativeFrom="page">
                  <wp:posOffset>694690</wp:posOffset>
                </wp:positionH>
                <wp:positionV relativeFrom="margin">
                  <wp:posOffset>7546975</wp:posOffset>
                </wp:positionV>
                <wp:extent cx="143510" cy="149225"/>
                <wp:effectExtent l="0" t="0" r="0" b="0"/>
                <wp:wrapTopAndBottom/>
                <wp:docPr id="41" name="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10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41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1" o:spid="_x0000_s1046" type="#_x0000_t202" style="position:absolute;left:0;text-align:left;margin-left:54.7pt;margin-top:594.25pt;width:11.3pt;height:11.75pt;z-index:125829418;visibility:visible;mso-wrap-style:square;mso-wrap-distance-left:9pt;mso-wrap-distance-top:20.25pt;mso-wrap-distance-right:408.85pt;mso-wrap-distance-bottom:11.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" filled="f" stroked="f">
                <v:textbox style="mso-fit-shape-to-text:t"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41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4000" distB="0" distL="476885" distR="4030980" simplePos="0" relativeHeight="125829420" behindDoc="0" locked="0" layoutInCell="1" allowOverlap="1">
                <wp:simplePos x="0" y="0"/>
                <wp:positionH relativeFrom="page">
                  <wp:posOffset>1057275</wp:posOffset>
                </wp:positionH>
                <wp:positionV relativeFrom="margin">
                  <wp:posOffset>7543800</wp:posOffset>
                </wp:positionV>
                <wp:extent cx="941705" cy="298450"/>
                <wp:effectExtent l="0" t="0" r="0" b="0"/>
                <wp:wrapTopAndBottom/>
                <wp:docPr id="43" name="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705" cy="298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Идентификационен</w:t>
                            </w:r>
                          </w:p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инструмента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3" o:spid="_x0000_s1047" type="#_x0000_t202" style="position:absolute;left:0;text-align:left;margin-left:83.25pt;margin-top:594pt;width:74.15pt;height:23.5pt;z-index:125829420;visibility:visible;mso-wrap-style:square;mso-wrap-distance-left:37.55pt;mso-wrap-distance-top:20pt;mso-wrap-distance-right:317.4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" filled="f" stroked="f">
                <v:textbox style="mso-fit-shape-to-text:t"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Идентификационен</w:t>
                      </w:r>
                    </w:p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инструмента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7175" distB="140335" distL="1507490" distR="3741420" simplePos="0" relativeHeight="125829422" behindDoc="0" locked="0" layoutInCell="1" allowOverlap="1">
                <wp:simplePos x="0" y="0"/>
                <wp:positionH relativeFrom="page">
                  <wp:posOffset>2087245</wp:posOffset>
                </wp:positionH>
                <wp:positionV relativeFrom="margin">
                  <wp:posOffset>7546975</wp:posOffset>
                </wp:positionV>
                <wp:extent cx="201295" cy="155575"/>
                <wp:effectExtent l="0" t="0" r="0" b="0"/>
                <wp:wrapTopAndBottom/>
                <wp:docPr id="45" name="Shap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код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5" o:spid="_x0000_s1048" type="#_x0000_t202" style="position:absolute;left:0;text-align:left;margin-left:164.35pt;margin-top:594.25pt;width:15.85pt;height:12.25pt;z-index:125829422;visibility:visible;mso-wrap-style:square;mso-wrap-distance-left:118.7pt;mso-wrap-distance-top:20.25pt;mso-wrap-distance-right:294.6pt;mso-wrap-distance-bottom:11.0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" filled="f" stroked="f">
                <v:textbox style="mso-fit-shape-to-text:t"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код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7175" distB="146050" distL="1797050" distR="3512820" simplePos="0" relativeHeight="125829424" behindDoc="0" locked="0" layoutInCell="1" allowOverlap="1">
                <wp:simplePos x="0" y="0"/>
                <wp:positionH relativeFrom="page">
                  <wp:posOffset>2376805</wp:posOffset>
                </wp:positionH>
                <wp:positionV relativeFrom="margin">
                  <wp:posOffset>7546975</wp:posOffset>
                </wp:positionV>
                <wp:extent cx="140335" cy="149225"/>
                <wp:effectExtent l="0" t="0" r="0" b="0"/>
                <wp:wrapTopAndBottom/>
                <wp:docPr id="47" name="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t>на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7" o:spid="_x0000_s1049" type="#_x0000_t202" style="position:absolute;left:0;text-align:left;margin-left:187.15pt;margin-top:594.25pt;width:11.05pt;height:11.75pt;z-index:125829424;visibility:visible;mso-wrap-style:square;mso-wrap-distance-left:141.5pt;mso-wrap-distance-top:20.25pt;mso-wrap-distance-right:276.6pt;mso-wrap-distance-bottom:11.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" filled="f" stroked="f">
                <v:textbox style="mso-fit-shape-to-text:t"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t>на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4000" distB="3175" distL="2019300" distR="507365" simplePos="0" relativeHeight="125829426" behindDoc="0" locked="0" layoutInCell="1" allowOverlap="1">
                <wp:simplePos x="0" y="0"/>
                <wp:positionH relativeFrom="page">
                  <wp:posOffset>2599690</wp:posOffset>
                </wp:positionH>
                <wp:positionV relativeFrom="margin">
                  <wp:posOffset>7543800</wp:posOffset>
                </wp:positionV>
                <wp:extent cx="2922905" cy="295910"/>
                <wp:effectExtent l="0" t="0" r="0" b="0"/>
                <wp:wrapTopAndBottom/>
                <wp:docPr id="49" name="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2905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/>
                            </w:pPr>
                            <w:r>
                              <w:t>Код, използван за идентифицирането на финансовия инстру</w:t>
                            </w:r>
                            <w:r>
                              <w:softHyphen/>
                              <w:t>мент.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9" o:spid="_x0000_s1050" type="#_x0000_t202" style="position:absolute;left:0;text-align:left;margin-left:204.7pt;margin-top:594pt;width:230.15pt;height:23.3pt;z-index:125829426;visibility:visible;mso-wrap-style:square;mso-wrap-distance-left:159pt;mso-wrap-distance-top:20pt;mso-wrap-distance-right:39.95pt;mso-wrap-distance-bottom:.2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" filled="f" stroked="f">
                <v:textbox style="mso-fit-shape-to-text:t"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/>
                      </w:pPr>
                      <w:r>
                        <w:t>Код, използван за идентифицирането на финансовия инстру</w:t>
                      </w:r>
                      <w:r>
                        <w:softHyphen/>
                        <w:t>мент.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17"/>
          <w:szCs w:val="17"/>
          <w:lang w:bidi="ar-SA"/>
        </w:rPr>
        <mc:AlternateContent>
          <mc:Choice Requires="wps">
            <w:drawing>
              <wp:anchor distT="254000" distB="140335" distL="5027930" distR="114300" simplePos="0" relativeHeight="125829428" behindDoc="0" locked="0" layoutInCell="1" allowOverlap="1">
                <wp:simplePos x="0" y="0"/>
                <wp:positionH relativeFrom="page">
                  <wp:posOffset>5607685</wp:posOffset>
                </wp:positionH>
                <wp:positionV relativeFrom="margin">
                  <wp:posOffset>7543800</wp:posOffset>
                </wp:positionV>
                <wp:extent cx="307975" cy="158750"/>
                <wp:effectExtent l="0" t="0" r="0" b="0"/>
                <wp:wrapTopAndBottom/>
                <wp:docPr id="51" name="Shap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A7884" w:rsidRDefault="00AE1A93">
                            <w:pPr>
                              <w:pStyle w:val="BodyText"/>
                              <w:shd w:val="clear" w:color="auto" w:fill="auto"/>
                              <w:spacing w:after="0" w:line="240" w:lineRule="auto"/>
                              <w:jc w:val="left"/>
                            </w:pPr>
                            <w:r>
                              <w:rPr>
                                <w:lang w:val="en-US" w:eastAsia="en-US" w:bidi="en-US"/>
                              </w:rPr>
                              <w:t>{ISIN}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1" o:spid="_x0000_s1051" type="#_x0000_t202" style="position:absolute;left:0;text-align:left;margin-left:441.55pt;margin-top:594pt;width:24.25pt;height:12.5pt;z-index:125829428;visibility:visible;mso-wrap-style:square;mso-wrap-distance-left:395.9pt;mso-wrap-distance-top:20pt;mso-wrap-distance-right:9pt;mso-wrap-distance-bottom:11.05pt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" filled="f" stroked="f">
                <v:textbox style="mso-fit-shape-to-text:t" inset="0,0,0,0">
                  <w:txbxContent>
                    <w:p w:rsidR="003A7884" w:rsidRDefault="00AE1A93">
                      <w:pPr>
                        <w:pStyle w:val="BodyText"/>
                        <w:shd w:val="clear" w:color="auto" w:fill="auto"/>
                        <w:spacing w:after="0" w:line="240" w:lineRule="auto"/>
                        <w:jc w:val="left"/>
                      </w:pPr>
                      <w:r>
                        <w:rPr>
                          <w:lang w:val="en-US" w:eastAsia="en-US" w:bidi="en-US"/>
                        </w:rPr>
                        <w:t>{ISIN}</w:t>
                      </w: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  <w:r>
        <w:rPr>
          <w:b/>
          <w:bCs/>
          <w:sz w:val="16"/>
          <w:szCs w:val="16"/>
        </w:rPr>
        <w:t>Данни за инструмента</w:t>
      </w:r>
    </w:p>
    <w:p w:rsidR="003A7884" w:rsidRDefault="00AE1A93">
      <w:pPr>
        <w:pStyle w:val="BodyText"/>
        <w:shd w:val="clear" w:color="auto" w:fill="auto"/>
        <w:spacing w:after="0"/>
        <w:ind w:left="3300" w:right="2420"/>
      </w:pPr>
      <w:r>
        <w:t xml:space="preserve">Това поле е приложимо за финансовите инструменти, за които е </w:t>
      </w:r>
      <w:r>
        <w:t>отправено искане за допускане до търговия, които са допуснати до търговия или се търгуват на място на търго</w:t>
      </w:r>
      <w:r>
        <w:softHyphen/>
        <w:t xml:space="preserve">вия или чрез систематичен участник. То е приложимо също така за финансовите инструменти, които имат </w:t>
      </w:r>
      <w:r>
        <w:rPr>
          <w:lang w:val="en-US" w:eastAsia="en-US" w:bidi="en-US"/>
        </w:rPr>
        <w:t xml:space="preserve">ISIN </w:t>
      </w:r>
      <w:r>
        <w:t>и се тър</w:t>
      </w:r>
      <w:r>
        <w:softHyphen/>
        <w:t>гуват на намираща се извън Съюза п</w:t>
      </w:r>
      <w:r>
        <w:t>латформа за организи</w:t>
      </w:r>
      <w:r>
        <w:softHyphen/>
        <w:t>рана търговия, когато базовият инструмент е финансов ин</w:t>
      </w:r>
      <w:r>
        <w:softHyphen/>
        <w:t>струмент, търгуван на място на търговия.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ind w:left="220" w:firstLine="20"/>
              <w:jc w:val="left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47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ДОКЛАДВАНЕТО</w:t>
            </w:r>
          </w:p>
        </w:tc>
      </w:tr>
    </w:tbl>
    <w:p w:rsidR="003A7884" w:rsidRDefault="00AE1A93">
      <w:pPr>
        <w:pStyle w:val="Tablecaption0"/>
        <w:shd w:val="clear" w:color="auto" w:fill="auto"/>
        <w:spacing w:line="382" w:lineRule="auto"/>
        <w:rPr>
          <w:sz w:val="16"/>
          <w:szCs w:val="16"/>
        </w:rPr>
      </w:pPr>
      <w:r>
        <w:rPr>
          <w:b/>
          <w:bCs/>
          <w:sz w:val="16"/>
          <w:szCs w:val="16"/>
        </w:rPr>
        <w:t>Полета 42—56 не са приложими, когато:</w:t>
      </w:r>
    </w:p>
    <w:p w:rsidR="003A7884" w:rsidRDefault="00AE1A93">
      <w:pPr>
        <w:pStyle w:val="Tablecaption0"/>
        <w:shd w:val="clear" w:color="auto" w:fill="auto"/>
        <w:spacing w:line="382" w:lineRule="auto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сделките се изпълняват на място на търговия или когато инвестиционният посредник действа като СУ; или в поле 41 е попълнен </w:t>
      </w:r>
      <w:r>
        <w:rPr>
          <w:b/>
          <w:bCs/>
          <w:sz w:val="16"/>
          <w:szCs w:val="16"/>
          <w:lang w:val="en-US" w:eastAsia="en-US" w:bidi="en-US"/>
        </w:rPr>
        <w:t xml:space="preserve">ISIN, </w:t>
      </w:r>
      <w:r>
        <w:rPr>
          <w:b/>
          <w:bCs/>
          <w:sz w:val="16"/>
          <w:szCs w:val="16"/>
        </w:rPr>
        <w:t>който фигурира в списъка с референтни данни от ЕОЦКП.</w:t>
      </w:r>
    </w:p>
    <w:p w:rsidR="003A7884" w:rsidRDefault="003A7884">
      <w:pPr>
        <w:spacing w:line="14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Пълно наименование на ин</w:t>
            </w:r>
            <w:r>
              <w:softHyphen/>
              <w:t>струмента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Пълно наименование на финансовия и</w:t>
            </w:r>
            <w:r>
              <w:t>нструмент.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{ALPHANUM-350}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128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Класификация на инстру</w:t>
            </w:r>
            <w:r>
              <w:softHyphen/>
              <w:t>мента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Таксономия, използвана за класифициране на финансовия инструмент.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Предоставя се пълен и точен </w:t>
            </w:r>
            <w:r>
              <w:rPr>
                <w:lang w:val="en-US" w:eastAsia="en-US" w:bidi="en-US"/>
              </w:rPr>
              <w:t xml:space="preserve">CFI </w:t>
            </w:r>
            <w:r>
              <w:t>код.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left"/>
            </w:pPr>
            <w:r>
              <w:rPr>
                <w:lang w:val="en-US" w:eastAsia="en-US" w:bidi="en-US"/>
              </w:rPr>
              <w:t>{CFI_CODE}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47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center"/>
            </w:pPr>
            <w:r>
              <w:t>44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/>
            </w:pPr>
            <w:r>
              <w:t>Валута на номиналната стой</w:t>
            </w:r>
            <w:r>
              <w:softHyphen/>
              <w:t>ност, 1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Валута, в която е деноминирана номиналната </w:t>
            </w:r>
            <w:r>
              <w:t>стойност.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договор за лихвен процент или валутни дери</w:t>
            </w:r>
            <w:r>
              <w:softHyphen/>
              <w:t>вати, това е валутата на номиналната стойност на етап 1 или валутата 1 от двойката.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суапции, при които базовият суап е в една ва</w:t>
            </w:r>
            <w:r>
              <w:softHyphen/>
              <w:t xml:space="preserve">лута, това е валутата на номиналната стойност на </w:t>
            </w:r>
            <w:r>
              <w:t>базовия суап. За суапции, при които базовият суап е в повече от една валута, това е валутата на номиналната стойност на етап 1 от суапа.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left"/>
            </w:pPr>
            <w:r>
              <w:rPr>
                <w:lang w:val="en-US" w:eastAsia="en-US" w:bidi="en-US"/>
              </w:rPr>
              <w:t>{CURRENCYCODE_3}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76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center"/>
            </w:pPr>
            <w:r>
              <w:t>45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/>
            </w:pPr>
            <w:r>
              <w:t>Валута на номиналната стой</w:t>
            </w:r>
            <w:r>
              <w:softHyphen/>
              <w:t>ност, 2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суапове в повече от една валута или кръстосани валу</w:t>
            </w:r>
            <w:r>
              <w:t>тни суапове, това е валутата, в която е деноминиран етап 2 от договора.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При суапции, при които базовият суап е в повече от една ва</w:t>
            </w:r>
            <w:r>
              <w:softHyphen/>
              <w:t>лута, това е валутата, в която е деноминиран етап 2 от суапа.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left"/>
            </w:pPr>
            <w:r>
              <w:rPr>
                <w:lang w:val="en-US" w:eastAsia="en-US" w:bidi="en-US"/>
              </w:rPr>
              <w:t>{CURRENCYCODE_3}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981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46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</w:pPr>
            <w:r>
              <w:t>Множител на цената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Брой единици на базовия</w:t>
            </w:r>
            <w:r>
              <w:t xml:space="preserve"> инструмент, включени в един до</w:t>
            </w:r>
            <w:r>
              <w:softHyphen/>
              <w:t>говор за деривати.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Паричната стойност на един договор за суап, когато в по</w:t>
            </w:r>
            <w:r>
              <w:softHyphen/>
              <w:t>лето за количество е указан броят на договорите за суап, включени в сделката. При фючърс или опция на основата на индекс, това е размерът на индексен</w:t>
            </w:r>
            <w:r>
              <w:t xml:space="preserve"> пункт.</w:t>
            </w:r>
          </w:p>
          <w:p w:rsidR="003A7884" w:rsidRDefault="00AE1A93">
            <w:pPr>
              <w:pStyle w:val="Other0"/>
              <w:shd w:val="clear" w:color="auto" w:fill="auto"/>
              <w:spacing w:after="80" w:line="257" w:lineRule="auto"/>
            </w:pPr>
            <w:r>
              <w:t>При финансови залагания въз основа на спред, това е промя</w:t>
            </w:r>
            <w:r>
              <w:softHyphen/>
              <w:t>ната на цената на базовия инструмент, на който се основава финансовото залагане.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Информацията, която се докладва в това поле, трябва да от</w:t>
            </w:r>
            <w:r>
              <w:softHyphen/>
              <w:t>говаря на стойностите, посочени в полета 30 и 33.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left"/>
            </w:pPr>
            <w:r>
              <w:rPr>
                <w:lang w:val="en-US" w:eastAsia="en-US" w:bidi="en-US"/>
              </w:rPr>
              <w:t>{</w:t>
            </w:r>
            <w:r>
              <w:rPr>
                <w:lang w:val="en-US" w:eastAsia="en-US" w:bidi="en-US"/>
              </w:rPr>
              <w:t>DECIMAL-18/17}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307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center"/>
            </w:pPr>
            <w:r>
              <w:t>47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200" w:after="0" w:line="240" w:lineRule="auto"/>
            </w:pPr>
            <w:r>
              <w:t>Код на базовия инструмент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Кодът </w:t>
            </w:r>
            <w:r>
              <w:rPr>
                <w:lang w:val="en-US" w:eastAsia="en-US" w:bidi="en-US"/>
              </w:rPr>
              <w:t xml:space="preserve">ISIN </w:t>
            </w:r>
            <w:r>
              <w:t>на базовия инструмент.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При американски депозитарни разписки, глобални депози- тарни разписки и подобни инструменти това е кодът </w:t>
            </w:r>
            <w:r>
              <w:rPr>
                <w:lang w:val="en-US" w:eastAsia="en-US" w:bidi="en-US"/>
              </w:rPr>
              <w:t xml:space="preserve">ISIN </w:t>
            </w:r>
            <w:r>
              <w:t>на финансовия инструмент, на който се основават тези ин</w:t>
            </w:r>
            <w:r>
              <w:softHyphen/>
              <w:t>струменти.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При конвертируеми облигации това е кодът </w:t>
            </w:r>
            <w:r>
              <w:rPr>
                <w:lang w:val="en-US" w:eastAsia="en-US" w:bidi="en-US"/>
              </w:rPr>
              <w:t xml:space="preserve">ISIN </w:t>
            </w:r>
            <w:r>
              <w:t>на инстру</w:t>
            </w:r>
            <w:r>
              <w:softHyphen/>
              <w:t>мента, в който може да бъде конвертирана облигацията.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При деривати или други инструменти, които имат базов ин</w:t>
            </w:r>
            <w:r>
              <w:softHyphen/>
              <w:t xml:space="preserve">струмент, това е кодът </w:t>
            </w:r>
            <w:r>
              <w:rPr>
                <w:lang w:val="en-US" w:eastAsia="en-US" w:bidi="en-US"/>
              </w:rPr>
              <w:t xml:space="preserve">ISIN </w:t>
            </w:r>
            <w:r>
              <w:t>на базовия инструмент, когато базовият инструмент е допуснат д</w:t>
            </w:r>
            <w:r>
              <w:t>о търговия или се търгува на място на търговия. Когато базовият инструмент е диви</w:t>
            </w:r>
            <w:r>
              <w:softHyphen/>
              <w:t xml:space="preserve">дент под формата на акции, това е кодът </w:t>
            </w:r>
            <w:r>
              <w:rPr>
                <w:lang w:val="en-US" w:eastAsia="en-US" w:bidi="en-US"/>
              </w:rPr>
              <w:t xml:space="preserve">ISIN </w:t>
            </w:r>
            <w:r>
              <w:t>на съответната акция, даваща право на дивидента под формата на акции.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  <w:jc w:val="left"/>
            </w:pPr>
            <w:r>
              <w:rPr>
                <w:lang w:val="en-US" w:eastAsia="en-US" w:bidi="en-US"/>
              </w:rPr>
              <w:t>{ISIN}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ФОРМАТ И </w:t>
            </w:r>
            <w:r>
              <w:rPr>
                <w:rFonts w:ascii="Arial" w:eastAsia="Arial" w:hAnsi="Arial" w:cs="Arial"/>
                <w:sz w:val="13"/>
                <w:szCs w:val="13"/>
              </w:rPr>
              <w:t>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54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При суапове за кредитно неизпълнение се предоставя кодът </w:t>
            </w:r>
            <w:r>
              <w:rPr>
                <w:lang w:val="en-US" w:eastAsia="en-US" w:bidi="en-US"/>
              </w:rPr>
              <w:t xml:space="preserve">ISIN </w:t>
            </w:r>
            <w:r>
              <w:t>на референтното задължение.</w:t>
            </w:r>
          </w:p>
          <w:p w:rsidR="003A7884" w:rsidRDefault="00AE1A93">
            <w:pPr>
              <w:pStyle w:val="Other0"/>
              <w:shd w:val="clear" w:color="auto" w:fill="auto"/>
              <w:spacing w:after="80" w:line="254" w:lineRule="auto"/>
            </w:pPr>
            <w:r>
              <w:t xml:space="preserve">В случай че базовият инструмент е индекс и има </w:t>
            </w:r>
            <w:r>
              <w:rPr>
                <w:lang w:val="en-US" w:eastAsia="en-US" w:bidi="en-US"/>
              </w:rPr>
              <w:t xml:space="preserve">ISIN, </w:t>
            </w:r>
            <w:r>
              <w:t xml:space="preserve">това е кодът </w:t>
            </w:r>
            <w:r>
              <w:rPr>
                <w:lang w:val="en-US" w:eastAsia="en-US" w:bidi="en-US"/>
              </w:rPr>
              <w:t xml:space="preserve">ISIN </w:t>
            </w:r>
            <w:r>
              <w:t>за въпросния индекс.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Когато базовият инструмент е кошница, се включва </w:t>
            </w:r>
            <w:r>
              <w:rPr>
                <w:lang w:val="en-US" w:eastAsia="en-US" w:bidi="en-US"/>
              </w:rPr>
              <w:t xml:space="preserve">ISIN </w:t>
            </w:r>
            <w:r>
              <w:t>на всеки съставен елемент на кошницата, който е допуснат до търговия или се търгува на място на търговия. Поле 47 се отчита толкова пъти, колкото е необходимо, за да бъдат до</w:t>
            </w:r>
            <w:r>
              <w:softHyphen/>
              <w:t>кладвани всички инструменти</w:t>
            </w:r>
            <w:r>
              <w:t xml:space="preserve"> от кошницата, които подле</w:t>
            </w:r>
            <w:r>
              <w:softHyphen/>
              <w:t>жат на докладване.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709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t>48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/>
            </w:pPr>
            <w:r>
              <w:t>Наименование на базовия ин</w:t>
            </w:r>
            <w:r>
              <w:softHyphen/>
              <w:t>декс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/>
            </w:pPr>
            <w:r>
              <w:t>Когато базовият инструмент е индекс, това е наименова</w:t>
            </w:r>
            <w:r>
              <w:softHyphen/>
              <w:t>нието на индекса.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>{INDEX}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или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{ALPHANUM-25} </w:t>
            </w:r>
            <w:r>
              <w:t xml:space="preserve">— ако наименованието на индекса не е включено в списъка </w:t>
            </w:r>
            <w:r>
              <w:rPr>
                <w:lang w:val="en-US" w:eastAsia="en-US" w:bidi="en-US"/>
              </w:rPr>
              <w:t>{IN</w:t>
            </w:r>
            <w:r>
              <w:rPr>
                <w:lang w:val="en-US" w:eastAsia="en-US" w:bidi="en-US"/>
              </w:rPr>
              <w:softHyphen/>
              <w:t>DEX}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22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center"/>
            </w:pPr>
            <w:r>
              <w:t>49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</w:pPr>
            <w:r>
              <w:t xml:space="preserve">Срок </w:t>
            </w:r>
            <w:r>
              <w:t>на базовия индекс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/>
            </w:pPr>
            <w:r>
              <w:t>В случай че базовият инструмент е индекс, това е срокът на индекса.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{INTEGER-3}+„DAYS“ </w:t>
            </w:r>
            <w:r>
              <w:t>— дни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{INTEGER-3}+„WEEK“ </w:t>
            </w:r>
            <w:r>
              <w:t>— седмици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{INTEGER-3}+„MNTH“ </w:t>
            </w:r>
            <w:r>
              <w:t>— месеци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{INTEGER-3}+„YEAR“ </w:t>
            </w:r>
            <w:r>
              <w:t>— го</w:t>
            </w:r>
            <w:r>
              <w:softHyphen/>
              <w:t>дини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248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t>50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</w:pPr>
            <w:r>
              <w:t>Вид опция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Посочва се дали договорът за деривати е кол </w:t>
            </w:r>
            <w:r>
              <w:t>(право да се за</w:t>
            </w:r>
            <w:r>
              <w:softHyphen/>
              <w:t>купи конкретен базов актив), или пут (право да се продаде конкретен базов актив), или дали към момента на изпълне</w:t>
            </w:r>
            <w:r>
              <w:softHyphen/>
              <w:t>нието не може да се определи дали е кол, или пут.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суапции видът е: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  <w:ind w:left="360" w:hanging="360"/>
            </w:pPr>
            <w:r>
              <w:t xml:space="preserve">— </w:t>
            </w:r>
            <w:r>
              <w:rPr>
                <w:lang w:val="en-US" w:eastAsia="en-US" w:bidi="en-US"/>
              </w:rPr>
              <w:t xml:space="preserve">„PUTO“ </w:t>
            </w:r>
            <w:r>
              <w:t xml:space="preserve">— в случай на суапция на получателя, </w:t>
            </w:r>
            <w:r>
              <w:t>при която купувачът има право да сключи суап като получа</w:t>
            </w:r>
            <w:r>
              <w:softHyphen/>
              <w:t>тел на фиксирана ставка.</w:t>
            </w:r>
          </w:p>
          <w:p w:rsidR="003A7884" w:rsidRDefault="00AE1A93">
            <w:pPr>
              <w:pStyle w:val="Other0"/>
              <w:shd w:val="clear" w:color="auto" w:fill="auto"/>
              <w:spacing w:after="80" w:line="257" w:lineRule="auto"/>
              <w:ind w:left="360" w:hanging="360"/>
            </w:pPr>
            <w:r>
              <w:t xml:space="preserve">— </w:t>
            </w:r>
            <w:r>
              <w:rPr>
                <w:lang w:val="en-US" w:eastAsia="en-US" w:bidi="en-US"/>
              </w:rPr>
              <w:t xml:space="preserve">„Call“ </w:t>
            </w:r>
            <w:r>
              <w:t>— в случай на суапция на платеца, при която ку</w:t>
            </w:r>
            <w:r>
              <w:softHyphen/>
              <w:t>пувачът има право да сключи суап като платец на фик</w:t>
            </w:r>
            <w:r>
              <w:softHyphen/>
              <w:t>сирана ставка.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В случай на тавани и подове видът е: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— </w:t>
            </w:r>
            <w:r>
              <w:rPr>
                <w:lang w:val="en-US" w:eastAsia="en-US" w:bidi="en-US"/>
              </w:rPr>
              <w:t xml:space="preserve">„PUTO“ </w:t>
            </w:r>
            <w:r>
              <w:t>— в с</w:t>
            </w:r>
            <w:r>
              <w:t>лучай на под,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— </w:t>
            </w:r>
            <w:r>
              <w:rPr>
                <w:lang w:val="en-US" w:eastAsia="en-US" w:bidi="en-US"/>
              </w:rPr>
              <w:t xml:space="preserve">„Call“ </w:t>
            </w:r>
            <w:r>
              <w:t>— в случай на таван.</w:t>
            </w:r>
          </w:p>
          <w:p w:rsidR="003A7884" w:rsidRDefault="00AE1A93">
            <w:pPr>
              <w:pStyle w:val="Other0"/>
              <w:shd w:val="clear" w:color="auto" w:fill="auto"/>
              <w:spacing w:after="80" w:line="254" w:lineRule="auto"/>
            </w:pPr>
            <w:r>
              <w:t>Това поле е приложимо само за деривати, които са опции или варанти.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80"/>
            </w:pPr>
            <w:r>
              <w:rPr>
                <w:lang w:val="en-US" w:eastAsia="en-US" w:bidi="en-US"/>
              </w:rPr>
              <w:t xml:space="preserve">„PUTO“ </w:t>
            </w:r>
            <w:r>
              <w:t>— пут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„CALL“ </w:t>
            </w:r>
            <w:r>
              <w:t>— кол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„OTHR“ </w:t>
            </w:r>
            <w:r>
              <w:t>— когато не може да се определи дали опцията е кол, или пут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861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t>51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</w:pPr>
            <w:r>
              <w:t>Цена на упражняване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Предварително определена </w:t>
            </w:r>
            <w:r>
              <w:t>цена, на която притежателят ще трябва да купи или да продаде базовия инструмент, или указване, че цената не може да бъде определена към мо</w:t>
            </w:r>
            <w:r>
              <w:softHyphen/>
              <w:t>мента на изпълнението.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Това поле е приложимо само за опция или варант, когато цената на упражняване може да бъде опре</w:t>
            </w:r>
            <w:r>
              <w:t>делена към мо</w:t>
            </w:r>
            <w:r>
              <w:softHyphen/>
              <w:t>мента на изпълнението.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Когато цената не е налична към дадения момент, но пред</w:t>
            </w:r>
            <w:r>
              <w:softHyphen/>
              <w:t xml:space="preserve">стои да бъде определена, стойността е </w:t>
            </w:r>
            <w:r>
              <w:rPr>
                <w:lang w:val="en-US" w:eastAsia="en-US" w:bidi="en-US"/>
              </w:rPr>
              <w:t>„PNDG“.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Когато цена на упражняване не е приложима, полето не се попълва.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{DECIMAL-18/13} </w:t>
            </w:r>
            <w:r>
              <w:t>— в слу</w:t>
            </w:r>
            <w:r>
              <w:softHyphen/>
              <w:t>чай че цената е изразена като</w:t>
            </w:r>
            <w:r>
              <w:t xml:space="preserve"> парична стойност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{DECIMAL-11/10} </w:t>
            </w:r>
            <w:r>
              <w:t>— в слу</w:t>
            </w:r>
            <w:r>
              <w:softHyphen/>
              <w:t>чай че цената е изразена като процент или доходност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{DECIMAL-18/17} </w:t>
            </w:r>
            <w:r>
              <w:t>— в слу</w:t>
            </w:r>
            <w:r>
              <w:softHyphen/>
              <w:t>чай че цената е изразена като базисни пунктове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„PNDG“ </w:t>
            </w:r>
            <w:r>
              <w:t>— в случай че це</w:t>
            </w:r>
            <w:r>
              <w:softHyphen/>
              <w:t>ната не е налична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ФОРМАТ И </w:t>
            </w:r>
            <w:r>
              <w:rPr>
                <w:rFonts w:ascii="Arial" w:eastAsia="Arial" w:hAnsi="Arial" w:cs="Arial"/>
                <w:sz w:val="13"/>
                <w:szCs w:val="13"/>
              </w:rPr>
              <w:t>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Валута на цената на упражня</w:t>
            </w:r>
            <w:r>
              <w:softHyphen/>
              <w:t>ване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Валута на цената на упражняване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left"/>
            </w:pPr>
            <w:r>
              <w:rPr>
                <w:lang w:val="en-US" w:eastAsia="en-US" w:bidi="en-US"/>
              </w:rPr>
              <w:t>{CURRENCYCODE_3}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949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53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/>
            </w:pPr>
            <w:r>
              <w:t>Вид на опцията според датата на упражняване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Посочва се дали опцията може да бъде упражнена само на фиксирана дата </w:t>
            </w:r>
            <w:r>
              <w:t>(европейски и азиатски тип), поредица от предварително определени дати (бермудски тип) или във всеки един момент през срока на договора (американски тип).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Това поле е приложимо само за опции, варанти и сертифи</w:t>
            </w:r>
            <w:r>
              <w:softHyphen/>
              <w:t>кати за права.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„EURO“ </w:t>
            </w:r>
            <w:r>
              <w:t xml:space="preserve">— европейски </w:t>
            </w:r>
            <w:r>
              <w:rPr>
                <w:lang w:val="en-US" w:eastAsia="en-US" w:bidi="en-US"/>
              </w:rPr>
              <w:t xml:space="preserve">„AMER“ </w:t>
            </w:r>
            <w:r>
              <w:t xml:space="preserve">— американски </w:t>
            </w:r>
            <w:r>
              <w:rPr>
                <w:lang w:val="en-US" w:eastAsia="en-US" w:bidi="en-US"/>
              </w:rPr>
              <w:t xml:space="preserve">„ASIA“ </w:t>
            </w:r>
            <w:r>
              <w:t>— азиатски</w:t>
            </w:r>
          </w:p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„BERM“ </w:t>
            </w:r>
            <w:r>
              <w:t>— бермудски</w:t>
            </w:r>
          </w:p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„OTHR“ </w:t>
            </w:r>
            <w:r>
              <w:t>— друг вид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10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54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</w:pPr>
            <w:r>
              <w:t>Дата на падежа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Дата на падежа на финансовия инструмент.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Това поле е приложимо само за дългови инструменти с определен падеж.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left"/>
            </w:pPr>
            <w:r>
              <w:rPr>
                <w:lang w:val="en-US" w:eastAsia="en-US" w:bidi="en-US"/>
              </w:rPr>
              <w:t>{DATEFORMAT}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t>Дата на изтичане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Дата на изтичане на </w:t>
            </w:r>
            <w:r>
              <w:t>финансовия инструмент. Това поле е приложимо само за деривати с определена дата на изтичане.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{DATEFORMAT}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040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56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240" w:lineRule="auto"/>
            </w:pPr>
            <w:r>
              <w:t>Вид на доставката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80"/>
            </w:pPr>
            <w:r>
              <w:t>Посочва се дали сделката е уредена чрез физическа доставка, или чрез парично плащане.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Когато видът на доставката не може да бъде определен към момента на изпълнението, стойността е </w:t>
            </w:r>
            <w:r>
              <w:rPr>
                <w:lang w:val="en-US" w:eastAsia="en-US" w:bidi="en-US"/>
              </w:rPr>
              <w:t>„OPTL“.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Полето е приложимо само за деривати.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  <w:jc w:val="left"/>
            </w:pPr>
            <w:r>
              <w:rPr>
                <w:lang w:val="en-US" w:eastAsia="en-US" w:bidi="en-US"/>
              </w:rPr>
              <w:t xml:space="preserve">„PHYS“ </w:t>
            </w:r>
            <w:r>
              <w:t>— уредена чрез фи</w:t>
            </w:r>
            <w:r>
              <w:softHyphen/>
              <w:t>зическа доставка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  <w:jc w:val="left"/>
            </w:pPr>
            <w:r>
              <w:rPr>
                <w:lang w:val="en-US" w:eastAsia="en-US" w:bidi="en-US"/>
              </w:rPr>
              <w:t xml:space="preserve">„CASH“ </w:t>
            </w:r>
            <w:r>
              <w:t>— уредена чрез па</w:t>
            </w:r>
            <w:r>
              <w:softHyphen/>
              <w:t>рично плащане</w:t>
            </w:r>
          </w:p>
          <w:p w:rsidR="003A7884" w:rsidRDefault="00AE1A93">
            <w:pPr>
              <w:pStyle w:val="Other0"/>
              <w:shd w:val="clear" w:color="auto" w:fill="auto"/>
              <w:spacing w:after="80" w:line="257" w:lineRule="auto"/>
            </w:pPr>
            <w:r>
              <w:rPr>
                <w:lang w:val="en-US" w:eastAsia="en-US" w:bidi="en-US"/>
              </w:rPr>
              <w:t xml:space="preserve">„OPTL“ </w:t>
            </w:r>
            <w:r>
              <w:t>— по избор на кон</w:t>
            </w:r>
            <w:r>
              <w:softHyphen/>
              <w:t xml:space="preserve">трагента </w:t>
            </w:r>
            <w:r>
              <w:t>или когато се опре</w:t>
            </w:r>
            <w:r>
              <w:softHyphen/>
              <w:t>деля от трета страна</w:t>
            </w:r>
          </w:p>
        </w:tc>
      </w:tr>
    </w:tbl>
    <w:p w:rsidR="003A7884" w:rsidRDefault="00AE1A93">
      <w:pPr>
        <w:pStyle w:val="Tablecaption0"/>
        <w:shd w:val="clear" w:color="auto" w:fill="auto"/>
        <w:spacing w:line="240" w:lineRule="auto"/>
        <w:ind w:left="91"/>
        <w:jc w:val="left"/>
        <w:rPr>
          <w:sz w:val="16"/>
          <w:szCs w:val="16"/>
        </w:rPr>
      </w:pPr>
      <w:r>
        <w:rPr>
          <w:b/>
          <w:bCs/>
          <w:sz w:val="16"/>
          <w:szCs w:val="16"/>
        </w:rPr>
        <w:t>Търговец, алгоритми, освобождаване от задължения, показатели</w:t>
      </w:r>
    </w:p>
    <w:p w:rsidR="003A7884" w:rsidRDefault="003A7884">
      <w:pPr>
        <w:spacing w:line="14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390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57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/>
            </w:pPr>
            <w:r>
              <w:t>Инвестиционно решение в рамките на посредника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Код, използван за идентифициране на лицето или алгори</w:t>
            </w:r>
            <w:r>
              <w:softHyphen/>
              <w:t xml:space="preserve">тъма в рамките на инвестиционния посредник, което </w:t>
            </w:r>
            <w:r>
              <w:t>лице или който алгоритъм е отговорно/отговорен за инвестицион</w:t>
            </w:r>
            <w:r>
              <w:softHyphen/>
              <w:t>ното решение.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физически лица се използва идентификационният код, посочен в член 6.</w:t>
            </w:r>
          </w:p>
          <w:p w:rsidR="003A7884" w:rsidRDefault="00AE1A93">
            <w:pPr>
              <w:pStyle w:val="Other0"/>
              <w:shd w:val="clear" w:color="auto" w:fill="auto"/>
              <w:spacing w:after="80" w:line="254" w:lineRule="auto"/>
            </w:pPr>
            <w:r>
              <w:t>Ако инвестиционното решение е взето от алгоритъм, полето се попълва съгласно определеното в член 8.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Това </w:t>
            </w:r>
            <w:r>
              <w:t>поле е приложимо само за инвестиционно решение в рамките на посредника.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Когато сделката се отнася до предадено нареждане, което е изпълнило условията за предаване, посочени в член 4, това поле се попълва от получаващия посредник в отчета на по</w:t>
            </w:r>
            <w:r>
              <w:softHyphen/>
              <w:t>лучаващия по</w:t>
            </w:r>
            <w:r>
              <w:t>средник, като се използва информацията, по</w:t>
            </w:r>
            <w:r>
              <w:softHyphen/>
              <w:t>лучена от предаващия посредник.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60"/>
              <w:jc w:val="left"/>
            </w:pPr>
            <w:r>
              <w:rPr>
                <w:lang w:val="en-US" w:eastAsia="en-US" w:bidi="en-US"/>
              </w:rPr>
              <w:t xml:space="preserve">{NATIONAL_ID} </w:t>
            </w:r>
            <w:r>
              <w:t>— физиче</w:t>
            </w:r>
            <w:r>
              <w:softHyphen/>
              <w:t>ски лица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  <w:jc w:val="left"/>
            </w:pPr>
            <w:r>
              <w:rPr>
                <w:lang w:val="en-US" w:eastAsia="en-US" w:bidi="en-US"/>
              </w:rPr>
              <w:t xml:space="preserve">{ALPHANUM-50} </w:t>
            </w:r>
            <w:r>
              <w:t>— алго</w:t>
            </w:r>
            <w:r>
              <w:softHyphen/>
              <w:t>ритми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48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58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/>
            </w:pPr>
            <w:r>
              <w:t>Държава на клона, който упражнява надзор върху отго</w:t>
            </w:r>
            <w:r>
              <w:softHyphen/>
              <w:t>ворното за инвестиционното решение лице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Код, използван за </w:t>
            </w:r>
            <w:r>
              <w:t>идентифициране на държавата на клона на инвестиционния посредник, от който е лицето, отговорно за инвестиционното решение, както е посочено в член 14, параграф 3, буква б).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Когато върху лицето, отговорно за инвестиционното реше</w:t>
            </w:r>
            <w:r>
              <w:softHyphen/>
              <w:t xml:space="preserve">ние, не е упражняван надзор </w:t>
            </w:r>
            <w:r>
              <w:t>от клон, в това поле се по</w:t>
            </w:r>
            <w:r>
              <w:softHyphen/>
              <w:t>пълва кодът на държавата членка по произход на инвести</w:t>
            </w:r>
            <w:r>
              <w:softHyphen/>
              <w:t>ционния посредник или кодът на държавата, в която е уста</w:t>
            </w:r>
            <w:r>
              <w:softHyphen/>
              <w:t>новено главното управление или седалището на посредника (в случай на посредници от трети държави).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left"/>
            </w:pPr>
            <w:r>
              <w:rPr>
                <w:lang w:val="en-US" w:eastAsia="en-US" w:bidi="en-US"/>
              </w:rPr>
              <w:t>{COUNTRYCODE_2}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Когато сделката се отнася до предадено нареждане, което е изпълнило условията за предаване, посочени в член 4, това поле се попълва от получаващия посредник в </w:t>
            </w:r>
            <w:r>
              <w:t>отчета на по</w:t>
            </w:r>
            <w:r>
              <w:softHyphen/>
              <w:t>лучаващия посредник, като се използва информацията, по</w:t>
            </w:r>
            <w:r>
              <w:softHyphen/>
              <w:t>лучена от предаващия посредник.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Това поле не е приложимо, когато инвестиционното реше</w:t>
            </w:r>
            <w:r>
              <w:softHyphen/>
              <w:t>ние е взето от алгоритъм.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882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center"/>
            </w:pPr>
            <w:r>
              <w:t>59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0"/>
            </w:pPr>
            <w:r>
              <w:t>Изпълнение в рамките на по</w:t>
            </w:r>
            <w:r>
              <w:softHyphen/>
              <w:t>средника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Код, използван за идентифициране на</w:t>
            </w:r>
            <w:r>
              <w:t xml:space="preserve"> лицето или алгори</w:t>
            </w:r>
            <w:r>
              <w:softHyphen/>
              <w:t>тъма в рамките на инвестиционния посредник, което лице или който алгоритъм е отговорно/отговорен за изпълне</w:t>
            </w:r>
            <w:r>
              <w:softHyphen/>
              <w:t>нието.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За физически лица се използва идентификационният код, посочен в член 6. Ако изпълнението е извършено от алгори</w:t>
            </w:r>
            <w:r>
              <w:softHyphen/>
              <w:t>тъм, полето</w:t>
            </w:r>
            <w:r>
              <w:t xml:space="preserve"> се попълва съгласно посоченото в член 9.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60"/>
              <w:jc w:val="left"/>
            </w:pPr>
            <w:r>
              <w:rPr>
                <w:lang w:val="en-US" w:eastAsia="en-US" w:bidi="en-US"/>
              </w:rPr>
              <w:t xml:space="preserve">{NATIONAL_ID} </w:t>
            </w:r>
            <w:r>
              <w:t>— физиче</w:t>
            </w:r>
            <w:r>
              <w:softHyphen/>
              <w:t>ски лица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  <w:jc w:val="left"/>
            </w:pPr>
            <w:r>
              <w:rPr>
                <w:lang w:val="en-US" w:eastAsia="en-US" w:bidi="en-US"/>
              </w:rPr>
              <w:t xml:space="preserve">{ALPHANUM-50} </w:t>
            </w:r>
            <w:r>
              <w:t>— алго</w:t>
            </w:r>
            <w:r>
              <w:softHyphen/>
              <w:t>ритми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02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center"/>
            </w:pPr>
            <w:r>
              <w:t>60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0"/>
            </w:pPr>
            <w:r>
              <w:t>Държава на клона, който упражнява надзор върху ли</w:t>
            </w:r>
            <w:r>
              <w:softHyphen/>
              <w:t>цето, отговорно за изпълне</w:t>
            </w:r>
            <w:r>
              <w:softHyphen/>
              <w:t>нието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Код, използван за идентифициране на държавата на клона на </w:t>
            </w:r>
            <w:r>
              <w:t>инвестиционния посредник, от който е лицето, отговорно за изпълнението на сделката, както е посочено в член 14, параграф 3, буква в).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 xml:space="preserve">Когато върху лицето, отговорно за изпълнението, не е упражняван надзор от клон, в това поле се попълва кодът на държавата </w:t>
            </w:r>
            <w:r>
              <w:t>членка по произход на инвестиционния по</w:t>
            </w:r>
            <w:r>
              <w:softHyphen/>
              <w:t>средник или кодът на държавата, в която е установено глав</w:t>
            </w:r>
            <w:r>
              <w:softHyphen/>
              <w:t>ното управление или седалището на посредника (в случай на посредници от трети държави).</w:t>
            </w:r>
          </w:p>
          <w:p w:rsidR="003A7884" w:rsidRDefault="00AE1A93">
            <w:pPr>
              <w:pStyle w:val="Other0"/>
              <w:shd w:val="clear" w:color="auto" w:fill="auto"/>
              <w:spacing w:after="80" w:line="254" w:lineRule="auto"/>
            </w:pPr>
            <w:r>
              <w:t>Това поле не е приложимо, когато изпълнението е извър</w:t>
            </w:r>
            <w:r>
              <w:softHyphen/>
              <w:t>шено от алгоритъ</w:t>
            </w:r>
            <w:r>
              <w:t>м.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rPr>
                <w:lang w:val="en-US" w:eastAsia="en-US" w:bidi="en-US"/>
              </w:rPr>
              <w:t>{COUNTRYCODE_2}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86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center"/>
            </w:pPr>
            <w:r>
              <w:t>61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0"/>
            </w:pPr>
            <w:r>
              <w:t>Показател за освобождаване от задължения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Посочва се дали сделката е изпълнена съгласно освобожда</w:t>
            </w:r>
            <w:r>
              <w:softHyphen/>
              <w:t>ване от задължения преди сключването, в съответствие с членове 4 и 9 от Регламент (ЕС) № 600/2014.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дялови инструменти: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„RFPT“ </w:t>
            </w:r>
            <w:r>
              <w:t xml:space="preserve">= </w:t>
            </w:r>
            <w:r>
              <w:t>сделка с референтна цена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„NLIQ“ </w:t>
            </w:r>
            <w:r>
              <w:t>= договорени сделки с ликвидни финансови инстру</w:t>
            </w:r>
            <w:r>
              <w:softHyphen/>
              <w:t>менти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„OILQ“ </w:t>
            </w:r>
            <w:r>
              <w:t>= договорени сделки с неликвидни финансови ин</w:t>
            </w:r>
            <w:r>
              <w:softHyphen/>
              <w:t>струменти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„PRIC“ </w:t>
            </w:r>
            <w:r>
              <w:t xml:space="preserve">= договорени сделки, които подлежат на условия, различни от текущата пазарна цена на този капиталов </w:t>
            </w:r>
            <w:r>
              <w:t>фи</w:t>
            </w:r>
            <w:r>
              <w:softHyphen/>
              <w:t>нансов инструмент.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недялови инструменти: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„SIZE“ </w:t>
            </w:r>
            <w:r>
              <w:t>= сделка над определен размер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„ILQD“ </w:t>
            </w:r>
            <w:r>
              <w:t>= сделка с неликвиден инструмент</w:t>
            </w:r>
          </w:p>
          <w:p w:rsidR="003A7884" w:rsidRDefault="00AE1A93">
            <w:pPr>
              <w:pStyle w:val="Other0"/>
              <w:shd w:val="clear" w:color="auto" w:fill="auto"/>
              <w:spacing w:after="80" w:line="262" w:lineRule="auto"/>
            </w:pPr>
            <w:r>
              <w:t>Това поле се попълва само за пазарната страна на сделка, из</w:t>
            </w:r>
            <w:r>
              <w:softHyphen/>
              <w:t>пълнена при освобождаване от задължения на място на тър</w:t>
            </w:r>
            <w:r>
              <w:softHyphen/>
              <w:t>говия.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60" w:line="312" w:lineRule="auto"/>
              <w:jc w:val="left"/>
            </w:pPr>
            <w:r>
              <w:t xml:space="preserve">Попълват се едно или повече от следните обозначения: </w:t>
            </w:r>
            <w:r>
              <w:rPr>
                <w:lang w:val="en-US" w:eastAsia="en-US" w:bidi="en-US"/>
              </w:rPr>
              <w:t xml:space="preserve">„RFPT“ </w:t>
            </w:r>
            <w:r>
              <w:t>— референтна цена</w:t>
            </w:r>
          </w:p>
          <w:p w:rsidR="003A7884" w:rsidRDefault="00AE1A93">
            <w:pPr>
              <w:pStyle w:val="Other0"/>
              <w:shd w:val="clear" w:color="auto" w:fill="auto"/>
              <w:spacing w:after="60" w:line="254" w:lineRule="auto"/>
              <w:jc w:val="left"/>
            </w:pPr>
            <w:r>
              <w:rPr>
                <w:lang w:val="en-US" w:eastAsia="en-US" w:bidi="en-US"/>
              </w:rPr>
              <w:t xml:space="preserve">„NLIQ“ </w:t>
            </w:r>
            <w:r>
              <w:t>— договорена (лик</w:t>
            </w:r>
            <w:r>
              <w:softHyphen/>
              <w:t>видни)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„OILQ“ </w:t>
            </w:r>
            <w:r>
              <w:t>— договорена (не- ликвидни)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„PRIC“ </w:t>
            </w:r>
            <w:r>
              <w:t>— договорена (усло</w:t>
            </w:r>
            <w:r>
              <w:softHyphen/>
              <w:t>вия)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„SIZE“ </w:t>
            </w:r>
            <w:r>
              <w:t>— над определен раз</w:t>
            </w:r>
            <w:r>
              <w:softHyphen/>
              <w:t>мер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„ILQD“ </w:t>
            </w:r>
            <w:r>
              <w:t>— неликвиден ин</w:t>
            </w:r>
            <w:r>
              <w:softHyphen/>
              <w:t>струмент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997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center"/>
            </w:pPr>
            <w:r>
              <w:t>62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40" w:after="0" w:line="240" w:lineRule="auto"/>
            </w:pPr>
            <w:r>
              <w:t xml:space="preserve">Показател за </w:t>
            </w:r>
            <w:r>
              <w:t>къса продажба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Къса продажба, сключена от инвестиционен посредник от негово име или от името на клиент, както е описано в член 11.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 xml:space="preserve">Когато инвестиционен посредник изпълнява сделка от името на клиент, който продава, и инвестиционният посредник, като полага максимални усилия според възможностите си, не може да определи дали сделката е за къса продажба, в това поле се попълва </w:t>
            </w:r>
            <w:r>
              <w:rPr>
                <w:lang w:val="en-US" w:eastAsia="en-US" w:bidi="en-US"/>
              </w:rPr>
              <w:t>„UNDI“.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/>
              <w:jc w:val="left"/>
            </w:pPr>
            <w:r>
              <w:rPr>
                <w:lang w:val="en-US" w:eastAsia="en-US" w:bidi="en-US"/>
              </w:rPr>
              <w:t>„SES</w:t>
            </w:r>
            <w:r>
              <w:rPr>
                <w:lang w:val="en-US" w:eastAsia="en-US" w:bidi="en-US"/>
              </w:rPr>
              <w:t xml:space="preserve">H“ </w:t>
            </w:r>
            <w:r>
              <w:t>— къса продажба без изключение от правилата</w:t>
            </w:r>
          </w:p>
          <w:p w:rsidR="003A7884" w:rsidRDefault="00AE1A93">
            <w:pPr>
              <w:pStyle w:val="Other0"/>
              <w:shd w:val="clear" w:color="auto" w:fill="auto"/>
              <w:spacing w:after="0" w:line="312" w:lineRule="auto"/>
              <w:jc w:val="left"/>
            </w:pPr>
            <w:r>
              <w:rPr>
                <w:lang w:val="en-US" w:eastAsia="en-US" w:bidi="en-US"/>
              </w:rPr>
              <w:t xml:space="preserve">'SSEX' </w:t>
            </w:r>
            <w:r>
              <w:t xml:space="preserve">— къса продажба с изключение от правилата </w:t>
            </w:r>
            <w:r>
              <w:rPr>
                <w:lang w:val="en-US" w:eastAsia="en-US" w:bidi="en-US"/>
              </w:rPr>
              <w:t xml:space="preserve">'SELL' </w:t>
            </w:r>
            <w:r>
              <w:t>— без къса продажба</w:t>
            </w:r>
          </w:p>
          <w:p w:rsidR="003A7884" w:rsidRDefault="00AE1A93">
            <w:pPr>
              <w:pStyle w:val="Other0"/>
              <w:shd w:val="clear" w:color="auto" w:fill="auto"/>
              <w:spacing w:after="40"/>
              <w:jc w:val="left"/>
            </w:pPr>
            <w:r>
              <w:rPr>
                <w:lang w:val="en-US" w:eastAsia="en-US" w:bidi="en-US"/>
              </w:rPr>
              <w:t xml:space="preserve">'UNDI' </w:t>
            </w:r>
            <w:r>
              <w:t>— няма налична ин</w:t>
            </w:r>
            <w:r>
              <w:softHyphen/>
              <w:t>формация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2434"/>
        <w:gridCol w:w="4733"/>
        <w:gridCol w:w="2342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>№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ПОЛЕ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СЪДЪРЖАНИЕ, КОЕТО СЕ ДОКЛАДВА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ФОРМАТ И СТАНДАРТИ, КОИТО СЕ ИЗПОЛЗВАТ ЗА ДОКЛАДВАНЕТО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246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Когато сделката се отнася до предадено нареждане, което е изпълнило условията за предаване, посочени в член 4 от на</w:t>
            </w:r>
            <w:r>
              <w:softHyphen/>
              <w:t>стоящия регламент, това поле се попълва от получаващия посредник в отчета на получаващия посредник, като се из</w:t>
            </w:r>
            <w:r>
              <w:softHyphen/>
              <w:t>ползва информацията, получена</w:t>
            </w:r>
            <w:r>
              <w:t xml:space="preserve"> от предаващия посредник.</w:t>
            </w:r>
          </w:p>
          <w:p w:rsidR="003A7884" w:rsidRDefault="00AE1A93">
            <w:pPr>
              <w:pStyle w:val="Other0"/>
              <w:shd w:val="clear" w:color="auto" w:fill="auto"/>
              <w:spacing w:after="0" w:line="257" w:lineRule="auto"/>
            </w:pPr>
            <w:r>
              <w:t>Това поле е приложимо само когато инструментът е обхва</w:t>
            </w:r>
            <w:r>
              <w:softHyphen/>
              <w:t>нат от Регламент (ЕС) № 236/2012 и продавачът е инвести</w:t>
            </w:r>
            <w:r>
              <w:softHyphen/>
              <w:t>ционният посредник или клиент на инвестиционния по</w:t>
            </w:r>
            <w:r>
              <w:softHyphen/>
              <w:t>средник.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408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63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/>
            </w:pPr>
            <w:r>
              <w:t xml:space="preserve">Показател за извънборсова сделка след сключването на </w:t>
            </w:r>
            <w:r>
              <w:t>сделката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Показател за вида на сделката според член 20, параграф 3, буква а) и член 21, параграф 5, буква а) от Регламент (ЕС) № 600/2014.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всички инструменти: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„BENC“ </w:t>
            </w:r>
            <w:r>
              <w:t>= сделки с бенчмаркове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„ACTX“ </w:t>
            </w:r>
            <w:r>
              <w:t>= агентски кръстосани сделки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„LRGS“ </w:t>
            </w:r>
            <w:r>
              <w:t>= големи по мащаб сдел</w:t>
            </w:r>
            <w:r>
              <w:t>ки след сключването на сделката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„ILQD“ </w:t>
            </w:r>
            <w:r>
              <w:t>= сделка с неликвиден инструмент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„SIZE“ </w:t>
            </w:r>
            <w:r>
              <w:t>= сделка над определен размер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„CANC“ </w:t>
            </w:r>
            <w:r>
              <w:t>= отмени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„AMND“ </w:t>
            </w:r>
            <w:r>
              <w:t>= изменения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дялови инструменти: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„SDIV“ </w:t>
            </w:r>
            <w:r>
              <w:t>= сделки със специални дивиденти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„RPRI“ </w:t>
            </w:r>
            <w:r>
              <w:t>= сделки, по които е предоставена по-добра</w:t>
            </w:r>
            <w:r>
              <w:t xml:space="preserve"> цена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„DUPL“ </w:t>
            </w:r>
            <w:r>
              <w:t>= дублиращи отчети за търговията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„TNCP“ </w:t>
            </w:r>
            <w:r>
              <w:t>= сделки, които не допринасят за процеса на опре</w:t>
            </w:r>
            <w:r>
              <w:softHyphen/>
              <w:t>деляне на цените за целите на член 23 от Регламент (ЕС) № 600/2014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За недялови инструменти: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„TPAC“ </w:t>
            </w:r>
            <w:r>
              <w:t>= пакетна сделка</w:t>
            </w:r>
          </w:p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„XFPH“ </w:t>
            </w:r>
            <w:r>
              <w:t>= обмен за сделка с физическа д</w:t>
            </w:r>
            <w:r>
              <w:t>оставка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 w:line="312" w:lineRule="auto"/>
              <w:jc w:val="left"/>
            </w:pPr>
            <w:r>
              <w:t xml:space="preserve">Попълват се едно или повече от следните обозначения: </w:t>
            </w:r>
            <w:r>
              <w:rPr>
                <w:lang w:val="en-US" w:eastAsia="en-US" w:bidi="en-US"/>
              </w:rPr>
              <w:t xml:space="preserve">„BENC“ </w:t>
            </w:r>
            <w:r>
              <w:t>— бенчмарк</w:t>
            </w:r>
          </w:p>
          <w:p w:rsidR="003A7884" w:rsidRDefault="00AE1A93">
            <w:pPr>
              <w:pStyle w:val="Other0"/>
              <w:shd w:val="clear" w:color="auto" w:fill="auto"/>
              <w:spacing w:after="60" w:line="254" w:lineRule="auto"/>
              <w:jc w:val="left"/>
            </w:pPr>
            <w:r>
              <w:rPr>
                <w:lang w:val="en-US" w:eastAsia="en-US" w:bidi="en-US"/>
              </w:rPr>
              <w:t xml:space="preserve">„ACTX“ </w:t>
            </w:r>
            <w:r>
              <w:t>— агентски кръсто</w:t>
            </w:r>
            <w:r>
              <w:softHyphen/>
              <w:t>сани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center"/>
            </w:pPr>
            <w:r>
              <w:rPr>
                <w:lang w:val="en-US" w:eastAsia="en-US" w:bidi="en-US"/>
              </w:rPr>
              <w:t xml:space="preserve">„LRGS“ </w:t>
            </w:r>
            <w:r>
              <w:t>— големи по мащаб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„ILQD“ </w:t>
            </w:r>
            <w:r>
              <w:t>— неликвиден ин</w:t>
            </w:r>
            <w:r>
              <w:softHyphen/>
              <w:t>струмент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„SIZE“ </w:t>
            </w:r>
            <w:r>
              <w:t>— над определен раз</w:t>
            </w:r>
            <w:r>
              <w:softHyphen/>
              <w:t>мер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„CANC“ </w:t>
            </w:r>
            <w:r>
              <w:t>— отмени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„AMND“ </w:t>
            </w:r>
            <w:r>
              <w:t>— изменения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„SDIV“ </w:t>
            </w:r>
            <w:r>
              <w:t>— специален диви</w:t>
            </w:r>
            <w:r>
              <w:softHyphen/>
            </w:r>
            <w:r>
              <w:t>дент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„RPRI“ </w:t>
            </w:r>
            <w:r>
              <w:t>— по-добра цена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„DUPL“ </w:t>
            </w:r>
            <w:r>
              <w:t>— дублиращи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rPr>
                <w:lang w:val="en-US" w:eastAsia="en-US" w:bidi="en-US"/>
              </w:rPr>
              <w:t xml:space="preserve">„TNCP“ </w:t>
            </w:r>
            <w:r>
              <w:t>— недопринасящи за процеса на определяне на це</w:t>
            </w:r>
            <w:r>
              <w:softHyphen/>
              <w:t>ните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„TPAC“ </w:t>
            </w:r>
            <w:r>
              <w:t>— пакет</w:t>
            </w:r>
          </w:p>
          <w:p w:rsidR="003A7884" w:rsidRDefault="00AE1A93">
            <w:pPr>
              <w:pStyle w:val="Other0"/>
              <w:shd w:val="clear" w:color="auto" w:fill="auto"/>
              <w:spacing w:after="60"/>
              <w:jc w:val="left"/>
            </w:pPr>
            <w:r>
              <w:rPr>
                <w:lang w:val="en-US" w:eastAsia="en-US" w:bidi="en-US"/>
              </w:rPr>
              <w:t xml:space="preserve">„XFPH“ </w:t>
            </w:r>
            <w:r>
              <w:t>— обмен за физи</w:t>
            </w:r>
            <w:r>
              <w:softHyphen/>
              <w:t>ческа доставка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2381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64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/>
            </w:pPr>
            <w:r>
              <w:t>Показател за стокови дери</w:t>
            </w:r>
            <w:r>
              <w:softHyphen/>
              <w:t>вати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60"/>
            </w:pPr>
            <w:r>
              <w:t>Посочва се дали сделката намалява риска по обективно из</w:t>
            </w:r>
            <w:r>
              <w:softHyphen/>
              <w:t xml:space="preserve">мерим </w:t>
            </w:r>
            <w:r>
              <w:t>начин в съответствие с член 57 от Директива 2014/65/ЕС.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Когато сделката се отнася до предадено нареждане, което е изпълнило условията за предаване, посочени в член 4, това поле се попълва от получаващия посредник в отчетите на получаващия посредник, като с</w:t>
            </w:r>
            <w:r>
              <w:t>е използва информацията, получена от предаващия посредник. Това поле е приложимо само за сделки със стокови деривати.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„true“ </w:t>
            </w:r>
            <w:r>
              <w:t xml:space="preserve">— да </w:t>
            </w:r>
            <w:r>
              <w:rPr>
                <w:lang w:val="en-US" w:eastAsia="en-US" w:bidi="en-US"/>
              </w:rPr>
              <w:t xml:space="preserve">„false“ </w:t>
            </w:r>
            <w:r>
              <w:t>— не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1339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60" w:after="0" w:line="240" w:lineRule="auto"/>
              <w:jc w:val="center"/>
            </w:pPr>
            <w:r>
              <w:t>65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/>
            </w:pPr>
            <w:r>
              <w:t>Показател за сделки за фи</w:t>
            </w:r>
            <w:r>
              <w:softHyphen/>
              <w:t>нансиране с ценни книжа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rPr>
                <w:lang w:val="en-US" w:eastAsia="en-US" w:bidi="en-US"/>
              </w:rPr>
              <w:t xml:space="preserve">„true“ </w:t>
            </w:r>
            <w:r>
              <w:t>се попълва, когато сделката попада в обхвата на дей</w:t>
            </w:r>
            <w:r>
              <w:softHyphen/>
            </w:r>
            <w:r>
              <w:t>ност, но е освободена от задължението за докладване съ</w:t>
            </w:r>
            <w:r>
              <w:softHyphen/>
              <w:t>гласно Регламент (ЕС) 2015/2365.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rPr>
                <w:lang w:val="en-US" w:eastAsia="en-US" w:bidi="en-US"/>
              </w:rPr>
              <w:t xml:space="preserve">„false“ </w:t>
            </w:r>
            <w:r>
              <w:t>— в останалите случаи.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80" w:after="0" w:line="360" w:lineRule="auto"/>
              <w:jc w:val="left"/>
            </w:pPr>
            <w:r>
              <w:rPr>
                <w:lang w:val="en-US" w:eastAsia="en-US" w:bidi="en-US"/>
              </w:rPr>
              <w:t xml:space="preserve">„true“ </w:t>
            </w:r>
            <w:r>
              <w:t xml:space="preserve">— да </w:t>
            </w:r>
            <w:r>
              <w:rPr>
                <w:lang w:val="en-US" w:eastAsia="en-US" w:bidi="en-US"/>
              </w:rPr>
              <w:t xml:space="preserve">„false“ </w:t>
            </w:r>
            <w:r>
              <w:t>— не</w:t>
            </w:r>
          </w:p>
        </w:tc>
      </w:tr>
    </w:tbl>
    <w:p w:rsidR="003A7884" w:rsidRDefault="00AE1A93">
      <w:pPr>
        <w:pStyle w:val="Tablecaption0"/>
        <w:shd w:val="clear" w:color="auto" w:fill="auto"/>
        <w:spacing w:line="300" w:lineRule="auto"/>
      </w:pPr>
      <w:r>
        <w:t>(</w:t>
      </w:r>
      <w:r>
        <w:rPr>
          <w:vertAlign w:val="superscript"/>
        </w:rPr>
        <w:t>1</w:t>
      </w:r>
      <w:r>
        <w:t xml:space="preserve">) Делегиран регламент (ЕС) 2017/580 на Комисията от 24 юни 2016 г. за допълване на Регламент (ЕС) № 600/2014 </w:t>
      </w:r>
      <w:r>
        <w:t>на Европейския парламент и на Съвета по отношение на регулаторните технически стандарти за съхраняването на съответната информация, свързана с нарежданията относно финан</w:t>
      </w:r>
      <w:r>
        <w:softHyphen/>
        <w:t>сови инструменти (вж. страница 193 от настоящия брой на Официален вестник).</w:t>
      </w:r>
    </w:p>
    <w:p w:rsidR="003A7884" w:rsidRDefault="00AE1A93">
      <w:pPr>
        <w:pStyle w:val="Tablecaption0"/>
        <w:shd w:val="clear" w:color="auto" w:fill="auto"/>
        <w:spacing w:line="300" w:lineRule="auto"/>
      </w:pPr>
      <w:r>
        <w:t>(</w:t>
      </w:r>
      <w:r>
        <w:rPr>
          <w:vertAlign w:val="superscript"/>
        </w:rPr>
        <w:t>2</w:t>
      </w:r>
      <w:r>
        <w:t>) Делеги</w:t>
      </w:r>
      <w:r>
        <w:t>ран регламент (ЕС) 2017/574 на Комисията от 7 юни 2016 г. за допълване на Директива 2014/65/ЕС на Европейския парламент и на Съвета по отношение на регулаторните технически стандарти във връзка със степента на точност на бизнес часовниците (вж. страница 14</w:t>
      </w:r>
      <w:r>
        <w:t>8 от настоящия брой на Официален вестник).</w:t>
      </w:r>
      <w:r>
        <w:br w:type="page"/>
      </w:r>
    </w:p>
    <w:p w:rsidR="003A7884" w:rsidRDefault="00AE1A93">
      <w:pPr>
        <w:pStyle w:val="Bodytext30"/>
        <w:shd w:val="clear" w:color="auto" w:fill="auto"/>
        <w:spacing w:after="0" w:line="295" w:lineRule="auto"/>
        <w:rPr>
          <w:sz w:val="15"/>
          <w:szCs w:val="15"/>
        </w:rPr>
      </w:pPr>
      <w:r>
        <w:rPr>
          <w:b w:val="0"/>
          <w:bCs w:val="0"/>
          <w:i/>
          <w:iCs/>
          <w:sz w:val="15"/>
          <w:szCs w:val="15"/>
        </w:rPr>
        <w:lastRenderedPageBreak/>
        <w:t xml:space="preserve">ПРИЛОЖЕНИЕ </w:t>
      </w:r>
      <w:r>
        <w:rPr>
          <w:b w:val="0"/>
          <w:bCs w:val="0"/>
          <w:i/>
          <w:iCs/>
          <w:sz w:val="15"/>
          <w:szCs w:val="15"/>
          <w:lang w:val="en-US" w:eastAsia="en-US" w:bidi="en-US"/>
        </w:rPr>
        <w:t>II</w:t>
      </w:r>
    </w:p>
    <w:p w:rsidR="003A7884" w:rsidRDefault="00AE1A93">
      <w:pPr>
        <w:pStyle w:val="Tablecaption0"/>
        <w:shd w:val="clear" w:color="auto" w:fill="auto"/>
        <w:jc w:val="center"/>
        <w:rPr>
          <w:sz w:val="16"/>
          <w:szCs w:val="16"/>
        </w:rPr>
      </w:pPr>
      <w:r>
        <w:rPr>
          <w:b/>
          <w:bCs/>
          <w:sz w:val="16"/>
          <w:szCs w:val="16"/>
        </w:rPr>
        <w:t>Национални клиентски идентификационни кодове за физически лица, които трябва да се използват в отчетите за сделки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6"/>
        <w:gridCol w:w="1790"/>
        <w:gridCol w:w="3456"/>
        <w:gridCol w:w="2558"/>
        <w:gridCol w:w="1190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941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2-буквен код по </w:t>
            </w: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 xml:space="preserve">ISO </w:t>
            </w:r>
            <w:r>
              <w:rPr>
                <w:rFonts w:ascii="Arial" w:eastAsia="Arial" w:hAnsi="Arial" w:cs="Arial"/>
                <w:sz w:val="13"/>
                <w:szCs w:val="13"/>
              </w:rPr>
              <w:t>3166 —</w:t>
            </w:r>
          </w:p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1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Наименование на държавата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1-ви приоритетен </w:t>
            </w:r>
            <w:r>
              <w:rPr>
                <w:rFonts w:ascii="Arial" w:eastAsia="Arial" w:hAnsi="Arial" w:cs="Arial"/>
                <w:sz w:val="13"/>
                <w:szCs w:val="13"/>
              </w:rPr>
              <w:t>идентификационен код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1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2-ри приоритетен идентифика</w:t>
            </w:r>
            <w:r>
              <w:rPr>
                <w:rFonts w:ascii="Arial" w:eastAsia="Arial" w:hAnsi="Arial" w:cs="Arial"/>
                <w:sz w:val="13"/>
                <w:szCs w:val="13"/>
              </w:rPr>
              <w:softHyphen/>
              <w:t>ционен код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3-ти приори</w:t>
            </w:r>
            <w:r>
              <w:rPr>
                <w:rFonts w:ascii="Arial" w:eastAsia="Arial" w:hAnsi="Arial" w:cs="Arial"/>
                <w:sz w:val="13"/>
                <w:szCs w:val="13"/>
              </w:rPr>
              <w:softHyphen/>
              <w:t>тетен иденти</w:t>
            </w:r>
            <w:r>
              <w:rPr>
                <w:rFonts w:ascii="Arial" w:eastAsia="Arial" w:hAnsi="Arial" w:cs="Arial"/>
                <w:sz w:val="13"/>
                <w:szCs w:val="13"/>
              </w:rPr>
              <w:softHyphen/>
              <w:t>фикационен код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AT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Австрия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BE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t>Белгия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  <w:jc w:val="left"/>
            </w:pPr>
            <w:r>
              <w:t>Белгийски национален номер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  <w:jc w:val="left"/>
            </w:pPr>
            <w:r>
              <w:rPr>
                <w:lang w:val="en-US" w:eastAsia="en-US" w:bidi="en-US"/>
              </w:rPr>
              <w:t>(Numero de registre national — Rijksregi- sternummer)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BG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България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Български личен номер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CY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Кипър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Номер на национален паспорт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CZ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t>Чешка република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Национален идентификационен номер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(Rodne ci'slo)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</w:pPr>
            <w:r>
              <w:t>Номер на паспорт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DE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Германия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DK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t>Дания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Личен идентификационен код с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 xml:space="preserve">10 </w:t>
            </w:r>
            <w:r>
              <w:t>буквено-цифрови знака: ДДММГГХХХХ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EE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t>Естония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t xml:space="preserve">Естонски личен идентификационен код </w:t>
            </w:r>
            <w:r>
              <w:rPr>
                <w:lang w:val="en-US" w:eastAsia="en-US" w:bidi="en-US"/>
              </w:rPr>
              <w:t>(Isikukood)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ES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Испания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t xml:space="preserve">Данъчен идентификационен номер </w:t>
            </w:r>
            <w:r>
              <w:rPr>
                <w:lang w:val="en-US" w:eastAsia="en-US" w:bidi="en-US"/>
              </w:rPr>
              <w:t>(Codigo de identification fiscal)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FI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Финландия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Личен идентификационен код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FR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Франция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GB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Обединено кралство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54" w:lineRule="auto"/>
              <w:jc w:val="left"/>
            </w:pPr>
            <w:r>
              <w:t xml:space="preserve">Национален осигурителен </w:t>
            </w:r>
            <w:r>
              <w:t>номер на Обеди</w:t>
            </w:r>
            <w:r>
              <w:softHyphen/>
              <w:t>неното кралство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GR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Гърция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  <w:jc w:val="left"/>
            </w:pPr>
            <w:r>
              <w:t xml:space="preserve">10-цифрен номер в </w:t>
            </w:r>
            <w:r>
              <w:rPr>
                <w:lang w:val="en-US" w:eastAsia="en-US" w:bidi="en-US"/>
              </w:rPr>
              <w:t xml:space="preserve">DSS </w:t>
            </w:r>
            <w:r>
              <w:t>за дял на инвести</w:t>
            </w:r>
            <w:r>
              <w:softHyphen/>
              <w:t xml:space="preserve">тор </w:t>
            </w:r>
            <w:r>
              <w:rPr>
                <w:lang w:val="en-US" w:eastAsia="en-US" w:bidi="en-US"/>
              </w:rPr>
              <w:t>(10 DSS digit investor share)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HR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t>Хърватия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t xml:space="preserve">Личен идентификационен номер </w:t>
            </w:r>
            <w:r>
              <w:rPr>
                <w:lang w:val="en-US" w:eastAsia="en-US" w:bidi="en-US"/>
              </w:rPr>
              <w:t>(OIB — Osobni identifikacijski broj)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HU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Унгария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IE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Ирландия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IS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Исландия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 xml:space="preserve">Личен идентификационен код </w:t>
            </w:r>
            <w:r>
              <w:rPr>
                <w:lang w:val="en-US" w:eastAsia="en-US" w:bidi="en-US"/>
              </w:rPr>
              <w:t>(Kennitala)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IT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t>Италия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t xml:space="preserve">Данъчен код </w:t>
            </w:r>
            <w:r>
              <w:rPr>
                <w:lang w:val="en-US" w:eastAsia="en-US" w:bidi="en-US"/>
              </w:rPr>
              <w:t>(Codice fiscale)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LI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t>Лихтенщайн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20" w:after="0" w:line="240" w:lineRule="auto"/>
              <w:jc w:val="left"/>
            </w:pPr>
            <w:r>
              <w:t>Номер на национален паспорт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Номер на национална лична карта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</w:tr>
    </w:tbl>
    <w:p w:rsidR="003A7884" w:rsidRDefault="00AE1A93">
      <w:pPr>
        <w:spacing w:line="14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6"/>
        <w:gridCol w:w="1790"/>
        <w:gridCol w:w="3456"/>
        <w:gridCol w:w="2558"/>
        <w:gridCol w:w="1190"/>
      </w:tblGrid>
      <w:tr w:rsidR="003A7884">
        <w:tblPrEx>
          <w:tblCellMar>
            <w:top w:w="0" w:type="dxa"/>
            <w:bottom w:w="0" w:type="dxa"/>
          </w:tblCellMar>
        </w:tblPrEx>
        <w:trPr>
          <w:trHeight w:hRule="exact" w:val="941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lastRenderedPageBreak/>
              <w:t xml:space="preserve">2-буквен код по </w:t>
            </w:r>
            <w:r>
              <w:rPr>
                <w:rFonts w:ascii="Arial" w:eastAsia="Arial" w:hAnsi="Arial" w:cs="Arial"/>
                <w:sz w:val="13"/>
                <w:szCs w:val="13"/>
                <w:lang w:val="en-US" w:eastAsia="en-US" w:bidi="en-US"/>
              </w:rPr>
              <w:t xml:space="preserve">ISO </w:t>
            </w:r>
            <w:r>
              <w:rPr>
                <w:rFonts w:ascii="Arial" w:eastAsia="Arial" w:hAnsi="Arial" w:cs="Arial"/>
                <w:sz w:val="13"/>
                <w:szCs w:val="13"/>
              </w:rPr>
              <w:t>3166 —</w:t>
            </w:r>
          </w:p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Наименование на държавата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 xml:space="preserve">1-ви </w:t>
            </w:r>
            <w:r>
              <w:rPr>
                <w:rFonts w:ascii="Arial" w:eastAsia="Arial" w:hAnsi="Arial" w:cs="Arial"/>
                <w:sz w:val="13"/>
                <w:szCs w:val="13"/>
              </w:rPr>
              <w:t>приоритетен идентификационен код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2-ри приоритетен идентифика</w:t>
            </w:r>
            <w:r>
              <w:rPr>
                <w:rFonts w:ascii="Arial" w:eastAsia="Arial" w:hAnsi="Arial" w:cs="Arial"/>
                <w:sz w:val="13"/>
                <w:szCs w:val="13"/>
              </w:rPr>
              <w:softHyphen/>
              <w:t>ционен код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00" w:lineRule="auto"/>
              <w:jc w:val="center"/>
              <w:rPr>
                <w:sz w:val="13"/>
                <w:szCs w:val="13"/>
              </w:rPr>
            </w:pPr>
            <w:r>
              <w:rPr>
                <w:rFonts w:ascii="Arial" w:eastAsia="Arial" w:hAnsi="Arial" w:cs="Arial"/>
                <w:sz w:val="13"/>
                <w:szCs w:val="13"/>
              </w:rPr>
              <w:t>3-ти приори</w:t>
            </w:r>
            <w:r>
              <w:rPr>
                <w:rFonts w:ascii="Arial" w:eastAsia="Arial" w:hAnsi="Arial" w:cs="Arial"/>
                <w:sz w:val="13"/>
                <w:szCs w:val="13"/>
              </w:rPr>
              <w:softHyphen/>
              <w:t>тетен иденти</w:t>
            </w:r>
            <w:r>
              <w:rPr>
                <w:rFonts w:ascii="Arial" w:eastAsia="Arial" w:hAnsi="Arial" w:cs="Arial"/>
                <w:sz w:val="13"/>
                <w:szCs w:val="13"/>
              </w:rPr>
              <w:softHyphen/>
              <w:t>фикационен код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center"/>
            </w:pPr>
            <w:r>
              <w:rPr>
                <w:lang w:val="en-US" w:eastAsia="en-US" w:bidi="en-US"/>
              </w:rPr>
              <w:t>LT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Литва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Личен код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(Asmens kodas)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Номер на национален паспорт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100"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LU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Люксембург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LV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t>Латвия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Личен код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(Personas kods)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MT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Малта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Национален идентификационен номер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t>Номер на национален паспорт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NL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Нидерландия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Номер на национален паспорт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t>Номер на национална лична карта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NO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t>Норвегия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t xml:space="preserve">11-цифрен личен идентификационен номер </w:t>
            </w:r>
            <w:r>
              <w:rPr>
                <w:lang w:val="en-US" w:eastAsia="en-US" w:bidi="en-US"/>
              </w:rPr>
              <w:t>(Foedselsnummer)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PL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t>Полша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360" w:lineRule="auto"/>
              <w:jc w:val="left"/>
            </w:pPr>
            <w:r>
              <w:t xml:space="preserve">Национален идентификационен номер </w:t>
            </w:r>
            <w:r>
              <w:rPr>
                <w:lang w:val="en-US" w:eastAsia="en-US" w:bidi="en-US"/>
              </w:rPr>
              <w:t>(PESEL)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/>
            </w:pPr>
            <w:r>
              <w:t>Данъчен номер</w:t>
            </w:r>
          </w:p>
          <w:p w:rsidR="003A7884" w:rsidRDefault="00AE1A93">
            <w:pPr>
              <w:pStyle w:val="Other0"/>
              <w:shd w:val="clear" w:color="auto" w:fill="auto"/>
              <w:spacing w:after="0"/>
            </w:pPr>
            <w:r>
              <w:rPr>
                <w:lang w:val="en-US" w:eastAsia="en-US" w:bidi="en-US"/>
              </w:rPr>
              <w:t>(Numer identyfikacji podatko- wej)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PT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t>Португалия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Данъчен номер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(Numero de Identif'icacao Fiscal)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center"/>
            </w:pPr>
            <w:r>
              <w:t>Номер на национален паспорт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RO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t>Румъния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Национален идентификационен номер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 xml:space="preserve">(Cod Numeric </w:t>
            </w:r>
            <w:r>
              <w:rPr>
                <w:lang w:val="en-US" w:eastAsia="en-US" w:bidi="en-US"/>
              </w:rPr>
              <w:t>Personal)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center"/>
            </w:pPr>
            <w:r>
              <w:t>Номер на национален паспорт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SE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Швеция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t>Личен идентификационен номер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SI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t>Словения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Личен идентификационен номер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(EMSO: Enotna Maticna Stevilka Obcana)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</w:pPr>
            <w:r>
              <w:rPr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1306" w:type="dxa"/>
            <w:tcBorders>
              <w:top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center"/>
            </w:pPr>
            <w:r>
              <w:rPr>
                <w:lang w:val="en-US" w:eastAsia="en-US" w:bidi="en-US"/>
              </w:rPr>
              <w:t>SK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left"/>
            </w:pPr>
            <w:r>
              <w:t>Словакия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7884" w:rsidRDefault="00AE1A93">
            <w:pPr>
              <w:pStyle w:val="Other0"/>
              <w:shd w:val="clear" w:color="auto" w:fill="auto"/>
              <w:spacing w:after="80" w:line="240" w:lineRule="auto"/>
              <w:jc w:val="left"/>
            </w:pPr>
            <w:r>
              <w:t>Личен номер</w:t>
            </w:r>
          </w:p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(Rodne ci'slo)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before="80" w:after="0" w:line="240" w:lineRule="auto"/>
              <w:jc w:val="center"/>
            </w:pPr>
            <w:r>
              <w:t>Номер на национален паспорт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</w:pPr>
            <w:r>
              <w:rPr>
                <w:lang w:val="en-US" w:eastAsia="en-US" w:bidi="en-US"/>
              </w:rPr>
              <w:t>CONCAT</w:t>
            </w:r>
          </w:p>
        </w:tc>
      </w:tr>
      <w:tr w:rsidR="003A7884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Всички други държави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jc w:val="left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Номер на национален паспорт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7884" w:rsidRDefault="00AE1A93">
            <w:pPr>
              <w:pStyle w:val="Other0"/>
              <w:shd w:val="clear" w:color="auto" w:fill="auto"/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 w:eastAsia="en-US" w:bidi="en-US"/>
              </w:rPr>
              <w:t>CONCAT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7884" w:rsidRDefault="003A7884">
            <w:pPr>
              <w:rPr>
                <w:sz w:val="10"/>
                <w:szCs w:val="10"/>
              </w:rPr>
            </w:pPr>
          </w:p>
        </w:tc>
      </w:tr>
    </w:tbl>
    <w:p w:rsidR="003A7884" w:rsidRDefault="003A7884">
      <w:pPr>
        <w:spacing w:line="14" w:lineRule="exact"/>
      </w:pPr>
    </w:p>
    <w:sectPr w:rsidR="003A7884">
      <w:headerReference w:type="even" r:id="rId7"/>
      <w:headerReference w:type="default" r:id="rId8"/>
      <w:pgSz w:w="11900" w:h="16840"/>
      <w:pgMar w:top="1479" w:right="799" w:bottom="889" w:left="801" w:header="0" w:footer="3" w:gutter="0"/>
      <w:pgNumType w:start="44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E1A93">
      <w:r>
        <w:separator/>
      </w:r>
    </w:p>
  </w:endnote>
  <w:endnote w:type="continuationSeparator" w:id="0">
    <w:p w:rsidR="00000000" w:rsidRDefault="00AE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884" w:rsidRDefault="003A7884"/>
  </w:footnote>
  <w:footnote w:type="continuationSeparator" w:id="0">
    <w:p w:rsidR="003A7884" w:rsidRDefault="003A78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884" w:rsidRDefault="00AE1A9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520700</wp:posOffset>
              </wp:positionH>
              <wp:positionV relativeFrom="page">
                <wp:posOffset>622300</wp:posOffset>
              </wp:positionV>
              <wp:extent cx="6501130" cy="140335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0113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7884" w:rsidRDefault="00AE1A93">
                          <w:pPr>
                            <w:pStyle w:val="Headerorfooter20"/>
                            <w:shd w:val="clear" w:color="auto" w:fill="auto"/>
                            <w:tabs>
                              <w:tab w:val="right" w:pos="1766"/>
                              <w:tab w:val="right" w:pos="6667"/>
                              <w:tab w:val="right" w:pos="10238"/>
                            </w:tabs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sz w:val="17"/>
                              <w:szCs w:val="17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sz w:val="17"/>
                              <w:szCs w:val="17"/>
                            </w:rPr>
                            <w:t>87/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E1A93">
                            <w:rPr>
                              <w:noProof/>
                              <w:sz w:val="17"/>
                              <w:szCs w:val="17"/>
                            </w:rPr>
                            <w:t>452</w:t>
                          </w:r>
                          <w:r>
                            <w:rPr>
                              <w:sz w:val="17"/>
                              <w:szCs w:val="17"/>
                            </w:rPr>
                            <w:fldChar w:fldCharType="end"/>
                          </w:r>
                          <w:r>
                            <w:rPr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  <w:lang w:val="en-US" w:eastAsia="en-US" w:bidi="en-US"/>
                            </w:rPr>
                            <w:t>BG</w:t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  <w:lang w:val="en-US" w:eastAsia="en-US" w:bidi="en-US"/>
                            </w:rPr>
                            <w:tab/>
                          </w:r>
                          <w:r>
                            <w:rPr>
                              <w:sz w:val="17"/>
                              <w:szCs w:val="17"/>
                            </w:rPr>
                            <w:t>Официален вестник на Европейския съюз</w:t>
                          </w:r>
                          <w:r>
                            <w:rPr>
                              <w:sz w:val="17"/>
                              <w:szCs w:val="17"/>
                            </w:rPr>
                            <w:tab/>
                            <w:t>31.3.2017 г.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3" o:spid="_x0000_s1052" type="#_x0000_t202" style="position:absolute;margin-left:41pt;margin-top:49pt;width:511.9pt;height:11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" filled="f" stroked="f">
              <v:textbox style="mso-fit-shape-to-text:t" inset="0,0,0,0">
                <w:txbxContent>
                  <w:p w:rsidR="003A7884" w:rsidRDefault="00AE1A93">
                    <w:pPr>
                      <w:pStyle w:val="Headerorfooter20"/>
                      <w:shd w:val="clear" w:color="auto" w:fill="auto"/>
                      <w:tabs>
                        <w:tab w:val="right" w:pos="1766"/>
                        <w:tab w:val="right" w:pos="6667"/>
                        <w:tab w:val="right" w:pos="10238"/>
                      </w:tabs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sz w:val="17"/>
                        <w:szCs w:val="17"/>
                      </w:rPr>
                      <w:t>87/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E1A93">
                      <w:rPr>
                        <w:noProof/>
                        <w:sz w:val="17"/>
                        <w:szCs w:val="17"/>
                      </w:rPr>
                      <w:t>452</w:t>
                    </w:r>
                    <w:r>
                      <w:rPr>
                        <w:sz w:val="17"/>
                        <w:szCs w:val="17"/>
                      </w:rPr>
                      <w:fldChar w:fldCharType="end"/>
                    </w:r>
                    <w:r>
                      <w:rPr>
                        <w:sz w:val="17"/>
                        <w:szCs w:val="17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  <w:lang w:val="en-US" w:eastAsia="en-US" w:bidi="en-US"/>
                      </w:rPr>
                      <w:t>BG</w:t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  <w:lang w:val="en-US" w:eastAsia="en-US" w:bidi="en-US"/>
                      </w:rPr>
                      <w:tab/>
                    </w:r>
                    <w:r>
                      <w:rPr>
                        <w:sz w:val="17"/>
                        <w:szCs w:val="17"/>
                      </w:rPr>
                      <w:t>Официален вестник на Европейския съюз</w:t>
                    </w:r>
                    <w:r>
                      <w:rPr>
                        <w:sz w:val="17"/>
                        <w:szCs w:val="17"/>
                      </w:rPr>
                      <w:tab/>
                      <w:t>31.3.2017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520700</wp:posOffset>
              </wp:positionH>
              <wp:positionV relativeFrom="page">
                <wp:posOffset>809625</wp:posOffset>
              </wp:positionV>
              <wp:extent cx="6501130" cy="0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11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="">
          <w:pict>
            <v:shape o:spt="32" o:oned="1" path="m,l21600,21600e" style="position:absolute;margin-left:41.pt;margin-top:63.75pt;width:511.89999999999998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884" w:rsidRDefault="00AE1A93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523875</wp:posOffset>
              </wp:positionH>
              <wp:positionV relativeFrom="page">
                <wp:posOffset>622300</wp:posOffset>
              </wp:positionV>
              <wp:extent cx="6498590" cy="140335"/>
              <wp:effectExtent l="0" t="0" r="0" b="0"/>
              <wp:wrapNone/>
              <wp:docPr id="56" name="Shap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859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7884" w:rsidRDefault="00AE1A93">
                          <w:pPr>
                            <w:pStyle w:val="Headerorfooter20"/>
                            <w:shd w:val="clear" w:color="auto" w:fill="auto"/>
                            <w:tabs>
                              <w:tab w:val="right" w:pos="1766"/>
                              <w:tab w:val="right" w:pos="6667"/>
                              <w:tab w:val="right" w:pos="10234"/>
                            </w:tabs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sz w:val="17"/>
                              <w:szCs w:val="17"/>
                            </w:rPr>
                            <w:t>31.3.2017 г.</w:t>
                          </w:r>
                          <w:r>
                            <w:rPr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  <w:lang w:val="en-US" w:eastAsia="en-US" w:bidi="en-US"/>
                            </w:rPr>
                            <w:t>BG</w:t>
                          </w:r>
                          <w:r>
                            <w:rPr>
                              <w:rFonts w:ascii="Arial" w:eastAsia="Arial" w:hAnsi="Arial" w:cs="Arial"/>
                              <w:sz w:val="13"/>
                              <w:szCs w:val="13"/>
                              <w:lang w:val="en-US" w:eastAsia="en-US" w:bidi="en-US"/>
                            </w:rPr>
                            <w:tab/>
                          </w:r>
                          <w:r>
                            <w:rPr>
                              <w:sz w:val="17"/>
                              <w:szCs w:val="17"/>
                            </w:rPr>
                            <w:t>Официален вестник</w:t>
                          </w:r>
                          <w:r>
                            <w:rPr>
                              <w:sz w:val="17"/>
                              <w:szCs w:val="17"/>
                            </w:rPr>
                            <w:t xml:space="preserve"> на Европейския съюз</w:t>
                          </w:r>
                          <w:r>
                            <w:rPr>
                              <w:sz w:val="17"/>
                              <w:szCs w:val="17"/>
                            </w:rPr>
                            <w:tab/>
                          </w:r>
                          <w:r>
                            <w:rPr>
                              <w:sz w:val="17"/>
                              <w:szCs w:val="17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sz w:val="17"/>
                              <w:szCs w:val="17"/>
                            </w:rPr>
                            <w:t>87/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E1A93">
                            <w:rPr>
                              <w:noProof/>
                              <w:sz w:val="17"/>
                              <w:szCs w:val="17"/>
                            </w:rPr>
                            <w:t>451</w:t>
                          </w:r>
                          <w:r>
                            <w:rPr>
                              <w:sz w:val="17"/>
                              <w:szCs w:val="17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6" o:spid="_x0000_s1053" type="#_x0000_t202" style="position:absolute;margin-left:41.25pt;margin-top:49pt;width:511.7pt;height:11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" filled="f" stroked="f">
              <v:textbox style="mso-fit-shape-to-text:t" inset="0,0,0,0">
                <w:txbxContent>
                  <w:p w:rsidR="003A7884" w:rsidRDefault="00AE1A93">
                    <w:pPr>
                      <w:pStyle w:val="Headerorfooter20"/>
                      <w:shd w:val="clear" w:color="auto" w:fill="auto"/>
                      <w:tabs>
                        <w:tab w:val="right" w:pos="1766"/>
                        <w:tab w:val="right" w:pos="6667"/>
                        <w:tab w:val="right" w:pos="10234"/>
                      </w:tabs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31.3.2017 г.</w:t>
                    </w:r>
                    <w:r>
                      <w:rPr>
                        <w:sz w:val="17"/>
                        <w:szCs w:val="17"/>
                      </w:rPr>
                      <w:tab/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  <w:lang w:val="en-US" w:eastAsia="en-US" w:bidi="en-US"/>
                      </w:rPr>
                      <w:t>BG</w:t>
                    </w:r>
                    <w:r>
                      <w:rPr>
                        <w:rFonts w:ascii="Arial" w:eastAsia="Arial" w:hAnsi="Arial" w:cs="Arial"/>
                        <w:sz w:val="13"/>
                        <w:szCs w:val="13"/>
                        <w:lang w:val="en-US" w:eastAsia="en-US" w:bidi="en-US"/>
                      </w:rPr>
                      <w:tab/>
                    </w:r>
                    <w:r>
                      <w:rPr>
                        <w:sz w:val="17"/>
                        <w:szCs w:val="17"/>
                      </w:rPr>
                      <w:t>Официален вестник</w:t>
                    </w:r>
                    <w:r>
                      <w:rPr>
                        <w:sz w:val="17"/>
                        <w:szCs w:val="17"/>
                      </w:rPr>
                      <w:t xml:space="preserve"> на Европейския съюз</w:t>
                    </w:r>
                    <w:r>
                      <w:rPr>
                        <w:sz w:val="17"/>
                        <w:szCs w:val="17"/>
                      </w:rPr>
                      <w:tab/>
                    </w:r>
                    <w:r>
                      <w:rPr>
                        <w:sz w:val="17"/>
                        <w:szCs w:val="17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sz w:val="17"/>
                        <w:szCs w:val="17"/>
                      </w:rPr>
                      <w:t>87/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E1A93">
                      <w:rPr>
                        <w:noProof/>
                        <w:sz w:val="17"/>
                        <w:szCs w:val="17"/>
                      </w:rPr>
                      <w:t>451</w:t>
                    </w:r>
                    <w:r>
                      <w:rPr>
                        <w:sz w:val="17"/>
                        <w:szCs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523875</wp:posOffset>
              </wp:positionH>
              <wp:positionV relativeFrom="page">
                <wp:posOffset>809625</wp:posOffset>
              </wp:positionV>
              <wp:extent cx="6501130" cy="0"/>
              <wp:effectExtent l="0" t="0" r="0" b="0"/>
              <wp:wrapNone/>
              <wp:docPr id="58" name="Shap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113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="">
          <w:pict>
            <v:shape o:spt="32" o:oned="1" path="m,l21600,21600e" style="position:absolute;margin-left:41.25pt;margin-top:63.75pt;width:511.89999999999998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7D66"/>
    <w:multiLevelType w:val="multilevel"/>
    <w:tmpl w:val="0652FC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A1133"/>
    <w:multiLevelType w:val="multilevel"/>
    <w:tmpl w:val="F0F0D3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4920D1"/>
    <w:multiLevelType w:val="multilevel"/>
    <w:tmpl w:val="56AC73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476E3A"/>
    <w:multiLevelType w:val="multilevel"/>
    <w:tmpl w:val="07243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F37A5F"/>
    <w:multiLevelType w:val="multilevel"/>
    <w:tmpl w:val="C1FC5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236E88"/>
    <w:multiLevelType w:val="multilevel"/>
    <w:tmpl w:val="6E3A29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28176F"/>
    <w:multiLevelType w:val="multilevel"/>
    <w:tmpl w:val="68B0C568"/>
    <w:lvl w:ilvl="0">
      <w:start w:val="1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970C2A"/>
    <w:multiLevelType w:val="multilevel"/>
    <w:tmpl w:val="A3AC8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AE65B6"/>
    <w:multiLevelType w:val="multilevel"/>
    <w:tmpl w:val="700E3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632134"/>
    <w:multiLevelType w:val="multilevel"/>
    <w:tmpl w:val="E10630C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C32128"/>
    <w:multiLevelType w:val="multilevel"/>
    <w:tmpl w:val="789A0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D105F7"/>
    <w:multiLevelType w:val="multilevel"/>
    <w:tmpl w:val="25E643D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3B7694"/>
    <w:multiLevelType w:val="multilevel"/>
    <w:tmpl w:val="BA8626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7D05B3"/>
    <w:multiLevelType w:val="multilevel"/>
    <w:tmpl w:val="B1B0594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7F6873"/>
    <w:multiLevelType w:val="multilevel"/>
    <w:tmpl w:val="7F6A6C9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10"/>
  </w:num>
  <w:num w:numId="10">
    <w:abstractNumId w:val="12"/>
  </w:num>
  <w:num w:numId="11">
    <w:abstractNumId w:val="4"/>
  </w:num>
  <w:num w:numId="12">
    <w:abstractNumId w:val="1"/>
  </w:num>
  <w:num w:numId="13">
    <w:abstractNumId w:val="3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84"/>
    <w:rsid w:val="003A7884"/>
    <w:rsid w:val="00AE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59563-95A0-4FAD-B899-9F39D563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Bodytext3">
    <w:name w:val="Body text (3)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Other">
    <w:name w:val="Other_"/>
    <w:basedOn w:val="DefaultParagraphFont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styleId="BodyText">
    <w:name w:val="Body Text"/>
    <w:basedOn w:val="Normal"/>
    <w:link w:val="BodyTextChar"/>
    <w:qFormat/>
    <w:pPr>
      <w:shd w:val="clear" w:color="auto" w:fill="FFFFFF"/>
      <w:spacing w:after="220" w:line="259" w:lineRule="auto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220" w:line="300" w:lineRule="auto"/>
      <w:ind w:left="240" w:hanging="240"/>
      <w:jc w:val="both"/>
    </w:pPr>
    <w:rPr>
      <w:rFonts w:ascii="Arial" w:eastAsia="Arial" w:hAnsi="Arial" w:cs="Arial"/>
      <w:sz w:val="13"/>
      <w:szCs w:val="13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280" w:line="271" w:lineRule="auto"/>
      <w:jc w:val="center"/>
    </w:pPr>
    <w:rPr>
      <w:rFonts w:ascii="Arial" w:eastAsia="Arial" w:hAnsi="Arial" w:cs="Arial"/>
      <w:b/>
      <w:bCs/>
      <w:sz w:val="16"/>
      <w:szCs w:val="16"/>
    </w:rPr>
  </w:style>
  <w:style w:type="paragraph" w:customStyle="1" w:styleId="Headerorfooter20">
    <w:name w:val="Header or footer (2)"/>
    <w:basedOn w:val="Normal"/>
    <w:link w:val="Headerorfooter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line="276" w:lineRule="auto"/>
      <w:jc w:val="both"/>
    </w:pPr>
    <w:rPr>
      <w:rFonts w:ascii="Arial" w:eastAsia="Arial" w:hAnsi="Arial" w:cs="Arial"/>
      <w:sz w:val="13"/>
      <w:szCs w:val="13"/>
    </w:rPr>
  </w:style>
  <w:style w:type="paragraph" w:customStyle="1" w:styleId="Other0">
    <w:name w:val="Other"/>
    <w:basedOn w:val="Normal"/>
    <w:link w:val="Other"/>
    <w:pPr>
      <w:shd w:val="clear" w:color="auto" w:fill="FFFFFF"/>
      <w:spacing w:after="220" w:line="259" w:lineRule="auto"/>
      <w:jc w:val="both"/>
    </w:pPr>
    <w:rPr>
      <w:rFonts w:ascii="Times New Roman" w:eastAsia="Times New Roman" w:hAnsi="Times New Roman" w:cs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6248</Words>
  <Characters>35615</Characters>
  <Application>Microsoft Office Word</Application>
  <DocSecurity>0</DocSecurity>
  <Lines>296</Lines>
  <Paragraphs>83</Paragraphs>
  <ScaleCrop>false</ScaleCrop>
  <Company/>
  <LinksUpToDate>false</LinksUpToDate>
  <CharactersWithSpaces>41780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ДЕЛЕГИРАН  РЕГЛАМЕНТ  (ЕС)  2017/  590  НА  КОМИСИЯТА  -  от  28  юли  2016  година  -  за  допълнение  на  Регламент  (ЕС)  № 600/  2014  на  Европейския  парламент  и  на  Съвета  по  отношение  на  регулаторните  технически  стандарти  за  докладването  на  сделки  пред  компетентните  органи</dc:title>
  <dc:subject/>
  <dc:creator>Publications Office</dc:creator>
  <cp:keywords/>
  <cp:lastModifiedBy>Stanislav Pavlov</cp:lastModifiedBy>
  <cp:revision>2</cp:revision>
  <dcterms:created xsi:type="dcterms:W3CDTF">2017-08-31T07:30:00Z</dcterms:created>
  <dcterms:modified xsi:type="dcterms:W3CDTF">2017-08-31T07:31:00Z</dcterms:modified>
</cp:coreProperties>
</file>