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E5D" w:rsidRPr="002840FD" w:rsidRDefault="002C6E5D" w:rsidP="002840FD">
      <w:pPr>
        <w:spacing w:after="0" w:line="240" w:lineRule="auto"/>
        <w:ind w:right="-30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2840FD">
        <w:rPr>
          <w:rFonts w:ascii="Times New Roman" w:hAnsi="Times New Roman"/>
          <w:b/>
          <w:bCs/>
          <w:sz w:val="24"/>
          <w:szCs w:val="24"/>
          <w:lang w:eastAsia="bg-BG"/>
        </w:rPr>
        <w:t>С П Р А В К А</w:t>
      </w:r>
    </w:p>
    <w:p w:rsidR="002C6E5D" w:rsidRDefault="002C6E5D" w:rsidP="00321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2840FD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за отразяване на становищата, получени след съгласуване </w:t>
      </w:r>
    </w:p>
    <w:p w:rsidR="002C6E5D" w:rsidRDefault="002C6E5D" w:rsidP="00321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40FD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на проект на </w:t>
      </w:r>
      <w:r w:rsidRPr="003A7584">
        <w:rPr>
          <w:rFonts w:ascii="Times New Roman" w:hAnsi="Times New Roman"/>
          <w:b/>
          <w:sz w:val="24"/>
          <w:szCs w:val="24"/>
        </w:rPr>
        <w:t xml:space="preserve">Наредба за изменение и допълнение на </w:t>
      </w:r>
      <w:r w:rsidRPr="00A55047">
        <w:rPr>
          <w:rFonts w:ascii="Times New Roman" w:hAnsi="Times New Roman"/>
          <w:b/>
          <w:sz w:val="24"/>
          <w:szCs w:val="24"/>
        </w:rPr>
        <w:t>Наредба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5047">
        <w:rPr>
          <w:rFonts w:ascii="Times New Roman" w:hAnsi="Times New Roman"/>
          <w:b/>
          <w:bCs/>
          <w:sz w:val="24"/>
          <w:szCs w:val="24"/>
        </w:rPr>
        <w:t xml:space="preserve">№ 13 от 22.12.2003 г. за търгово предлагане </w:t>
      </w:r>
    </w:p>
    <w:p w:rsidR="002C6E5D" w:rsidRDefault="002C6E5D" w:rsidP="00321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5047">
        <w:rPr>
          <w:rFonts w:ascii="Times New Roman" w:hAnsi="Times New Roman"/>
          <w:b/>
          <w:bCs/>
          <w:sz w:val="24"/>
          <w:szCs w:val="24"/>
        </w:rPr>
        <w:t>за закупуване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5047">
        <w:rPr>
          <w:rFonts w:ascii="Times New Roman" w:hAnsi="Times New Roman"/>
          <w:b/>
          <w:bCs/>
          <w:sz w:val="24"/>
          <w:szCs w:val="24"/>
        </w:rPr>
        <w:t>и замяна на акции</w:t>
      </w:r>
    </w:p>
    <w:p w:rsidR="002C6E5D" w:rsidRDefault="002C6E5D" w:rsidP="00321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8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7"/>
        <w:gridCol w:w="5598"/>
        <w:gridCol w:w="1985"/>
        <w:gridCol w:w="6165"/>
      </w:tblGrid>
      <w:tr w:rsidR="002C6E5D" w:rsidRPr="00B63B7F" w:rsidTr="002801B3">
        <w:trPr>
          <w:trHeight w:val="310"/>
        </w:trPr>
        <w:tc>
          <w:tcPr>
            <w:tcW w:w="2057" w:type="dxa"/>
            <w:shd w:val="pct25" w:color="000000" w:fill="FFFFFF"/>
            <w:vAlign w:val="center"/>
          </w:tcPr>
          <w:p w:rsidR="002C6E5D" w:rsidRPr="002840FD" w:rsidRDefault="002C6E5D" w:rsidP="002840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2840FD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Подател </w:t>
            </w:r>
          </w:p>
        </w:tc>
        <w:tc>
          <w:tcPr>
            <w:tcW w:w="5598" w:type="dxa"/>
            <w:shd w:val="pct25" w:color="000000" w:fill="FFFFFF"/>
            <w:vAlign w:val="center"/>
          </w:tcPr>
          <w:p w:rsidR="002C6E5D" w:rsidRPr="003B34E5" w:rsidRDefault="002C6E5D" w:rsidP="000379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3B34E5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Предложение</w:t>
            </w:r>
          </w:p>
        </w:tc>
        <w:tc>
          <w:tcPr>
            <w:tcW w:w="1985" w:type="dxa"/>
            <w:shd w:val="pct25" w:color="000000" w:fill="FFFFFF"/>
            <w:vAlign w:val="center"/>
          </w:tcPr>
          <w:p w:rsidR="002C6E5D" w:rsidRPr="002840FD" w:rsidRDefault="002C6E5D" w:rsidP="002840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2840FD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Становище по предложението</w:t>
            </w:r>
          </w:p>
        </w:tc>
        <w:tc>
          <w:tcPr>
            <w:tcW w:w="6165" w:type="dxa"/>
            <w:shd w:val="pct25" w:color="000000" w:fill="FFFFFF"/>
            <w:vAlign w:val="center"/>
          </w:tcPr>
          <w:p w:rsidR="002C6E5D" w:rsidRPr="002840FD" w:rsidRDefault="002C6E5D" w:rsidP="002840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2840FD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Мотиви</w:t>
            </w:r>
          </w:p>
        </w:tc>
      </w:tr>
      <w:tr w:rsidR="002C6E5D" w:rsidRPr="00B63B7F" w:rsidTr="002801B3">
        <w:trPr>
          <w:trHeight w:val="310"/>
        </w:trPr>
        <w:tc>
          <w:tcPr>
            <w:tcW w:w="2057" w:type="dxa"/>
            <w:vMerge w:val="restart"/>
          </w:tcPr>
          <w:p w:rsidR="002C6E5D" w:rsidRPr="002840FD" w:rsidRDefault="002C6E5D" w:rsidP="00C91F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</w:pPr>
            <w:r w:rsidRPr="00405DAB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БАЛИП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 xml:space="preserve"> /вх. № 23-00-56/26.06.2017 г./</w:t>
            </w:r>
          </w:p>
        </w:tc>
        <w:tc>
          <w:tcPr>
            <w:tcW w:w="5598" w:type="dxa"/>
            <w:vAlign w:val="center"/>
          </w:tcPr>
          <w:p w:rsidR="002C6E5D" w:rsidRPr="00B63B7F" w:rsidRDefault="002C6E5D" w:rsidP="00D1019B">
            <w:pPr>
              <w:pStyle w:val="BodyText"/>
              <w:shd w:val="clear" w:color="auto" w:fill="auto"/>
              <w:spacing w:after="0" w:line="240" w:lineRule="auto"/>
              <w:ind w:firstLine="760"/>
              <w:rPr>
                <w:rStyle w:val="BodyTextChar1"/>
                <w:rFonts w:ascii="Times New Roman" w:hAnsi="Times New Roman" w:cs="Times New Roman"/>
                <w:sz w:val="24"/>
                <w:szCs w:val="24"/>
              </w:rPr>
            </w:pPr>
            <w:r w:rsidRPr="00B63B7F">
              <w:rPr>
                <w:rStyle w:val="BodyTextChar1"/>
                <w:rFonts w:ascii="Times New Roman" w:hAnsi="Times New Roman" w:cs="Times New Roman"/>
                <w:sz w:val="24"/>
                <w:szCs w:val="24"/>
              </w:rPr>
              <w:t>Следва да се отбележи, че целта на публикуването на съобщение, съгл. чл. 36, ал. 1,т. 1 от Наредба № 13, е да се анонсира корпоративното събитие, а не да се запознае обществеността с всички детайли около търговото предложение. Доколкото публикуването на търгово предложение е действие, целящо равностойно третиране на акционерите, предоставяйки им достатъчно време и информация за вземане на информирано инвестиционно решение, то съобщението за търгово предлагане следва да е по-кратко известие за предстоящото събитие. Поради тези причини, с писмо изх. № 32 от 23.05.2017 г. по описа на БАЛИП, са предложили следната редакция на чл. 151, ал. 4 на ЗППЦК:</w:t>
            </w:r>
          </w:p>
          <w:p w:rsidR="002C6E5D" w:rsidRPr="00B63B7F" w:rsidRDefault="002C6E5D" w:rsidP="00D1019B">
            <w:pPr>
              <w:pStyle w:val="BodyText"/>
              <w:shd w:val="clear" w:color="auto" w:fill="auto"/>
              <w:spacing w:after="0" w:line="240" w:lineRule="auto"/>
              <w:ind w:firstLine="760"/>
              <w:rPr>
                <w:rStyle w:val="BodyTextChar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B7F">
              <w:rPr>
                <w:rStyle w:val="BodyTextChar1"/>
                <w:rFonts w:ascii="Times New Roman" w:hAnsi="Times New Roman" w:cs="Times New Roman"/>
                <w:sz w:val="24"/>
                <w:szCs w:val="24"/>
              </w:rPr>
              <w:t xml:space="preserve">„Членовете на управителния орган на дружеството - обект на търгово предложение, предоставят търговото предложение на представителите на своите служители или на служителите, когато няма такива представители и до края на работния ден оповестяват информацията за постъпилото предложение и съществените условия по него по реда на чл. 100т. Съществени условия по смисъла на предходното изречение са: информация относно търговия предложител; предлаганата цена за акция, издадена от дружеството - обект на търгово предложение, и/или съотношението й на замяна с </w:t>
            </w:r>
            <w:r w:rsidRPr="00B63B7F">
              <w:rPr>
                <w:rStyle w:val="BodyTextChar1"/>
                <w:rFonts w:ascii="Times New Roman" w:hAnsi="Times New Roman" w:cs="Times New Roman"/>
                <w:sz w:val="24"/>
                <w:szCs w:val="24"/>
              </w:rPr>
              <w:lastRenderedPageBreak/>
              <w:t>акции по чл. 149, ал. 1, т. 1; емисионната стойност и сведения за правата по тези акции; акциите, съответно класа акции, за които се отнася търговото предложение; броя на акциите с право на глас, които предложителят не притежава и е длъжен да поиска или иска да придобие; срокът за приемане на търговото предложение; резюме на информацията за бъдещите намерения и стратегическите планове на предложителя относно дружеството - обект на търговото предложение и резюме на обосновката на цената."</w:t>
            </w:r>
          </w:p>
          <w:p w:rsidR="002C6E5D" w:rsidRPr="00B63B7F" w:rsidRDefault="002C6E5D" w:rsidP="000379C7">
            <w:pPr>
              <w:pStyle w:val="Heading20"/>
              <w:keepNext/>
              <w:keepLines/>
              <w:shd w:val="clear" w:color="auto" w:fill="auto"/>
              <w:spacing w:line="240" w:lineRule="auto"/>
              <w:ind w:left="0"/>
              <w:rPr>
                <w:rStyle w:val="Heading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6E5D" w:rsidRPr="00B63B7F" w:rsidRDefault="002C6E5D" w:rsidP="000379C7">
            <w:pPr>
              <w:pStyle w:val="Heading20"/>
              <w:keepNext/>
              <w:keepLines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B7F">
              <w:rPr>
                <w:rStyle w:val="Heading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bookmarkStart w:id="0" w:name="bookmark11"/>
            <w:r w:rsidRPr="00B63B7F">
              <w:rPr>
                <w:rStyle w:val="Heading2"/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Предложения във връзка с информацията за съобщение на търгово предлагане</w:t>
            </w:r>
            <w:bookmarkEnd w:id="0"/>
          </w:p>
          <w:p w:rsidR="002C6E5D" w:rsidRPr="00B63B7F" w:rsidRDefault="002C6E5D" w:rsidP="000379C7">
            <w:pPr>
              <w:pStyle w:val="BodyText"/>
              <w:shd w:val="clear" w:color="auto" w:fill="auto"/>
              <w:tabs>
                <w:tab w:val="left" w:pos="11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B7F">
              <w:rPr>
                <w:rStyle w:val="BodyTextChar1"/>
                <w:rFonts w:ascii="Times New Roman" w:hAnsi="Times New Roman" w:cs="Times New Roman"/>
                <w:sz w:val="24"/>
                <w:szCs w:val="24"/>
              </w:rPr>
              <w:t xml:space="preserve">В случай че се възприеме предложената от асоциацията редакция на чл. 151, ал. 4 от ЗППЦК, </w:t>
            </w:r>
            <w:r w:rsidRPr="00B63B7F">
              <w:rPr>
                <w:rStyle w:val="BodyTextChar1"/>
                <w:rFonts w:ascii="Times New Roman" w:hAnsi="Times New Roman" w:cs="Times New Roman"/>
                <w:b/>
                <w:bCs/>
                <w:sz w:val="24"/>
                <w:szCs w:val="24"/>
              </w:rPr>
              <w:t>то чл. 36, ал. 3 от Наредба 13 да се измени така:</w:t>
            </w:r>
          </w:p>
          <w:p w:rsidR="002C6E5D" w:rsidRPr="00B63B7F" w:rsidRDefault="002C6E5D" w:rsidP="000379C7">
            <w:pPr>
              <w:pStyle w:val="BodyText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B7F">
              <w:rPr>
                <w:rStyle w:val="BodyTextChar1"/>
                <w:rFonts w:ascii="Times New Roman" w:hAnsi="Times New Roman" w:cs="Times New Roman"/>
                <w:sz w:val="24"/>
                <w:szCs w:val="24"/>
              </w:rPr>
              <w:t xml:space="preserve">„(3) Данните по </w:t>
            </w:r>
            <w:r w:rsidRPr="00B63B7F">
              <w:rPr>
                <w:rStyle w:val="BodyTextChar1"/>
                <w:rFonts w:ascii="Times New Roman" w:hAnsi="Times New Roman" w:cs="Times New Roman"/>
                <w:strike/>
                <w:sz w:val="24"/>
                <w:szCs w:val="24"/>
              </w:rPr>
              <w:t>чл. 24, ал. 1, т. 8, 9 и 17 и по чл. 27, както и резюме на обосновката по чл. 24, ал. 1, т. 5 са част от съществените условия, съгласно</w:t>
            </w:r>
            <w:r w:rsidRPr="00B63B7F">
              <w:rPr>
                <w:rStyle w:val="BodyTextChar1"/>
                <w:rFonts w:ascii="Times New Roman" w:hAnsi="Times New Roman" w:cs="Times New Roman"/>
                <w:sz w:val="24"/>
                <w:szCs w:val="24"/>
              </w:rPr>
              <w:t xml:space="preserve"> чл. 151, ал. 4 ЗППЦК </w:t>
            </w:r>
            <w:r w:rsidRPr="00B63B7F">
              <w:rPr>
                <w:rStyle w:val="BodyTextChar1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са съществени условия</w:t>
            </w:r>
            <w:r w:rsidRPr="00B63B7F">
              <w:rPr>
                <w:rStyle w:val="BodyTextChar1"/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.</w:t>
            </w:r>
            <w:r w:rsidRPr="00B63B7F">
              <w:rPr>
                <w:rStyle w:val="BodyTextChar1"/>
                <w:rFonts w:ascii="Times New Roman" w:hAnsi="Times New Roman" w:cs="Times New Roman"/>
                <w:sz w:val="24"/>
                <w:szCs w:val="24"/>
              </w:rPr>
              <w:t xml:space="preserve"> Предложителят е длъжен да посочи в съобщението за търговото предложение по ал. 1, т. 1 мястото, където търговото предложение е достъпно за акционерите.".</w:t>
            </w:r>
          </w:p>
          <w:p w:rsidR="002C6E5D" w:rsidRPr="00B63B7F" w:rsidRDefault="002C6E5D" w:rsidP="000379C7">
            <w:pPr>
              <w:pStyle w:val="BodyText"/>
              <w:shd w:val="clear" w:color="auto" w:fill="auto"/>
              <w:tabs>
                <w:tab w:val="left" w:pos="1118"/>
              </w:tabs>
              <w:spacing w:after="0" w:line="240" w:lineRule="auto"/>
              <w:rPr>
                <w:rStyle w:val="BodyTextChar1"/>
                <w:rFonts w:ascii="Times New Roman" w:hAnsi="Times New Roman" w:cs="Times New Roman"/>
                <w:sz w:val="24"/>
                <w:szCs w:val="24"/>
              </w:rPr>
            </w:pPr>
          </w:p>
          <w:p w:rsidR="002C6E5D" w:rsidRPr="00B63B7F" w:rsidRDefault="002C6E5D" w:rsidP="000379C7">
            <w:pPr>
              <w:pStyle w:val="BodyText"/>
              <w:shd w:val="clear" w:color="auto" w:fill="auto"/>
              <w:tabs>
                <w:tab w:val="left" w:pos="1118"/>
              </w:tabs>
              <w:spacing w:after="0" w:line="240" w:lineRule="auto"/>
              <w:rPr>
                <w:rStyle w:val="BodyTextChar1"/>
                <w:rFonts w:ascii="Times New Roman" w:hAnsi="Times New Roman" w:cs="Times New Roman"/>
                <w:sz w:val="24"/>
                <w:szCs w:val="24"/>
              </w:rPr>
            </w:pPr>
            <w:r w:rsidRPr="00B63B7F">
              <w:rPr>
                <w:rStyle w:val="BodyTextChar1"/>
                <w:rFonts w:ascii="Times New Roman" w:hAnsi="Times New Roman" w:cs="Times New Roman"/>
                <w:sz w:val="24"/>
                <w:szCs w:val="24"/>
              </w:rPr>
              <w:t xml:space="preserve">В случай че категорично се отхвърли предложението на асоциацията по чл. 151, ал. 4 от ЗППЦК, респективно чл. 36, ал. 3 от Наредба №13, то отправят молба, да се намали предвиденият обем на информация за оповестяване на търгово предложение чрез съобщение. Предлагате в този случай, следната редакция на чл. 36, ал. 3 от Наредба </w:t>
            </w:r>
            <w:r w:rsidRPr="00B63B7F">
              <w:rPr>
                <w:rStyle w:val="BodyTextChar1"/>
                <w:rFonts w:ascii="Times New Roman" w:hAnsi="Times New Roman" w:cs="Times New Roman"/>
                <w:sz w:val="24"/>
                <w:szCs w:val="24"/>
              </w:rPr>
              <w:lastRenderedPageBreak/>
              <w:t>№ 13:</w:t>
            </w:r>
          </w:p>
          <w:p w:rsidR="002C6E5D" w:rsidRPr="003B34E5" w:rsidRDefault="002C6E5D" w:rsidP="000379C7">
            <w:pPr>
              <w:pStyle w:val="BodyText"/>
              <w:shd w:val="clear" w:color="auto" w:fill="auto"/>
              <w:tabs>
                <w:tab w:val="left" w:pos="111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B63B7F">
              <w:rPr>
                <w:rStyle w:val="BodyTextChar1"/>
                <w:rFonts w:ascii="Times New Roman" w:hAnsi="Times New Roman" w:cs="Times New Roman"/>
                <w:sz w:val="24"/>
                <w:szCs w:val="24"/>
              </w:rPr>
              <w:t xml:space="preserve">„Данните по чл. 24, ал. 1, т. </w:t>
            </w:r>
            <w:r w:rsidRPr="00B63B7F">
              <w:rPr>
                <w:rStyle w:val="BodyTextChar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7, </w:t>
            </w:r>
            <w:r w:rsidRPr="00B63B7F">
              <w:rPr>
                <w:rStyle w:val="BodyTextChar1"/>
                <w:rFonts w:ascii="Times New Roman" w:hAnsi="Times New Roman" w:cs="Times New Roman"/>
                <w:sz w:val="24"/>
                <w:szCs w:val="24"/>
              </w:rPr>
              <w:t xml:space="preserve">8, </w:t>
            </w:r>
            <w:r w:rsidRPr="00B63B7F">
              <w:rPr>
                <w:rStyle w:val="BodyTextChar1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резюме по </w:t>
            </w:r>
            <w:r w:rsidRPr="00B63B7F">
              <w:rPr>
                <w:rStyle w:val="BodyTextChar1"/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Pr="00B63B7F">
              <w:rPr>
                <w:rStyle w:val="BodyTextChar1"/>
                <w:rFonts w:ascii="Times New Roman" w:hAnsi="Times New Roman" w:cs="Times New Roman"/>
                <w:sz w:val="24"/>
                <w:szCs w:val="24"/>
              </w:rPr>
              <w:t>. 9 и 17 и по чл. 27, както и резюме на обосновката по чл. 24, ал. 1, т. 5 са част от съществените условия, съгласно чл. 151, ал. 4 ЗППЦК. Предложителят е длъжен да посочи в съобщението за търговото предложение по ал. 1, т. 1 мястото, където търговото предложение е достъпно за акционерите.".</w:t>
            </w:r>
          </w:p>
        </w:tc>
        <w:tc>
          <w:tcPr>
            <w:tcW w:w="1985" w:type="dxa"/>
            <w:vAlign w:val="center"/>
          </w:tcPr>
          <w:p w:rsidR="002C6E5D" w:rsidRPr="002840FD" w:rsidRDefault="002C6E5D" w:rsidP="002840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lastRenderedPageBreak/>
              <w:t>Приема се по принцип.</w:t>
            </w:r>
          </w:p>
        </w:tc>
        <w:tc>
          <w:tcPr>
            <w:tcW w:w="6165" w:type="dxa"/>
            <w:vAlign w:val="center"/>
          </w:tcPr>
          <w:p w:rsidR="002C6E5D" w:rsidRPr="00882661" w:rsidRDefault="006B5BAC" w:rsidP="002840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Предложена е редакция на ал. 3 на чл. 36, с която изре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чение първо на ал. 3 да се заличи</w:t>
            </w:r>
            <w:r w:rsidR="002C6E5D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</w:tr>
      <w:tr w:rsidR="002C6E5D" w:rsidRPr="00B63B7F" w:rsidTr="002801B3">
        <w:trPr>
          <w:trHeight w:val="310"/>
        </w:trPr>
        <w:tc>
          <w:tcPr>
            <w:tcW w:w="2057" w:type="dxa"/>
            <w:vMerge/>
          </w:tcPr>
          <w:p w:rsidR="002C6E5D" w:rsidRPr="002840FD" w:rsidRDefault="002C6E5D" w:rsidP="002840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598" w:type="dxa"/>
            <w:vAlign w:val="center"/>
          </w:tcPr>
          <w:p w:rsidR="002C6E5D" w:rsidRPr="00B63B7F" w:rsidRDefault="002C6E5D" w:rsidP="000379C7">
            <w:pPr>
              <w:pStyle w:val="Heading20"/>
              <w:keepNext/>
              <w:keepLines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3B7F">
              <w:rPr>
                <w:rStyle w:val="Heading2"/>
                <w:rFonts w:ascii="Times New Roman" w:hAnsi="Times New Roman" w:cs="Times New Roman"/>
                <w:b/>
                <w:bCs/>
                <w:sz w:val="24"/>
                <w:szCs w:val="24"/>
              </w:rPr>
              <w:t>2. Предложения във връзка с предвидените срокове</w:t>
            </w:r>
          </w:p>
          <w:p w:rsidR="002C6E5D" w:rsidRPr="00B63B7F" w:rsidRDefault="002C6E5D" w:rsidP="000379C7">
            <w:pPr>
              <w:pStyle w:val="BodyText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B7F">
              <w:rPr>
                <w:rStyle w:val="BodyTextChar1"/>
                <w:rFonts w:ascii="Times New Roman" w:hAnsi="Times New Roman" w:cs="Times New Roman"/>
                <w:sz w:val="24"/>
                <w:szCs w:val="24"/>
              </w:rPr>
              <w:t>В следствие постигнатия консенсус за определяне на сроковете, отправят искане най-малко сроковете, които попадат в рамките на 5 дни да бъдат определени в работни дни. По този начин ще се обезпечи надлежното изпълнение на предвидените задължения. С оглед изложеното, предлагат следните редакции на разпоредби от Наредба № 13:</w:t>
            </w:r>
          </w:p>
          <w:p w:rsidR="002C6E5D" w:rsidRPr="00B63B7F" w:rsidRDefault="002C6E5D" w:rsidP="000379C7">
            <w:pPr>
              <w:pStyle w:val="BodyText"/>
              <w:shd w:val="clear" w:color="auto" w:fill="auto"/>
              <w:tabs>
                <w:tab w:val="left" w:pos="1101"/>
              </w:tabs>
              <w:spacing w:after="0" w:line="240" w:lineRule="auto"/>
              <w:rPr>
                <w:rStyle w:val="BodyTextChar1"/>
                <w:rFonts w:ascii="Times New Roman" w:hAnsi="Times New Roman" w:cs="Times New Roman"/>
                <w:sz w:val="24"/>
                <w:szCs w:val="24"/>
              </w:rPr>
            </w:pPr>
            <w:r w:rsidRPr="00B63B7F">
              <w:rPr>
                <w:rStyle w:val="BodyTextChar1"/>
                <w:rFonts w:ascii="Times New Roman" w:hAnsi="Times New Roman" w:cs="Times New Roman"/>
                <w:sz w:val="24"/>
                <w:szCs w:val="24"/>
              </w:rPr>
              <w:t xml:space="preserve">„Чл. 36 (1) В </w:t>
            </w:r>
            <w:r w:rsidRPr="00B63B7F">
              <w:rPr>
                <w:rStyle w:val="BodyTextChar1"/>
                <w:rFonts w:ascii="Times New Roman" w:hAnsi="Times New Roman" w:cs="Times New Roman"/>
                <w:strike/>
                <w:sz w:val="24"/>
                <w:szCs w:val="24"/>
              </w:rPr>
              <w:t>З-</w:t>
            </w:r>
            <w:proofErr w:type="spellStart"/>
            <w:r w:rsidRPr="00B63B7F">
              <w:rPr>
                <w:rStyle w:val="BodyTextChar1"/>
                <w:rFonts w:ascii="Times New Roman" w:hAnsi="Times New Roman" w:cs="Times New Roman"/>
                <w:strike/>
                <w:sz w:val="24"/>
                <w:szCs w:val="24"/>
              </w:rPr>
              <w:t>дневон</w:t>
            </w:r>
            <w:proofErr w:type="spellEnd"/>
            <w:r w:rsidRPr="00B63B7F">
              <w:rPr>
                <w:rStyle w:val="BodyTextChar1"/>
                <w:rFonts w:ascii="Times New Roman" w:hAnsi="Times New Roman" w:cs="Times New Roman"/>
                <w:sz w:val="24"/>
                <w:szCs w:val="24"/>
              </w:rPr>
              <w:t xml:space="preserve"> срок </w:t>
            </w:r>
            <w:r w:rsidRPr="00B63B7F">
              <w:rPr>
                <w:rStyle w:val="BodyTextChar1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от три работни дни, считано от</w:t>
            </w:r>
            <w:r w:rsidRPr="00B63B7F">
              <w:rPr>
                <w:rStyle w:val="BodyTextChar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3B7F">
              <w:rPr>
                <w:rStyle w:val="BodyTextChar1"/>
                <w:rFonts w:ascii="Times New Roman" w:hAnsi="Times New Roman" w:cs="Times New Roman"/>
                <w:strike/>
                <w:sz w:val="24"/>
                <w:szCs w:val="24"/>
              </w:rPr>
              <w:t xml:space="preserve">след </w:t>
            </w:r>
            <w:r w:rsidRPr="00B63B7F">
              <w:rPr>
                <w:rStyle w:val="BodyTextChar1"/>
                <w:rFonts w:ascii="Times New Roman" w:hAnsi="Times New Roman" w:cs="Times New Roman"/>
                <w:sz w:val="24"/>
                <w:szCs w:val="24"/>
              </w:rPr>
              <w:t>изтичането на срока по чл. 151, ал. 1, съответно чл. 153, ал. 1 ЗППЦК, предложителят: ..." ;</w:t>
            </w:r>
          </w:p>
          <w:p w:rsidR="002C6E5D" w:rsidRPr="00B63B7F" w:rsidRDefault="002C6E5D" w:rsidP="000379C7">
            <w:pPr>
              <w:pStyle w:val="BodyText"/>
              <w:shd w:val="clear" w:color="auto" w:fill="auto"/>
              <w:tabs>
                <w:tab w:val="left" w:pos="11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E5D" w:rsidRPr="003B34E5" w:rsidRDefault="002C6E5D" w:rsidP="000379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B63B7F">
              <w:rPr>
                <w:rStyle w:val="BodyTextChar1"/>
                <w:rFonts w:ascii="Times New Roman" w:hAnsi="Times New Roman" w:cs="Times New Roman"/>
                <w:sz w:val="24"/>
                <w:szCs w:val="24"/>
              </w:rPr>
              <w:t xml:space="preserve">„чл. 44г В </w:t>
            </w:r>
            <w:r w:rsidRPr="00B63B7F">
              <w:rPr>
                <w:rStyle w:val="BodyTextChar1"/>
                <w:rFonts w:ascii="Times New Roman" w:hAnsi="Times New Roman" w:cs="Times New Roman"/>
                <w:strike/>
                <w:sz w:val="24"/>
                <w:szCs w:val="24"/>
              </w:rPr>
              <w:t>тридневен</w:t>
            </w:r>
            <w:r w:rsidRPr="00B63B7F">
              <w:rPr>
                <w:rStyle w:val="BodyTextChar1"/>
                <w:rFonts w:ascii="Times New Roman" w:hAnsi="Times New Roman" w:cs="Times New Roman"/>
                <w:sz w:val="24"/>
                <w:szCs w:val="24"/>
              </w:rPr>
              <w:t xml:space="preserve"> срок </w:t>
            </w:r>
            <w:r w:rsidRPr="00B63B7F">
              <w:rPr>
                <w:rStyle w:val="BodyTextChar1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от три работни дни, считано</w:t>
            </w:r>
            <w:r w:rsidRPr="00B63B7F">
              <w:rPr>
                <w:rStyle w:val="BodyTextChar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3B7F">
              <w:rPr>
                <w:rStyle w:val="BodyTextChar1"/>
                <w:rFonts w:ascii="Times New Roman" w:hAnsi="Times New Roman" w:cs="Times New Roman"/>
                <w:sz w:val="24"/>
                <w:szCs w:val="24"/>
              </w:rPr>
              <w:t>от издаване на одобрението на предложението за изкупуване по чл. 157а от ЗППЦК предложителят представя на дружеството и на регулирания пазар, на който акциите са допуснати до търговия, предложението и го публикува в централния ежедневник по чл. 24, ал. 1, т. 15."</w:t>
            </w:r>
          </w:p>
        </w:tc>
        <w:tc>
          <w:tcPr>
            <w:tcW w:w="1985" w:type="dxa"/>
            <w:vAlign w:val="center"/>
          </w:tcPr>
          <w:p w:rsidR="002C6E5D" w:rsidRDefault="002C6E5D" w:rsidP="002840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Приема се.</w:t>
            </w:r>
          </w:p>
          <w:p w:rsidR="002C6E5D" w:rsidRDefault="002C6E5D" w:rsidP="002840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  <w:p w:rsidR="002C6E5D" w:rsidRDefault="002C6E5D" w:rsidP="002840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  <w:p w:rsidR="002C6E5D" w:rsidRDefault="002C6E5D" w:rsidP="002840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  <w:p w:rsidR="002C6E5D" w:rsidRDefault="002C6E5D" w:rsidP="002840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  <w:p w:rsidR="002C6E5D" w:rsidRDefault="002C6E5D" w:rsidP="002840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  <w:p w:rsidR="002C6E5D" w:rsidRDefault="002C6E5D" w:rsidP="002840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  <w:p w:rsidR="002C6E5D" w:rsidRDefault="002C6E5D" w:rsidP="002840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  <w:p w:rsidR="002C6E5D" w:rsidRDefault="002C6E5D" w:rsidP="002840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  <w:p w:rsidR="002C6E5D" w:rsidRDefault="002C6E5D" w:rsidP="002840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  <w:p w:rsidR="002C6E5D" w:rsidRDefault="002C6E5D" w:rsidP="002840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  <w:p w:rsidR="002C6E5D" w:rsidRDefault="002C6E5D" w:rsidP="002840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  <w:p w:rsidR="002C6E5D" w:rsidRDefault="002C6E5D" w:rsidP="002840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  <w:p w:rsidR="002C6E5D" w:rsidRPr="002840FD" w:rsidRDefault="002C6E5D" w:rsidP="002840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Приема се.</w:t>
            </w:r>
          </w:p>
        </w:tc>
        <w:tc>
          <w:tcPr>
            <w:tcW w:w="6165" w:type="dxa"/>
            <w:vAlign w:val="center"/>
          </w:tcPr>
          <w:p w:rsidR="002C6E5D" w:rsidRPr="002840FD" w:rsidRDefault="002C6E5D" w:rsidP="002840FD">
            <w:pPr>
              <w:spacing w:after="0" w:line="240" w:lineRule="auto"/>
              <w:rPr>
                <w:rFonts w:ascii="MS Sans Serif" w:hAnsi="MS Sans Serif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2C6E5D" w:rsidRDefault="002C6E5D"/>
    <w:sectPr w:rsidR="002C6E5D" w:rsidSect="006B5BAC">
      <w:footerReference w:type="default" r:id="rId7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15B" w:rsidRDefault="00FA515B" w:rsidP="005D3848">
      <w:pPr>
        <w:spacing w:after="0" w:line="240" w:lineRule="auto"/>
      </w:pPr>
      <w:r>
        <w:separator/>
      </w:r>
    </w:p>
  </w:endnote>
  <w:endnote w:type="continuationSeparator" w:id="0">
    <w:p w:rsidR="00FA515B" w:rsidRDefault="00FA515B" w:rsidP="005D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26727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18"/>
        <w:szCs w:val="18"/>
      </w:rPr>
    </w:sdtEndPr>
    <w:sdtContent>
      <w:p w:rsidR="005D3848" w:rsidRPr="005D3848" w:rsidRDefault="005D3848">
        <w:pPr>
          <w:pStyle w:val="Footer"/>
          <w:jc w:val="right"/>
          <w:rPr>
            <w:rFonts w:ascii="Times New Roman" w:hAnsi="Times New Roman"/>
            <w:sz w:val="18"/>
            <w:szCs w:val="18"/>
          </w:rPr>
        </w:pPr>
        <w:r w:rsidRPr="005D3848">
          <w:rPr>
            <w:rFonts w:ascii="Times New Roman" w:hAnsi="Times New Roman"/>
            <w:sz w:val="18"/>
            <w:szCs w:val="18"/>
          </w:rPr>
          <w:fldChar w:fldCharType="begin"/>
        </w:r>
        <w:r w:rsidRPr="005D3848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5D3848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3</w:t>
        </w:r>
        <w:r w:rsidRPr="005D3848">
          <w:rPr>
            <w:rFonts w:ascii="Times New Roman" w:hAnsi="Times New Roman"/>
            <w:noProof/>
            <w:sz w:val="18"/>
            <w:szCs w:val="18"/>
          </w:rPr>
          <w:fldChar w:fldCharType="end"/>
        </w:r>
      </w:p>
    </w:sdtContent>
  </w:sdt>
  <w:p w:rsidR="005D3848" w:rsidRDefault="005D3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15B" w:rsidRDefault="00FA515B" w:rsidP="005D3848">
      <w:pPr>
        <w:spacing w:after="0" w:line="240" w:lineRule="auto"/>
      </w:pPr>
      <w:r>
        <w:separator/>
      </w:r>
    </w:p>
  </w:footnote>
  <w:footnote w:type="continuationSeparator" w:id="0">
    <w:p w:rsidR="00FA515B" w:rsidRDefault="00FA515B" w:rsidP="005D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68FC5063"/>
    <w:multiLevelType w:val="hybridMultilevel"/>
    <w:tmpl w:val="D4D0E11E"/>
    <w:lvl w:ilvl="0" w:tplc="EE78F4F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12"/>
    <w:rsid w:val="00027512"/>
    <w:rsid w:val="000379C7"/>
    <w:rsid w:val="000559AB"/>
    <w:rsid w:val="00062F12"/>
    <w:rsid w:val="001A289F"/>
    <w:rsid w:val="001B59CC"/>
    <w:rsid w:val="001E25B5"/>
    <w:rsid w:val="002512F4"/>
    <w:rsid w:val="00276A6B"/>
    <w:rsid w:val="002801B3"/>
    <w:rsid w:val="002840FD"/>
    <w:rsid w:val="002C6E5D"/>
    <w:rsid w:val="00321B02"/>
    <w:rsid w:val="00342F89"/>
    <w:rsid w:val="003A7584"/>
    <w:rsid w:val="003B34E5"/>
    <w:rsid w:val="00405DAB"/>
    <w:rsid w:val="00516CC2"/>
    <w:rsid w:val="00562498"/>
    <w:rsid w:val="00580F65"/>
    <w:rsid w:val="005D3848"/>
    <w:rsid w:val="005F5E09"/>
    <w:rsid w:val="006B5BAC"/>
    <w:rsid w:val="00724E23"/>
    <w:rsid w:val="00765064"/>
    <w:rsid w:val="0079523D"/>
    <w:rsid w:val="00882661"/>
    <w:rsid w:val="00A55047"/>
    <w:rsid w:val="00A6155C"/>
    <w:rsid w:val="00B56A52"/>
    <w:rsid w:val="00B63B7F"/>
    <w:rsid w:val="00BC2187"/>
    <w:rsid w:val="00C438A2"/>
    <w:rsid w:val="00C91FBF"/>
    <w:rsid w:val="00CA53EA"/>
    <w:rsid w:val="00D1019B"/>
    <w:rsid w:val="00D333DC"/>
    <w:rsid w:val="00D445E1"/>
    <w:rsid w:val="00D80981"/>
    <w:rsid w:val="00DB4AF9"/>
    <w:rsid w:val="00DB4FCF"/>
    <w:rsid w:val="00E83FDE"/>
    <w:rsid w:val="00EB3151"/>
    <w:rsid w:val="00F11FE6"/>
    <w:rsid w:val="00F15C76"/>
    <w:rsid w:val="00F41F04"/>
    <w:rsid w:val="00FA515B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AA60DC-5B94-446F-BB3A-FA31B562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9A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basedOn w:val="DefaultParagraphFont"/>
    <w:link w:val="BodyText"/>
    <w:uiPriority w:val="99"/>
    <w:locked/>
    <w:rsid w:val="00516CC2"/>
    <w:rPr>
      <w:rFonts w:ascii="Verdana" w:hAnsi="Verdana" w:cs="Verdana"/>
      <w:sz w:val="18"/>
      <w:szCs w:val="18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16CC2"/>
    <w:pPr>
      <w:widowControl w:val="0"/>
      <w:shd w:val="clear" w:color="auto" w:fill="FFFFFF"/>
      <w:spacing w:after="240" w:line="269" w:lineRule="auto"/>
      <w:jc w:val="both"/>
    </w:pPr>
    <w:rPr>
      <w:rFonts w:ascii="Verdana" w:hAnsi="Verdana" w:cs="Verdana"/>
      <w:sz w:val="18"/>
      <w:szCs w:val="18"/>
    </w:rPr>
  </w:style>
  <w:style w:type="character" w:customStyle="1" w:styleId="BodyTextChar">
    <w:name w:val="Body Text Char"/>
    <w:basedOn w:val="DefaultParagraphFont"/>
    <w:uiPriority w:val="99"/>
    <w:semiHidden/>
    <w:rsid w:val="00516CC2"/>
    <w:rPr>
      <w:rFonts w:cs="Times New Roman"/>
    </w:rPr>
  </w:style>
  <w:style w:type="character" w:customStyle="1" w:styleId="Heading2">
    <w:name w:val="Heading #2_"/>
    <w:basedOn w:val="DefaultParagraphFont"/>
    <w:link w:val="Heading20"/>
    <w:uiPriority w:val="99"/>
    <w:locked/>
    <w:rsid w:val="00D445E1"/>
    <w:rPr>
      <w:rFonts w:ascii="Verdana" w:hAnsi="Verdana" w:cs="Verdana"/>
      <w:b/>
      <w:bCs/>
      <w:sz w:val="20"/>
      <w:szCs w:val="20"/>
      <w:shd w:val="clear" w:color="auto" w:fill="FFFFFF"/>
    </w:rPr>
  </w:style>
  <w:style w:type="paragraph" w:customStyle="1" w:styleId="Heading20">
    <w:name w:val="Heading #2"/>
    <w:basedOn w:val="Normal"/>
    <w:link w:val="Heading2"/>
    <w:uiPriority w:val="99"/>
    <w:rsid w:val="00D445E1"/>
    <w:pPr>
      <w:widowControl w:val="0"/>
      <w:shd w:val="clear" w:color="auto" w:fill="FFFFFF"/>
      <w:spacing w:after="0" w:line="360" w:lineRule="auto"/>
      <w:ind w:left="5120"/>
      <w:jc w:val="both"/>
      <w:outlineLvl w:val="1"/>
    </w:pPr>
    <w:rPr>
      <w:rFonts w:ascii="Verdana" w:hAnsi="Verdana" w:cs="Verdana"/>
      <w:b/>
      <w:bCs/>
      <w:sz w:val="20"/>
      <w:szCs w:val="20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D445E1"/>
    <w:rPr>
      <w:rFonts w:ascii="Trebuchet MS" w:hAnsi="Trebuchet MS" w:cs="Trebuchet MS"/>
      <w:color w:val="1F4B5E"/>
      <w:sz w:val="58"/>
      <w:szCs w:val="58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D445E1"/>
    <w:pPr>
      <w:widowControl w:val="0"/>
      <w:shd w:val="clear" w:color="auto" w:fill="FFFFFF"/>
      <w:spacing w:after="150" w:line="182" w:lineRule="auto"/>
      <w:outlineLvl w:val="0"/>
    </w:pPr>
    <w:rPr>
      <w:rFonts w:ascii="Trebuchet MS" w:hAnsi="Trebuchet MS" w:cs="Trebuchet MS"/>
      <w:color w:val="1F4B5E"/>
      <w:sz w:val="58"/>
      <w:szCs w:val="58"/>
    </w:rPr>
  </w:style>
  <w:style w:type="paragraph" w:styleId="Header">
    <w:name w:val="header"/>
    <w:basedOn w:val="Normal"/>
    <w:link w:val="HeaderChar"/>
    <w:uiPriority w:val="99"/>
    <w:unhideWhenUsed/>
    <w:rsid w:val="005D3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84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3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848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84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Stanislavova</dc:creator>
  <cp:keywords/>
  <dc:description/>
  <cp:lastModifiedBy>Veselina Mandadzhieva</cp:lastModifiedBy>
  <cp:revision>4</cp:revision>
  <cp:lastPrinted>2017-10-03T07:11:00Z</cp:lastPrinted>
  <dcterms:created xsi:type="dcterms:W3CDTF">2017-08-03T13:27:00Z</dcterms:created>
  <dcterms:modified xsi:type="dcterms:W3CDTF">2017-10-03T07:11:00Z</dcterms:modified>
</cp:coreProperties>
</file>