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5D" w:rsidRPr="002840FD" w:rsidRDefault="002C6E5D" w:rsidP="002840FD">
      <w:pPr>
        <w:spacing w:after="0" w:line="240" w:lineRule="auto"/>
        <w:ind w:right="-30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2840FD">
        <w:rPr>
          <w:rFonts w:ascii="Times New Roman" w:hAnsi="Times New Roman"/>
          <w:b/>
          <w:bCs/>
          <w:sz w:val="24"/>
          <w:szCs w:val="24"/>
          <w:lang w:eastAsia="bg-BG"/>
        </w:rPr>
        <w:t>С П Р А В К А</w:t>
      </w:r>
    </w:p>
    <w:p w:rsidR="002C6E5D" w:rsidRDefault="002C6E5D" w:rsidP="0032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2840F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 отразяване на становищата, получени след съгласуване </w:t>
      </w:r>
    </w:p>
    <w:p w:rsidR="002C6E5D" w:rsidRDefault="002C6E5D" w:rsidP="0032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40F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на проект на </w:t>
      </w:r>
      <w:r w:rsidRPr="003A7584">
        <w:rPr>
          <w:rFonts w:ascii="Times New Roman" w:hAnsi="Times New Roman"/>
          <w:b/>
          <w:sz w:val="24"/>
          <w:szCs w:val="24"/>
        </w:rPr>
        <w:t xml:space="preserve">Наредба за изменение и допълнение на </w:t>
      </w:r>
      <w:r w:rsidRPr="00A55047">
        <w:rPr>
          <w:rFonts w:ascii="Times New Roman" w:hAnsi="Times New Roman"/>
          <w:b/>
          <w:sz w:val="24"/>
          <w:szCs w:val="24"/>
        </w:rPr>
        <w:t>Наредба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5047">
        <w:rPr>
          <w:rFonts w:ascii="Times New Roman" w:hAnsi="Times New Roman"/>
          <w:b/>
          <w:bCs/>
          <w:sz w:val="24"/>
          <w:szCs w:val="24"/>
        </w:rPr>
        <w:t xml:space="preserve">№ 13 от 22.12.2003 г. за търгово предлагане </w:t>
      </w:r>
    </w:p>
    <w:p w:rsidR="002C6E5D" w:rsidRDefault="002C6E5D" w:rsidP="0032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5047">
        <w:rPr>
          <w:rFonts w:ascii="Times New Roman" w:hAnsi="Times New Roman"/>
          <w:b/>
          <w:bCs/>
          <w:sz w:val="24"/>
          <w:szCs w:val="24"/>
        </w:rPr>
        <w:t>за закупуване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5047">
        <w:rPr>
          <w:rFonts w:ascii="Times New Roman" w:hAnsi="Times New Roman"/>
          <w:b/>
          <w:bCs/>
          <w:sz w:val="24"/>
          <w:szCs w:val="24"/>
        </w:rPr>
        <w:t>и замяна на акции</w:t>
      </w:r>
    </w:p>
    <w:p w:rsidR="002C6E5D" w:rsidRDefault="002C6E5D" w:rsidP="0032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5598"/>
        <w:gridCol w:w="1985"/>
        <w:gridCol w:w="6165"/>
      </w:tblGrid>
      <w:tr w:rsidR="002C6E5D" w:rsidRPr="00B63B7F" w:rsidTr="002801B3">
        <w:trPr>
          <w:trHeight w:val="310"/>
        </w:trPr>
        <w:tc>
          <w:tcPr>
            <w:tcW w:w="2057" w:type="dxa"/>
            <w:shd w:val="pct25" w:color="000000" w:fill="FFFFFF"/>
            <w:vAlign w:val="center"/>
          </w:tcPr>
          <w:p w:rsidR="002C6E5D" w:rsidRPr="002840FD" w:rsidRDefault="002C6E5D" w:rsidP="00284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840FD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Подател </w:t>
            </w:r>
          </w:p>
        </w:tc>
        <w:tc>
          <w:tcPr>
            <w:tcW w:w="5598" w:type="dxa"/>
            <w:shd w:val="pct25" w:color="000000" w:fill="FFFFFF"/>
            <w:vAlign w:val="center"/>
          </w:tcPr>
          <w:p w:rsidR="002C6E5D" w:rsidRPr="003B34E5" w:rsidRDefault="002C6E5D" w:rsidP="000379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4E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Предложение</w:t>
            </w:r>
          </w:p>
        </w:tc>
        <w:tc>
          <w:tcPr>
            <w:tcW w:w="1985" w:type="dxa"/>
            <w:shd w:val="pct25" w:color="000000" w:fill="FFFFFF"/>
            <w:vAlign w:val="center"/>
          </w:tcPr>
          <w:p w:rsidR="002C6E5D" w:rsidRPr="002840FD" w:rsidRDefault="002C6E5D" w:rsidP="00284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840FD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Становище по предложението</w:t>
            </w:r>
          </w:p>
        </w:tc>
        <w:tc>
          <w:tcPr>
            <w:tcW w:w="6165" w:type="dxa"/>
            <w:shd w:val="pct25" w:color="000000" w:fill="FFFFFF"/>
            <w:vAlign w:val="center"/>
          </w:tcPr>
          <w:p w:rsidR="002C6E5D" w:rsidRPr="002840FD" w:rsidRDefault="002C6E5D" w:rsidP="00284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840FD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Мотиви</w:t>
            </w:r>
          </w:p>
        </w:tc>
      </w:tr>
      <w:tr w:rsidR="002C6E5D" w:rsidRPr="00B63B7F" w:rsidTr="002801B3">
        <w:trPr>
          <w:trHeight w:val="310"/>
        </w:trPr>
        <w:tc>
          <w:tcPr>
            <w:tcW w:w="2057" w:type="dxa"/>
            <w:vMerge w:val="restart"/>
          </w:tcPr>
          <w:p w:rsidR="002C6E5D" w:rsidRPr="002840FD" w:rsidRDefault="002C6E5D" w:rsidP="00C91F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405DAB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БАЛИП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/вх. № 23-00-56/26.06.2017 г./</w:t>
            </w:r>
          </w:p>
        </w:tc>
        <w:tc>
          <w:tcPr>
            <w:tcW w:w="5598" w:type="dxa"/>
            <w:vAlign w:val="center"/>
          </w:tcPr>
          <w:p w:rsidR="002C6E5D" w:rsidRPr="00B63B7F" w:rsidRDefault="002C6E5D" w:rsidP="00D1019B">
            <w:pPr>
              <w:pStyle w:val="BodyText"/>
              <w:shd w:val="clear" w:color="auto" w:fill="auto"/>
              <w:spacing w:after="0" w:line="240" w:lineRule="auto"/>
              <w:ind w:firstLine="760"/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</w:pPr>
            <w:r w:rsidRPr="00B63B7F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t>Следва да се отбележи, че целта на публикуването на съобщение, съгл. чл. 36, ал. 1,т. 1 от Наредба № 13, е да се анонсира корпоративното събитие, а не да се запознае обществеността с всички детайли около търговото предложение. Доколкото публикуването на търгово предложение е действие, целящо равностойно третиране на акционерите, предоставяйки им достатъчно време и информация за вземане на информирано инвестиционно решение, то съобщението за търгово предлагане следва да е по-кратко известие за предстоящото събитие. Поради тези причини, с писмо изх. № 32 от 23.05.2017 г. по описа на БАЛИП, са предложили следната редакция на чл. 151, ал. 4 на ЗППЦК:</w:t>
            </w:r>
          </w:p>
          <w:p w:rsidR="002C6E5D" w:rsidRPr="00B63B7F" w:rsidRDefault="002C6E5D" w:rsidP="00D1019B">
            <w:pPr>
              <w:pStyle w:val="BodyText"/>
              <w:shd w:val="clear" w:color="auto" w:fill="auto"/>
              <w:spacing w:after="0" w:line="240" w:lineRule="auto"/>
              <w:ind w:firstLine="760"/>
              <w:rPr>
                <w:rStyle w:val="BodyTextChar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B7F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t xml:space="preserve">„Членовете на управителния орган на дружеството - обект на търгово предложение, предоставят търговото предложение на представителите на своите служители или на служителите, когато няма такива представители и до края на работния ден оповестяват информацията за постъпилото предложение и съществените условия по него по реда на чл. 100т. Съществени условия по смисъла на предходното изречение са: информация относно търговия предложител; предлаганата цена за акция, издадена от дружеството - обект на търгово предложение, и/или съотношението й на замяна с </w:t>
            </w:r>
            <w:r w:rsidRPr="00B63B7F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lastRenderedPageBreak/>
              <w:t>акции по чл. 149, ал. 1, т. 1; емисионната стойност и сведения за правата по тези акции; акциите, съответно класа акции, за които се отнася търговото предложение; броя на акциите с право на глас, които предложителят не притежава и е длъжен да поиска или иска да придобие; срокът за приемане на търговото предложение; резюме на информацията за бъдещите намерения и стратегическите планове на предложителя относно дружеството - обект на търговото предложение и резюме на обосновката на цената."</w:t>
            </w:r>
          </w:p>
          <w:p w:rsidR="002C6E5D" w:rsidRPr="00B63B7F" w:rsidRDefault="002C6E5D" w:rsidP="000379C7">
            <w:pPr>
              <w:pStyle w:val="Heading20"/>
              <w:keepNext/>
              <w:keepLines/>
              <w:shd w:val="clear" w:color="auto" w:fill="auto"/>
              <w:spacing w:line="240" w:lineRule="auto"/>
              <w:ind w:left="0"/>
              <w:rPr>
                <w:rStyle w:val="Heading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E5D" w:rsidRPr="00B63B7F" w:rsidRDefault="002C6E5D" w:rsidP="000379C7">
            <w:pPr>
              <w:pStyle w:val="Heading20"/>
              <w:keepNext/>
              <w:keepLines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B7F">
              <w:rPr>
                <w:rStyle w:val="Heading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bookmarkStart w:id="0" w:name="bookmark11"/>
            <w:r w:rsidRPr="00B63B7F">
              <w:rPr>
                <w:rStyle w:val="Heading2"/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 във връзка с информацията за съобщение на търгово предлагане</w:t>
            </w:r>
            <w:bookmarkEnd w:id="0"/>
          </w:p>
          <w:p w:rsidR="002C6E5D" w:rsidRPr="00B63B7F" w:rsidRDefault="002C6E5D" w:rsidP="000379C7">
            <w:pPr>
              <w:pStyle w:val="BodyText"/>
              <w:shd w:val="clear" w:color="auto" w:fill="auto"/>
              <w:tabs>
                <w:tab w:val="left" w:pos="11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B7F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t xml:space="preserve">В случай че се възприеме предложената от асоциацията редакция на чл. 151, ал. 4 от ЗППЦК, </w:t>
            </w:r>
            <w:r w:rsidRPr="00B63B7F">
              <w:rPr>
                <w:rStyle w:val="BodyTextChar1"/>
                <w:rFonts w:ascii="Times New Roman" w:hAnsi="Times New Roman" w:cs="Times New Roman"/>
                <w:b/>
                <w:bCs/>
                <w:sz w:val="24"/>
                <w:szCs w:val="24"/>
              </w:rPr>
              <w:t>то чл. 36, ал. 3 от Наредба 13 да се измени така:</w:t>
            </w:r>
          </w:p>
          <w:p w:rsidR="002C6E5D" w:rsidRPr="00B63B7F" w:rsidRDefault="002C6E5D" w:rsidP="000379C7">
            <w:pPr>
              <w:pStyle w:val="BodyText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B7F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t xml:space="preserve">„(3) Данните по </w:t>
            </w:r>
            <w:r w:rsidRPr="00B63B7F">
              <w:rPr>
                <w:rStyle w:val="BodyTextChar1"/>
                <w:rFonts w:ascii="Times New Roman" w:hAnsi="Times New Roman" w:cs="Times New Roman"/>
                <w:strike/>
                <w:sz w:val="24"/>
                <w:szCs w:val="24"/>
              </w:rPr>
              <w:t>чл. 24, ал. 1, т. 8, 9 и 17 и по чл. 27, както и резюме на обосновката по чл. 24, ал. 1, т. 5 са част от съществените условия, съгласно</w:t>
            </w:r>
            <w:r w:rsidRPr="00B63B7F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t xml:space="preserve"> чл. 151, ал. 4 ЗППЦК </w:t>
            </w:r>
            <w:r w:rsidRPr="00B63B7F">
              <w:rPr>
                <w:rStyle w:val="BodyTextChar1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са съществени условия</w:t>
            </w:r>
            <w:r w:rsidRPr="00B63B7F">
              <w:rPr>
                <w:rStyle w:val="BodyTextChar1"/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.</w:t>
            </w:r>
            <w:r w:rsidRPr="00B63B7F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t xml:space="preserve"> Предложителят е длъжен да посочи в съобщението за търговото предложение по ал. 1, т. 1 мястото, където търговото предложение е достъпно за акционерите.".</w:t>
            </w:r>
          </w:p>
          <w:p w:rsidR="002C6E5D" w:rsidRPr="00B63B7F" w:rsidRDefault="002C6E5D" w:rsidP="000379C7">
            <w:pPr>
              <w:pStyle w:val="BodyText"/>
              <w:shd w:val="clear" w:color="auto" w:fill="auto"/>
              <w:tabs>
                <w:tab w:val="left" w:pos="1118"/>
              </w:tabs>
              <w:spacing w:after="0" w:line="240" w:lineRule="auto"/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</w:pPr>
          </w:p>
          <w:p w:rsidR="002C6E5D" w:rsidRPr="00B63B7F" w:rsidRDefault="002C6E5D" w:rsidP="000379C7">
            <w:pPr>
              <w:pStyle w:val="BodyText"/>
              <w:shd w:val="clear" w:color="auto" w:fill="auto"/>
              <w:tabs>
                <w:tab w:val="left" w:pos="1118"/>
              </w:tabs>
              <w:spacing w:after="0" w:line="240" w:lineRule="auto"/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</w:pPr>
            <w:r w:rsidRPr="00B63B7F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t xml:space="preserve">В случай че категорично се отхвърли предложението на асоциацията по чл. 151, ал. 4 от ЗППЦК, респективно чл. 36, ал. 3 от Наредба №13, то отправят молба, да се намали предвиденият обем на информация за оповестяване на търгово предложение чрез съобщение. Предлагате в този случай, следната редакция на чл. 36, ал. 3 от Наредба </w:t>
            </w:r>
            <w:r w:rsidRPr="00B63B7F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lastRenderedPageBreak/>
              <w:t>№ 13:</w:t>
            </w:r>
          </w:p>
          <w:p w:rsidR="002C6E5D" w:rsidRPr="003B34E5" w:rsidRDefault="002C6E5D" w:rsidP="000379C7">
            <w:pPr>
              <w:pStyle w:val="BodyText"/>
              <w:shd w:val="clear" w:color="auto" w:fill="auto"/>
              <w:tabs>
                <w:tab w:val="left" w:pos="11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63B7F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t xml:space="preserve">„Данните по чл. 24, ал. 1, т. </w:t>
            </w:r>
            <w:r w:rsidRPr="00B63B7F">
              <w:rPr>
                <w:rStyle w:val="BodyTextChar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7, </w:t>
            </w:r>
            <w:r w:rsidRPr="00B63B7F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B63B7F">
              <w:rPr>
                <w:rStyle w:val="BodyTextChar1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резюме по </w:t>
            </w:r>
            <w:r w:rsidRPr="00B63B7F">
              <w:rPr>
                <w:rStyle w:val="BodyTextChar1"/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B63B7F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t>. 9 и 17 и по чл. 27, както и резюме на обосновката по чл. 24, ал. 1, т. 5 са част от съществените условия, съгласно чл. 151, ал. 4 ЗППЦК. Предложителят е длъжен да посочи в съобщението за търговото предложение по ал. 1, т. 1 мястото, където търговото предложение е достъпно за акционерите.".</w:t>
            </w:r>
          </w:p>
        </w:tc>
        <w:tc>
          <w:tcPr>
            <w:tcW w:w="1985" w:type="dxa"/>
            <w:vAlign w:val="center"/>
          </w:tcPr>
          <w:p w:rsidR="002C6E5D" w:rsidRPr="002840FD" w:rsidRDefault="002C6E5D" w:rsidP="00284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Приема се по принцип.</w:t>
            </w:r>
          </w:p>
        </w:tc>
        <w:tc>
          <w:tcPr>
            <w:tcW w:w="6165" w:type="dxa"/>
            <w:vAlign w:val="center"/>
          </w:tcPr>
          <w:p w:rsidR="002C6E5D" w:rsidRPr="00882661" w:rsidRDefault="006B5BAC" w:rsidP="00284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Предложена е редакция на ал. 3 на чл. 36, с която изре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чение първо на ал. 3 да се заличи</w:t>
            </w:r>
            <w:r w:rsidR="002C6E5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2C6E5D" w:rsidRPr="00B63B7F" w:rsidTr="002801B3">
        <w:trPr>
          <w:trHeight w:val="310"/>
        </w:trPr>
        <w:tc>
          <w:tcPr>
            <w:tcW w:w="2057" w:type="dxa"/>
            <w:vMerge/>
          </w:tcPr>
          <w:p w:rsidR="002C6E5D" w:rsidRPr="002840FD" w:rsidRDefault="002C6E5D" w:rsidP="00284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598" w:type="dxa"/>
            <w:vAlign w:val="center"/>
          </w:tcPr>
          <w:p w:rsidR="002C6E5D" w:rsidRPr="00B63B7F" w:rsidRDefault="002C6E5D" w:rsidP="000379C7">
            <w:pPr>
              <w:pStyle w:val="Heading20"/>
              <w:keepNext/>
              <w:keepLines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3B7F">
              <w:rPr>
                <w:rStyle w:val="Heading2"/>
                <w:rFonts w:ascii="Times New Roman" w:hAnsi="Times New Roman" w:cs="Times New Roman"/>
                <w:b/>
                <w:bCs/>
                <w:sz w:val="24"/>
                <w:szCs w:val="24"/>
              </w:rPr>
              <w:t>2. Предложения във връзка с предвидените срокове</w:t>
            </w:r>
          </w:p>
          <w:p w:rsidR="002C6E5D" w:rsidRPr="00B63B7F" w:rsidRDefault="002C6E5D" w:rsidP="000379C7">
            <w:pPr>
              <w:pStyle w:val="BodyText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B7F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t>В следствие постигнатия консенсус за определяне на сроковете, отправят искане най-малко сроковете, които попадат в рамките на 5 дни да бъдат определени в работни дни. По този начин ще се обезпечи надлежното изпълнение на предвидените задължения. С оглед изложеното, предлагат следните редакции на разпоредби от Наредба № 13:</w:t>
            </w:r>
          </w:p>
          <w:p w:rsidR="002C6E5D" w:rsidRPr="00B63B7F" w:rsidRDefault="002C6E5D" w:rsidP="000379C7">
            <w:pPr>
              <w:pStyle w:val="BodyText"/>
              <w:shd w:val="clear" w:color="auto" w:fill="auto"/>
              <w:tabs>
                <w:tab w:val="left" w:pos="1101"/>
              </w:tabs>
              <w:spacing w:after="0" w:line="240" w:lineRule="auto"/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</w:pPr>
            <w:r w:rsidRPr="00B63B7F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t xml:space="preserve">„Чл. 36 (1) В </w:t>
            </w:r>
            <w:r w:rsidRPr="00B63B7F">
              <w:rPr>
                <w:rStyle w:val="BodyTextChar1"/>
                <w:rFonts w:ascii="Times New Roman" w:hAnsi="Times New Roman" w:cs="Times New Roman"/>
                <w:strike/>
                <w:sz w:val="24"/>
                <w:szCs w:val="24"/>
              </w:rPr>
              <w:t>З-</w:t>
            </w:r>
            <w:proofErr w:type="spellStart"/>
            <w:r w:rsidRPr="00B63B7F">
              <w:rPr>
                <w:rStyle w:val="BodyTextChar1"/>
                <w:rFonts w:ascii="Times New Roman" w:hAnsi="Times New Roman" w:cs="Times New Roman"/>
                <w:strike/>
                <w:sz w:val="24"/>
                <w:szCs w:val="24"/>
              </w:rPr>
              <w:t>дневон</w:t>
            </w:r>
            <w:proofErr w:type="spellEnd"/>
            <w:r w:rsidRPr="00B63B7F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  <w:r w:rsidRPr="00B63B7F">
              <w:rPr>
                <w:rStyle w:val="BodyTextChar1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 три работни дни, считано от</w:t>
            </w:r>
            <w:r w:rsidRPr="00B63B7F">
              <w:rPr>
                <w:rStyle w:val="BodyTextChar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3B7F">
              <w:rPr>
                <w:rStyle w:val="BodyTextChar1"/>
                <w:rFonts w:ascii="Times New Roman" w:hAnsi="Times New Roman" w:cs="Times New Roman"/>
                <w:strike/>
                <w:sz w:val="24"/>
                <w:szCs w:val="24"/>
              </w:rPr>
              <w:t xml:space="preserve">след </w:t>
            </w:r>
            <w:r w:rsidRPr="00B63B7F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t>изтичането на срока по чл. 151, ал. 1, съответно чл. 153, ал. 1 ЗППЦК, предложителят: ..." ;</w:t>
            </w:r>
          </w:p>
          <w:p w:rsidR="002C6E5D" w:rsidRPr="00B63B7F" w:rsidRDefault="002C6E5D" w:rsidP="000379C7">
            <w:pPr>
              <w:pStyle w:val="BodyText"/>
              <w:shd w:val="clear" w:color="auto" w:fill="auto"/>
              <w:tabs>
                <w:tab w:val="left" w:pos="11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5D" w:rsidRPr="003B34E5" w:rsidRDefault="002C6E5D" w:rsidP="000379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63B7F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t xml:space="preserve">„чл. 44г В </w:t>
            </w:r>
            <w:r w:rsidRPr="00B63B7F">
              <w:rPr>
                <w:rStyle w:val="BodyTextChar1"/>
                <w:rFonts w:ascii="Times New Roman" w:hAnsi="Times New Roman" w:cs="Times New Roman"/>
                <w:strike/>
                <w:sz w:val="24"/>
                <w:szCs w:val="24"/>
              </w:rPr>
              <w:t>тридневен</w:t>
            </w:r>
            <w:r w:rsidRPr="00B63B7F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  <w:r w:rsidRPr="00B63B7F">
              <w:rPr>
                <w:rStyle w:val="BodyTextChar1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 три работни дни, считано</w:t>
            </w:r>
            <w:r w:rsidRPr="00B63B7F">
              <w:rPr>
                <w:rStyle w:val="BodyTextChar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3B7F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t>от издаване на одобрението на предложението за изкупуване по чл. 157а от ЗППЦК предложителят представя на дружеството и на регулирания пазар, на който акциите са допуснати до търговия, предложението и го публикува в централния ежедневник по чл. 24, ал. 1, т. 15."</w:t>
            </w:r>
          </w:p>
        </w:tc>
        <w:tc>
          <w:tcPr>
            <w:tcW w:w="1985" w:type="dxa"/>
            <w:vAlign w:val="center"/>
          </w:tcPr>
          <w:p w:rsidR="002C6E5D" w:rsidRDefault="002C6E5D" w:rsidP="00284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Приема се.</w:t>
            </w:r>
          </w:p>
          <w:p w:rsidR="002C6E5D" w:rsidRDefault="002C6E5D" w:rsidP="00284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C6E5D" w:rsidRDefault="002C6E5D" w:rsidP="00284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C6E5D" w:rsidRDefault="002C6E5D" w:rsidP="00284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C6E5D" w:rsidRDefault="002C6E5D" w:rsidP="00284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C6E5D" w:rsidRDefault="002C6E5D" w:rsidP="00284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C6E5D" w:rsidRDefault="002C6E5D" w:rsidP="00284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C6E5D" w:rsidRDefault="002C6E5D" w:rsidP="00284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C6E5D" w:rsidRDefault="002C6E5D" w:rsidP="00284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C6E5D" w:rsidRDefault="002C6E5D" w:rsidP="00284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C6E5D" w:rsidRDefault="002C6E5D" w:rsidP="00284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C6E5D" w:rsidRDefault="002C6E5D" w:rsidP="00284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C6E5D" w:rsidRDefault="002C6E5D" w:rsidP="00284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C6E5D" w:rsidRPr="002840FD" w:rsidRDefault="002C6E5D" w:rsidP="00284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Приема се.</w:t>
            </w:r>
          </w:p>
        </w:tc>
        <w:tc>
          <w:tcPr>
            <w:tcW w:w="6165" w:type="dxa"/>
            <w:vAlign w:val="center"/>
          </w:tcPr>
          <w:p w:rsidR="002C6E5D" w:rsidRPr="002840FD" w:rsidRDefault="002C6E5D" w:rsidP="002840FD">
            <w:pPr>
              <w:spacing w:after="0" w:line="240" w:lineRule="auto"/>
              <w:rPr>
                <w:rFonts w:ascii="MS Sans Serif" w:hAnsi="MS Sans Serif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C6E5D" w:rsidRDefault="002C6E5D"/>
    <w:sectPr w:rsidR="002C6E5D" w:rsidSect="006B5BAC">
      <w:foot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5B" w:rsidRDefault="00FA515B" w:rsidP="005D3848">
      <w:pPr>
        <w:spacing w:after="0" w:line="240" w:lineRule="auto"/>
      </w:pPr>
      <w:r>
        <w:separator/>
      </w:r>
    </w:p>
  </w:endnote>
  <w:endnote w:type="continuationSeparator" w:id="0">
    <w:p w:rsidR="00FA515B" w:rsidRDefault="00FA515B" w:rsidP="005D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26727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8"/>
        <w:szCs w:val="18"/>
      </w:rPr>
    </w:sdtEndPr>
    <w:sdtContent>
      <w:p w:rsidR="005D3848" w:rsidRPr="005D3848" w:rsidRDefault="005D3848">
        <w:pPr>
          <w:pStyle w:val="Footer"/>
          <w:jc w:val="right"/>
          <w:rPr>
            <w:rFonts w:ascii="Times New Roman" w:hAnsi="Times New Roman"/>
            <w:sz w:val="18"/>
            <w:szCs w:val="18"/>
          </w:rPr>
        </w:pPr>
        <w:r w:rsidRPr="005D3848">
          <w:rPr>
            <w:rFonts w:ascii="Times New Roman" w:hAnsi="Times New Roman"/>
            <w:sz w:val="18"/>
            <w:szCs w:val="18"/>
          </w:rPr>
          <w:fldChar w:fldCharType="begin"/>
        </w:r>
        <w:r w:rsidRPr="005D3848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5D3848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3</w:t>
        </w:r>
        <w:r w:rsidRPr="005D3848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:rsidR="005D3848" w:rsidRDefault="005D3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5B" w:rsidRDefault="00FA515B" w:rsidP="005D3848">
      <w:pPr>
        <w:spacing w:after="0" w:line="240" w:lineRule="auto"/>
      </w:pPr>
      <w:r>
        <w:separator/>
      </w:r>
    </w:p>
  </w:footnote>
  <w:footnote w:type="continuationSeparator" w:id="0">
    <w:p w:rsidR="00FA515B" w:rsidRDefault="00FA515B" w:rsidP="005D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68FC5063"/>
    <w:multiLevelType w:val="hybridMultilevel"/>
    <w:tmpl w:val="D4D0E11E"/>
    <w:lvl w:ilvl="0" w:tplc="EE78F4F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12"/>
    <w:rsid w:val="00027512"/>
    <w:rsid w:val="000379C7"/>
    <w:rsid w:val="000559AB"/>
    <w:rsid w:val="00062F12"/>
    <w:rsid w:val="001A289F"/>
    <w:rsid w:val="001B59CC"/>
    <w:rsid w:val="001E25B5"/>
    <w:rsid w:val="002512F4"/>
    <w:rsid w:val="00276A6B"/>
    <w:rsid w:val="002801B3"/>
    <w:rsid w:val="002840FD"/>
    <w:rsid w:val="002C6E5D"/>
    <w:rsid w:val="00321B02"/>
    <w:rsid w:val="00342F89"/>
    <w:rsid w:val="003A7584"/>
    <w:rsid w:val="003B34E5"/>
    <w:rsid w:val="00405DAB"/>
    <w:rsid w:val="00516CC2"/>
    <w:rsid w:val="00562498"/>
    <w:rsid w:val="00580F65"/>
    <w:rsid w:val="005D3848"/>
    <w:rsid w:val="005F5E09"/>
    <w:rsid w:val="006B5BAC"/>
    <w:rsid w:val="00724E23"/>
    <w:rsid w:val="00765064"/>
    <w:rsid w:val="0079523D"/>
    <w:rsid w:val="00882661"/>
    <w:rsid w:val="00A55047"/>
    <w:rsid w:val="00A6155C"/>
    <w:rsid w:val="00B56A52"/>
    <w:rsid w:val="00B63B7F"/>
    <w:rsid w:val="00BC2187"/>
    <w:rsid w:val="00C438A2"/>
    <w:rsid w:val="00C91FBF"/>
    <w:rsid w:val="00CA53EA"/>
    <w:rsid w:val="00D1019B"/>
    <w:rsid w:val="00D333DC"/>
    <w:rsid w:val="00D445E1"/>
    <w:rsid w:val="00D80981"/>
    <w:rsid w:val="00DB4AF9"/>
    <w:rsid w:val="00DB4FCF"/>
    <w:rsid w:val="00E83FDE"/>
    <w:rsid w:val="00EB3151"/>
    <w:rsid w:val="00F11FE6"/>
    <w:rsid w:val="00F15C76"/>
    <w:rsid w:val="00F41F04"/>
    <w:rsid w:val="00FA515B"/>
    <w:rsid w:val="00F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AA60DC-5B94-446F-BB3A-FA31B562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A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locked/>
    <w:rsid w:val="00516CC2"/>
    <w:rPr>
      <w:rFonts w:ascii="Verdana" w:hAnsi="Verdana" w:cs="Verdana"/>
      <w:sz w:val="18"/>
      <w:szCs w:val="1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516CC2"/>
    <w:pPr>
      <w:widowControl w:val="0"/>
      <w:shd w:val="clear" w:color="auto" w:fill="FFFFFF"/>
      <w:spacing w:after="240" w:line="269" w:lineRule="auto"/>
      <w:jc w:val="both"/>
    </w:pPr>
    <w:rPr>
      <w:rFonts w:ascii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uiPriority w:val="99"/>
    <w:semiHidden/>
    <w:rsid w:val="00516CC2"/>
    <w:rPr>
      <w:rFonts w:cs="Times New Roman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D445E1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D445E1"/>
    <w:pPr>
      <w:widowControl w:val="0"/>
      <w:shd w:val="clear" w:color="auto" w:fill="FFFFFF"/>
      <w:spacing w:after="0" w:line="360" w:lineRule="auto"/>
      <w:ind w:left="5120"/>
      <w:jc w:val="both"/>
      <w:outlineLvl w:val="1"/>
    </w:pPr>
    <w:rPr>
      <w:rFonts w:ascii="Verdana" w:hAnsi="Verdana" w:cs="Verdana"/>
      <w:b/>
      <w:bCs/>
      <w:sz w:val="20"/>
      <w:szCs w:val="20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D445E1"/>
    <w:rPr>
      <w:rFonts w:ascii="Trebuchet MS" w:hAnsi="Trebuchet MS" w:cs="Trebuchet MS"/>
      <w:color w:val="1F4B5E"/>
      <w:sz w:val="58"/>
      <w:szCs w:val="58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D445E1"/>
    <w:pPr>
      <w:widowControl w:val="0"/>
      <w:shd w:val="clear" w:color="auto" w:fill="FFFFFF"/>
      <w:spacing w:after="150" w:line="182" w:lineRule="auto"/>
      <w:outlineLvl w:val="0"/>
    </w:pPr>
    <w:rPr>
      <w:rFonts w:ascii="Trebuchet MS" w:hAnsi="Trebuchet MS" w:cs="Trebuchet MS"/>
      <w:color w:val="1F4B5E"/>
      <w:sz w:val="58"/>
      <w:szCs w:val="58"/>
    </w:rPr>
  </w:style>
  <w:style w:type="paragraph" w:styleId="Header">
    <w:name w:val="header"/>
    <w:basedOn w:val="Normal"/>
    <w:link w:val="HeaderChar"/>
    <w:uiPriority w:val="99"/>
    <w:unhideWhenUsed/>
    <w:rsid w:val="005D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4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4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Stanislavova</dc:creator>
  <cp:keywords/>
  <dc:description/>
  <cp:lastModifiedBy>Veselina Mandadzhieva</cp:lastModifiedBy>
  <cp:revision>4</cp:revision>
  <cp:lastPrinted>2017-10-03T07:11:00Z</cp:lastPrinted>
  <dcterms:created xsi:type="dcterms:W3CDTF">2017-08-03T13:27:00Z</dcterms:created>
  <dcterms:modified xsi:type="dcterms:W3CDTF">2017-10-03T07:11:00Z</dcterms:modified>
</cp:coreProperties>
</file>