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62" w:rsidRPr="007F5A47" w:rsidRDefault="00E41316" w:rsidP="007F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47">
        <w:rPr>
          <w:rFonts w:ascii="Times New Roman" w:hAnsi="Times New Roman" w:cs="Times New Roman"/>
          <w:b/>
          <w:sz w:val="28"/>
          <w:szCs w:val="28"/>
        </w:rPr>
        <w:t xml:space="preserve">ВЪПРОСИ И </w:t>
      </w:r>
      <w:proofErr w:type="gramStart"/>
      <w:r w:rsidRPr="007F5A47">
        <w:rPr>
          <w:rFonts w:ascii="Times New Roman" w:hAnsi="Times New Roman" w:cs="Times New Roman"/>
          <w:b/>
          <w:sz w:val="28"/>
          <w:szCs w:val="28"/>
        </w:rPr>
        <w:t>ОТГОВОРИ</w:t>
      </w:r>
    </w:p>
    <w:p w:rsidR="002B4413" w:rsidRPr="00E41316" w:rsidRDefault="002B4413">
      <w:pPr>
        <w:rPr>
          <w:rFonts w:ascii="Times New Roman" w:hAnsi="Times New Roman" w:cs="Times New Roman"/>
          <w:sz w:val="24"/>
          <w:szCs w:val="24"/>
        </w:rPr>
      </w:pPr>
      <w:proofErr w:type="gramEnd"/>
    </w:p>
    <w:p w:rsidR="00E41316" w:rsidRPr="007F5A47" w:rsidRDefault="00E413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5A47">
        <w:rPr>
          <w:rFonts w:ascii="Times New Roman" w:hAnsi="Times New Roman" w:cs="Times New Roman"/>
          <w:sz w:val="24"/>
          <w:szCs w:val="24"/>
          <w:u w:val="single"/>
        </w:rPr>
        <w:t>Използвани съкращения:</w:t>
      </w:r>
    </w:p>
    <w:p w:rsidR="002B4413" w:rsidRPr="00E41316" w:rsidRDefault="002B4413">
      <w:pPr>
        <w:rPr>
          <w:rFonts w:ascii="Times New Roman" w:hAnsi="Times New Roman" w:cs="Times New Roman"/>
          <w:sz w:val="24"/>
          <w:szCs w:val="24"/>
        </w:rPr>
      </w:pPr>
      <w:r w:rsidRPr="002B4413">
        <w:rPr>
          <w:rFonts w:ascii="Times New Roman" w:hAnsi="Times New Roman" w:cs="Times New Roman"/>
          <w:b/>
          <w:sz w:val="24"/>
          <w:szCs w:val="24"/>
        </w:rPr>
        <w:t>ЗПФИ</w:t>
      </w:r>
      <w:r>
        <w:rPr>
          <w:rFonts w:ascii="Times New Roman" w:hAnsi="Times New Roman" w:cs="Times New Roman"/>
          <w:sz w:val="24"/>
          <w:szCs w:val="24"/>
        </w:rPr>
        <w:t xml:space="preserve"> – Закон за пазарите на финансови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инструменти</w:t>
      </w:r>
    </w:p>
    <w:p w:rsidR="00E41316" w:rsidRDefault="00E41316" w:rsidP="00E4131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End"/>
      <w:r w:rsidRPr="00E413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Регламент </w:t>
      </w:r>
      <w:r w:rsidRPr="00E413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Pr="00E4131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575/2013</w:t>
      </w:r>
      <w:r w:rsidRPr="00E413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- РЕГЛАМЕНТ (ЕС) № 575/2013 НА ЕВРОПЕЙСКИЯ ПАРЛАМЕНТ И НА СЪВЕТА от 26 юни 2013 година относно пруденциалните изисквания за кредитните институции и инвестиционните посредници и за изменение на Регламент (ЕС) № 648/2012 </w:t>
      </w:r>
    </w:p>
    <w:p w:rsidR="007C1E21" w:rsidRPr="007F5A47" w:rsidRDefault="007C1E21" w:rsidP="00E4131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C1E2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Регламент № 680/2014</w:t>
      </w:r>
      <w:r w:rsidRPr="007C1E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</w:t>
      </w:r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РЕГЛАМЕНТ ЗА ИЗПЪЛНЕНИЕ </w:t>
      </w:r>
      <w:r w:rsidRPr="007C1E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(ЕС) № 680/2014 </w:t>
      </w:r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>НА КОМИСИЯТА</w:t>
      </w:r>
      <w:r w:rsidRPr="007C1E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16 април 2014 година за определяне, в съответствие с Регламент (ЕС) № 575/2013 на Европейския парламент и на Съвета, на техническите стандарти за изпълнение по </w:t>
      </w:r>
      <w:r w:rsidRPr="007F5A47">
        <w:rPr>
          <w:rFonts w:ascii="Times New Roman" w:hAnsi="Times New Roman" w:cs="Times New Roman"/>
          <w:bCs/>
          <w:sz w:val="24"/>
          <w:szCs w:val="24"/>
          <w:lang w:val="ru-RU"/>
        </w:rPr>
        <w:t>отношение на предоставянето на информация от институциите на надзорните органи (Регламент № 680/2014)</w:t>
      </w:r>
      <w:r w:rsidR="007F5A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3372D" w:rsidRPr="007F5A47" w:rsidRDefault="0003372D" w:rsidP="00E41316">
      <w:pPr>
        <w:jc w:val="both"/>
        <w:rPr>
          <w:rFonts w:ascii="Times New Roman" w:hAnsi="Times New Roman" w:cs="Times New Roman"/>
          <w:sz w:val="24"/>
          <w:szCs w:val="24"/>
        </w:rPr>
      </w:pPr>
      <w:r w:rsidRPr="007F5A47">
        <w:rPr>
          <w:rFonts w:ascii="Times New Roman" w:hAnsi="Times New Roman" w:cs="Times New Roman"/>
          <w:b/>
          <w:sz w:val="24"/>
          <w:szCs w:val="24"/>
        </w:rPr>
        <w:t>Регламент за изпълнение № 2015/2197</w:t>
      </w:r>
      <w:r w:rsidR="007F5A47" w:rsidRPr="007F5A47">
        <w:rPr>
          <w:rFonts w:ascii="Times New Roman" w:hAnsi="Times New Roman" w:cs="Times New Roman"/>
          <w:sz w:val="24"/>
          <w:szCs w:val="24"/>
        </w:rPr>
        <w:t xml:space="preserve"> - </w:t>
      </w:r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РЕГЛАМЕНТ ЗА ИЗПЪЛНЕНИЕ (ЕС) 2015/2197 НА КОМИСИЯТА от 27 ноември 2015 година за определяне на техническите стандарти за изпълнение за валути с висока </w:t>
      </w:r>
      <w:proofErr w:type="spellStart"/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>взаимосвързаност</w:t>
      </w:r>
      <w:proofErr w:type="spellEnd"/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съответствие с Регламент (ЕС) № 575/2013 на Европейския парламент и на </w:t>
      </w:r>
      <w:proofErr w:type="gramStart"/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>Съвета</w:t>
      </w:r>
    </w:p>
    <w:p w:rsidR="0003372D" w:rsidRDefault="0003372D" w:rsidP="00E4131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gramEnd"/>
      <w:r w:rsidRPr="0003372D">
        <w:rPr>
          <w:rFonts w:ascii="Times New Roman" w:hAnsi="Times New Roman" w:cs="Times New Roman"/>
          <w:b/>
          <w:sz w:val="24"/>
          <w:szCs w:val="24"/>
        </w:rPr>
        <w:t>Регламент № 2015/1278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РЕГЛАМЕНТ ЗА ИЗПЪЛНЕНИЕ </w:t>
      </w:r>
      <w:r w:rsidRPr="0003372D">
        <w:rPr>
          <w:rFonts w:ascii="Times New Roman" w:hAnsi="Times New Roman" w:cs="Times New Roman"/>
          <w:sz w:val="24"/>
          <w:szCs w:val="24"/>
        </w:rPr>
        <w:t xml:space="preserve">(ЕС) 2015/1278 </w:t>
      </w:r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КОМИСИЯТА </w:t>
      </w:r>
      <w:r w:rsidRPr="0003372D">
        <w:rPr>
          <w:rFonts w:ascii="Times New Roman" w:hAnsi="Times New Roman" w:cs="Times New Roman"/>
          <w:sz w:val="24"/>
          <w:szCs w:val="24"/>
        </w:rPr>
        <w:t xml:space="preserve">от 09 юли 2015 година за изменение на Регламент за изпълнение (ЕС) № 680/2014 за определяне на техническите стандарти за изпълнение по отношение на предоставянето на информация от институциите на надзорните органи във връзка с инструкции, образци и </w:t>
      </w:r>
      <w:proofErr w:type="gramStart"/>
      <w:r w:rsidRPr="0003372D">
        <w:rPr>
          <w:rFonts w:ascii="Times New Roman" w:hAnsi="Times New Roman" w:cs="Times New Roman"/>
          <w:sz w:val="24"/>
          <w:szCs w:val="24"/>
        </w:rPr>
        <w:t>определения</w:t>
      </w:r>
    </w:p>
    <w:p w:rsidR="007F5A47" w:rsidRPr="00C65C9D" w:rsidRDefault="0003372D" w:rsidP="007F5A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F5A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Директива 2004/39/ЕО</w:t>
      </w:r>
      <w:r w:rsidR="007F5A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</w:t>
      </w:r>
      <w:r w:rsidR="007F5A47" w:rsidRPr="00C65C9D">
        <w:rPr>
          <w:rFonts w:ascii="Times New Roman" w:hAnsi="Times New Roman" w:cs="Times New Roman"/>
          <w:bCs/>
          <w:sz w:val="24"/>
          <w:szCs w:val="24"/>
        </w:rPr>
        <w:t>ДИРЕКТИВА 2004/39/EО НА ЕВРОПЕЙСКИЯ ПАРЛАМЕНТ И НА СЪВЕТА от 21 април 2004 година относно пазарите на финансови инструменти, за изменение на директиви 85/611/EИО и 93/6/EИО на Съвета и директива 2000/12/EО на Европейския парламент и на Съвета и за отмяна на директива 93/22/EИО на Съвета</w:t>
      </w:r>
    </w:p>
    <w:p w:rsidR="0003372D" w:rsidRDefault="0003372D" w:rsidP="007F5A4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5A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Директива 2013/36/ЕС</w:t>
      </w:r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ДИРЕКТИВА </w:t>
      </w:r>
      <w:r w:rsidR="007F5A47" w:rsidRPr="00C65C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2013/36/ЕС </w:t>
      </w:r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r w:rsidR="007F5A47" w:rsidRPr="00C65C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ЕВРОПЕЙСКИЯ ПАРЛАМЕНТ И НА СЪВЕТА </w:t>
      </w:r>
      <w:r w:rsidR="007F5A47" w:rsidRPr="00C65C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26 юни 2013 година </w:t>
      </w:r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относно достъпа до осъществяването на дейност от кредитните институции и относно </w:t>
      </w:r>
      <w:proofErr w:type="spellStart"/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>пруденциалния</w:t>
      </w:r>
      <w:proofErr w:type="spellEnd"/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надзор върху кредитните институции и инвестиционните посредници, за изменение на Директива 2002/87/ЕО и за отмяна на директиви 2006/48/ЕО и 2006/49/</w:t>
      </w:r>
      <w:proofErr w:type="gramStart"/>
      <w:r w:rsidR="007F5A47" w:rsidRPr="007F5A47">
        <w:rPr>
          <w:rFonts w:ascii="Times New Roman" w:hAnsi="Times New Roman" w:cs="Times New Roman"/>
          <w:bCs/>
          <w:color w:val="000000"/>
          <w:sz w:val="24"/>
          <w:szCs w:val="24"/>
        </w:rPr>
        <w:t>ЕО</w:t>
      </w:r>
    </w:p>
    <w:p w:rsidR="007F5A47" w:rsidRPr="007F5A47" w:rsidRDefault="007F5A47" w:rsidP="007F5A47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End"/>
    </w:p>
    <w:p w:rsidR="00E41316" w:rsidRDefault="00E41316" w:rsidP="00E41316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41316">
        <w:rPr>
          <w:rFonts w:ascii="Times New Roman" w:hAnsi="Times New Roman" w:cs="Times New Roman"/>
          <w:b/>
          <w:sz w:val="24"/>
          <w:szCs w:val="24"/>
          <w:lang w:val="ru-RU"/>
        </w:rPr>
        <w:t>Наредба № 50</w:t>
      </w:r>
      <w:r w:rsidRPr="00E41316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E413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НАРЕДБА № 50 от 19.06.2015 г. за капиталовата адекватност, ликвидността на инвестиционните посредници и осъществяването на надзор за спазването им </w:t>
      </w:r>
    </w:p>
    <w:p w:rsidR="002B4413" w:rsidRPr="00E41316" w:rsidRDefault="002B4413" w:rsidP="00E41316">
      <w:pPr>
        <w:jc w:val="both"/>
        <w:rPr>
          <w:rFonts w:ascii="Times New Roman" w:hAnsi="Times New Roman" w:cs="Times New Roman"/>
          <w:sz w:val="24"/>
          <w:szCs w:val="24"/>
        </w:rPr>
      </w:pPr>
      <w:r w:rsidRPr="002B4413">
        <w:rPr>
          <w:rFonts w:ascii="Times New Roman" w:hAnsi="Times New Roman" w:cs="Times New Roman"/>
          <w:b/>
          <w:sz w:val="24"/>
          <w:szCs w:val="24"/>
        </w:rPr>
        <w:t>МСФО</w:t>
      </w:r>
      <w:r>
        <w:rPr>
          <w:rFonts w:ascii="Times New Roman" w:hAnsi="Times New Roman" w:cs="Times New Roman"/>
          <w:sz w:val="24"/>
          <w:szCs w:val="24"/>
        </w:rPr>
        <w:t xml:space="preserve"> – Международни стандарти за финансово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отчитане</w:t>
      </w:r>
    </w:p>
    <w:p w:rsidR="00E41316" w:rsidRPr="00E41316" w:rsidRDefault="00E41316" w:rsidP="00E413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b/>
          <w:sz w:val="24"/>
          <w:szCs w:val="24"/>
        </w:rPr>
        <w:lastRenderedPageBreak/>
        <w:t>Въпрос</w:t>
      </w:r>
      <w:r w:rsidRPr="00E41316">
        <w:rPr>
          <w:rFonts w:ascii="Times New Roman" w:hAnsi="Times New Roman" w:cs="Times New Roman"/>
          <w:sz w:val="24"/>
          <w:szCs w:val="24"/>
        </w:rPr>
        <w:t>: Кои отчетни форми следва да бъдат попълвани от различните видове инвестиционни посредници.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b/>
          <w:sz w:val="24"/>
          <w:szCs w:val="24"/>
          <w:lang w:val="ru-RU"/>
        </w:rPr>
        <w:t>Отговор</w:t>
      </w:r>
      <w:r w:rsidRPr="00E4131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E41316">
        <w:rPr>
          <w:rFonts w:ascii="Times New Roman" w:hAnsi="Times New Roman" w:cs="Times New Roman"/>
          <w:sz w:val="24"/>
          <w:szCs w:val="24"/>
        </w:rPr>
        <w:t xml:space="preserve"> Предвид разпоредбите на </w:t>
      </w:r>
      <w:r w:rsidRPr="00E41316">
        <w:rPr>
          <w:rFonts w:ascii="Times New Roman" w:hAnsi="Times New Roman" w:cs="Times New Roman"/>
          <w:sz w:val="24"/>
          <w:szCs w:val="24"/>
          <w:lang w:val="ru-RU"/>
        </w:rPr>
        <w:t xml:space="preserve">Регламент </w:t>
      </w:r>
      <w:r w:rsidRPr="00E41316">
        <w:rPr>
          <w:rFonts w:ascii="Times New Roman" w:hAnsi="Times New Roman" w:cs="Times New Roman"/>
          <w:sz w:val="24"/>
          <w:szCs w:val="24"/>
        </w:rPr>
        <w:t xml:space="preserve">№ </w:t>
      </w:r>
      <w:r w:rsidRPr="00E41316">
        <w:rPr>
          <w:rFonts w:ascii="Times New Roman" w:hAnsi="Times New Roman" w:cs="Times New Roman"/>
          <w:sz w:val="24"/>
          <w:szCs w:val="24"/>
          <w:lang w:val="ru-RU"/>
        </w:rPr>
        <w:t>575/2013</w:t>
      </w:r>
      <w:r w:rsidRPr="00E41316">
        <w:rPr>
          <w:rFonts w:ascii="Times New Roman" w:hAnsi="Times New Roman" w:cs="Times New Roman"/>
          <w:sz w:val="24"/>
          <w:szCs w:val="24"/>
        </w:rPr>
        <w:t xml:space="preserve"> и Наредба № 50 инвестиционните посредници в зависимост от инвестиционните услуги и дейности, които имат право да извършват и предоставят, съгласно издадения лиценз, попълват и представят в КФН следните отчетни форми: 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sz w:val="24"/>
          <w:szCs w:val="24"/>
        </w:rPr>
        <w:t>1. Инвестиционни посредници, притежаващи капитал в размер на 1 500 000 лв. и имащи право да извършват дейности по чл. 5, ал. 2, т. 3 и 6 от ЗПФИ (по чл. 8, ал. 1 от ЗПФИ) представят в КФН следните отчетни форми:</w:t>
      </w:r>
    </w:p>
    <w:p w:rsidR="00E41316" w:rsidRPr="00E41316" w:rsidRDefault="00E41316" w:rsidP="002B441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b/>
          <w:sz w:val="24"/>
          <w:szCs w:val="24"/>
        </w:rPr>
        <w:t>всяко тримесечие</w:t>
      </w:r>
      <w:r w:rsidRPr="00E41316">
        <w:rPr>
          <w:rFonts w:ascii="Times New Roman" w:hAnsi="Times New Roman" w:cs="Times New Roman"/>
          <w:sz w:val="24"/>
          <w:szCs w:val="24"/>
        </w:rPr>
        <w:t xml:space="preserve"> (в срок до 12 май, 11 август, 11 ноември и 11 февруари):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sz w:val="24"/>
          <w:szCs w:val="24"/>
        </w:rPr>
        <w:t>-   Приложение</w:t>
      </w:r>
      <w:proofErr w:type="gramEnd"/>
      <w:r w:rsidRPr="00E41316">
        <w:rPr>
          <w:rFonts w:ascii="Times New Roman" w:hAnsi="Times New Roman" w:cs="Times New Roman"/>
          <w:sz w:val="24"/>
          <w:szCs w:val="24"/>
        </w:rPr>
        <w:t xml:space="preserve"> I: Отчитане на собствените средства и капиталови изисквания;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sz w:val="24"/>
          <w:szCs w:val="24"/>
        </w:rPr>
        <w:t xml:space="preserve">- Приложение III: Отчитане на финансова информация, съгласно МСФО </w:t>
      </w:r>
      <w:r w:rsidRPr="00E41316">
        <w:rPr>
          <w:rFonts w:ascii="Times New Roman" w:hAnsi="Times New Roman" w:cs="Times New Roman"/>
          <w:b/>
          <w:sz w:val="24"/>
          <w:szCs w:val="24"/>
        </w:rPr>
        <w:t>или</w:t>
      </w:r>
      <w:r w:rsidRPr="00E41316">
        <w:rPr>
          <w:rFonts w:ascii="Times New Roman" w:hAnsi="Times New Roman" w:cs="Times New Roman"/>
          <w:sz w:val="24"/>
          <w:szCs w:val="24"/>
        </w:rPr>
        <w:t xml:space="preserve"> Приложение IV: Отчитане на финансова информация, съгласно национални счетоводни принципи (ако прилагат национални счетоводни стандарти);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sz w:val="24"/>
          <w:szCs w:val="24"/>
        </w:rPr>
        <w:t>- Приложение VIII: Образци за отчитане на големи експозиции и риск от концентрация;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sz w:val="24"/>
          <w:szCs w:val="24"/>
        </w:rPr>
        <w:t>-   Приложение</w:t>
      </w:r>
      <w:proofErr w:type="gramEnd"/>
      <w:r w:rsidRPr="00E413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1316">
        <w:rPr>
          <w:rFonts w:ascii="Times New Roman" w:hAnsi="Times New Roman" w:cs="Times New Roman"/>
          <w:sz w:val="24"/>
          <w:szCs w:val="24"/>
        </w:rPr>
        <w:t xml:space="preserve">X: Отчитане на </w:t>
      </w:r>
      <w:proofErr w:type="spellStart"/>
      <w:r w:rsidRPr="00E41316">
        <w:rPr>
          <w:rFonts w:ascii="Times New Roman" w:hAnsi="Times New Roman" w:cs="Times New Roman"/>
          <w:sz w:val="24"/>
          <w:szCs w:val="24"/>
        </w:rPr>
        <w:t>ливъридж</w:t>
      </w:r>
      <w:proofErr w:type="spellEnd"/>
      <w:r w:rsidRPr="00E41316">
        <w:rPr>
          <w:rFonts w:ascii="Times New Roman" w:hAnsi="Times New Roman" w:cs="Times New Roman"/>
          <w:sz w:val="24"/>
          <w:szCs w:val="24"/>
        </w:rPr>
        <w:t>;</w:t>
      </w:r>
    </w:p>
    <w:p w:rsidR="00E41316" w:rsidRPr="00E41316" w:rsidRDefault="00E41316" w:rsidP="002B441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b/>
          <w:sz w:val="24"/>
          <w:szCs w:val="24"/>
        </w:rPr>
        <w:t>всяко</w:t>
      </w:r>
      <w:proofErr w:type="gramEnd"/>
      <w:r w:rsidRPr="00E41316">
        <w:rPr>
          <w:rFonts w:ascii="Times New Roman" w:hAnsi="Times New Roman" w:cs="Times New Roman"/>
          <w:b/>
          <w:sz w:val="24"/>
          <w:szCs w:val="24"/>
        </w:rPr>
        <w:t xml:space="preserve"> тримесечие</w:t>
      </w:r>
      <w:r w:rsidRPr="00E41316">
        <w:rPr>
          <w:rFonts w:ascii="Times New Roman" w:hAnsi="Times New Roman" w:cs="Times New Roman"/>
          <w:sz w:val="24"/>
          <w:szCs w:val="24"/>
        </w:rPr>
        <w:t xml:space="preserve"> (в срок до </w:t>
      </w:r>
      <w:r w:rsidRPr="00E41316">
        <w:rPr>
          <w:rFonts w:ascii="Times New Roman" w:hAnsi="Times New Roman" w:cs="Times New Roman"/>
          <w:sz w:val="24"/>
          <w:szCs w:val="24"/>
          <w:lang/>
        </w:rPr>
        <w:t>15-о число на следващия месец след изтичане на отчетния период</w:t>
      </w:r>
      <w:r w:rsidRPr="00E41316">
        <w:rPr>
          <w:rFonts w:ascii="Times New Roman" w:hAnsi="Times New Roman" w:cs="Times New Roman"/>
          <w:sz w:val="24"/>
          <w:szCs w:val="24"/>
        </w:rPr>
        <w:t>)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sz w:val="24"/>
          <w:szCs w:val="24"/>
        </w:rPr>
        <w:t>-  Допълнителни</w:t>
      </w:r>
      <w:proofErr w:type="gramEnd"/>
      <w:r w:rsidRPr="00E41316">
        <w:rPr>
          <w:rFonts w:ascii="Times New Roman" w:hAnsi="Times New Roman" w:cs="Times New Roman"/>
          <w:sz w:val="24"/>
          <w:szCs w:val="24"/>
        </w:rPr>
        <w:t xml:space="preserve"> справки от № 1 до № 8, Справка към счетоводен баланс и Справка за приходите и разходите по одобрени образци от заместник-председателя на КФН, ръководещ управление „Надзор на инвестиционната дейност”.</w:t>
      </w:r>
    </w:p>
    <w:p w:rsidR="00E41316" w:rsidRPr="00E41316" w:rsidRDefault="00E41316" w:rsidP="002B441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b/>
          <w:sz w:val="24"/>
          <w:szCs w:val="24"/>
        </w:rPr>
        <w:t>всеки</w:t>
      </w:r>
      <w:proofErr w:type="gramEnd"/>
      <w:r w:rsidRPr="00E41316">
        <w:rPr>
          <w:rFonts w:ascii="Times New Roman" w:hAnsi="Times New Roman" w:cs="Times New Roman"/>
          <w:b/>
          <w:sz w:val="24"/>
          <w:szCs w:val="24"/>
        </w:rPr>
        <w:t xml:space="preserve"> месец</w:t>
      </w:r>
      <w:r w:rsidRPr="00E41316">
        <w:rPr>
          <w:rFonts w:ascii="Times New Roman" w:hAnsi="Times New Roman" w:cs="Times New Roman"/>
          <w:sz w:val="24"/>
          <w:szCs w:val="24"/>
        </w:rPr>
        <w:t xml:space="preserve"> (в срок до 15-</w:t>
      </w:r>
      <w:proofErr w:type="spellStart"/>
      <w:r w:rsidRPr="00E4131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E41316">
        <w:rPr>
          <w:rFonts w:ascii="Times New Roman" w:hAnsi="Times New Roman" w:cs="Times New Roman"/>
          <w:sz w:val="24"/>
          <w:szCs w:val="24"/>
        </w:rPr>
        <w:t xml:space="preserve"> календарен ден след датата на отчитане):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sz w:val="24"/>
          <w:szCs w:val="24"/>
        </w:rPr>
        <w:t>-   Приложение</w:t>
      </w:r>
      <w:proofErr w:type="gramEnd"/>
      <w:r w:rsidRPr="00E41316">
        <w:rPr>
          <w:rFonts w:ascii="Times New Roman" w:hAnsi="Times New Roman" w:cs="Times New Roman"/>
          <w:sz w:val="24"/>
          <w:szCs w:val="24"/>
        </w:rPr>
        <w:t xml:space="preserve"> XII: Отчитане на ликвидност.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sz w:val="24"/>
          <w:szCs w:val="24"/>
        </w:rPr>
        <w:t>2. Инвестиционни посредници, притежаващи капитал в размер на 250 000 лв. и които нямат право да извършват дейности по чл. 5, ал. 2, т. 3 и 6 от ЗПФИ (по чл. 8, ал. 2 от ЗПФИ) представят в КФН следните отчетни форми:</w:t>
      </w:r>
    </w:p>
    <w:p w:rsidR="00E41316" w:rsidRPr="00E41316" w:rsidRDefault="00E41316" w:rsidP="002B441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b/>
          <w:sz w:val="24"/>
          <w:szCs w:val="24"/>
        </w:rPr>
        <w:t>всяко</w:t>
      </w:r>
      <w:proofErr w:type="gramEnd"/>
      <w:r w:rsidRPr="00E41316">
        <w:rPr>
          <w:rFonts w:ascii="Times New Roman" w:hAnsi="Times New Roman" w:cs="Times New Roman"/>
          <w:b/>
          <w:sz w:val="24"/>
          <w:szCs w:val="24"/>
        </w:rPr>
        <w:t xml:space="preserve"> тримесечие</w:t>
      </w:r>
      <w:r w:rsidRPr="00E41316">
        <w:rPr>
          <w:rFonts w:ascii="Times New Roman" w:hAnsi="Times New Roman" w:cs="Times New Roman"/>
          <w:sz w:val="24"/>
          <w:szCs w:val="24"/>
        </w:rPr>
        <w:t xml:space="preserve"> (в срок до 12 май, 11 август, 11 ноември и 11 февруари)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sz w:val="24"/>
          <w:szCs w:val="24"/>
        </w:rPr>
        <w:t>-  Приложение</w:t>
      </w:r>
      <w:proofErr w:type="gramEnd"/>
      <w:r w:rsidRPr="00E41316">
        <w:rPr>
          <w:rFonts w:ascii="Times New Roman" w:hAnsi="Times New Roman" w:cs="Times New Roman"/>
          <w:sz w:val="24"/>
          <w:szCs w:val="24"/>
        </w:rPr>
        <w:t xml:space="preserve"> I: Отчитане на собствените средства и капиталови изисквания;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sz w:val="24"/>
          <w:szCs w:val="24"/>
        </w:rPr>
        <w:t xml:space="preserve">- Приложение III: Отчитане на финансова информация, съгласно МСФО </w:t>
      </w:r>
      <w:r w:rsidRPr="00E41316">
        <w:rPr>
          <w:rFonts w:ascii="Times New Roman" w:hAnsi="Times New Roman" w:cs="Times New Roman"/>
          <w:b/>
          <w:sz w:val="24"/>
          <w:szCs w:val="24"/>
        </w:rPr>
        <w:t>или</w:t>
      </w:r>
      <w:r w:rsidRPr="00E41316">
        <w:rPr>
          <w:rFonts w:ascii="Times New Roman" w:hAnsi="Times New Roman" w:cs="Times New Roman"/>
          <w:sz w:val="24"/>
          <w:szCs w:val="24"/>
        </w:rPr>
        <w:t xml:space="preserve"> Приложение IV: Отчитане на финансова информация, съгласно национални счетоводни принципи (ако прилагат национални счетоводни стандарти);</w:t>
      </w:r>
    </w:p>
    <w:p w:rsidR="00E41316" w:rsidRPr="00E41316" w:rsidRDefault="00E41316" w:rsidP="002B441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b/>
          <w:sz w:val="24"/>
          <w:szCs w:val="24"/>
        </w:rPr>
        <w:t>всяко</w:t>
      </w:r>
      <w:proofErr w:type="gramEnd"/>
      <w:r w:rsidRPr="00E41316">
        <w:rPr>
          <w:rFonts w:ascii="Times New Roman" w:hAnsi="Times New Roman" w:cs="Times New Roman"/>
          <w:b/>
          <w:sz w:val="24"/>
          <w:szCs w:val="24"/>
        </w:rPr>
        <w:t xml:space="preserve"> тримесечие</w:t>
      </w:r>
      <w:r w:rsidRPr="00E41316">
        <w:rPr>
          <w:rFonts w:ascii="Times New Roman" w:hAnsi="Times New Roman" w:cs="Times New Roman"/>
          <w:sz w:val="24"/>
          <w:szCs w:val="24"/>
        </w:rPr>
        <w:t xml:space="preserve"> (в срок до </w:t>
      </w:r>
      <w:r w:rsidRPr="00E41316">
        <w:rPr>
          <w:rFonts w:ascii="Times New Roman" w:hAnsi="Times New Roman" w:cs="Times New Roman"/>
          <w:sz w:val="24"/>
          <w:szCs w:val="24"/>
          <w:lang/>
        </w:rPr>
        <w:t>15-о число на следващия месец след изтичане на отчетния период</w:t>
      </w:r>
      <w:r w:rsidRPr="00E41316">
        <w:rPr>
          <w:rFonts w:ascii="Times New Roman" w:hAnsi="Times New Roman" w:cs="Times New Roman"/>
          <w:sz w:val="24"/>
          <w:szCs w:val="24"/>
        </w:rPr>
        <w:t>)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sz w:val="24"/>
          <w:szCs w:val="24"/>
        </w:rPr>
        <w:t>- Допълнителни справки от № 1 до № 8, Справка към счетоводен баланс и Справка за приходите и разходите по одобрени образци от заместник-председателя на КФН, ръководещ управление „Надзор на инвестиционната дейност”.</w:t>
      </w:r>
    </w:p>
    <w:p w:rsidR="00E41316" w:rsidRPr="00BA0B53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E41316">
        <w:rPr>
          <w:rFonts w:ascii="Times New Roman" w:hAnsi="Times New Roman" w:cs="Times New Roman"/>
          <w:i/>
          <w:sz w:val="24"/>
          <w:szCs w:val="24"/>
        </w:rPr>
        <w:t xml:space="preserve">Забележка: Тези </w:t>
      </w:r>
      <w:r w:rsidRPr="00E413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инвестиционните посредници не изпълняват изисквания</w:t>
      </w:r>
      <w:r w:rsidRPr="00E41316">
        <w:rPr>
          <w:rFonts w:ascii="Times New Roman" w:hAnsi="Times New Roman" w:cs="Times New Roman"/>
          <w:i/>
          <w:color w:val="000000"/>
          <w:sz w:val="24"/>
          <w:szCs w:val="24"/>
        </w:rPr>
        <w:t>та</w:t>
      </w:r>
      <w:r w:rsidRPr="00E413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по част шеста </w:t>
      </w:r>
      <w:r w:rsidRPr="00E41316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E4131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Регламент </w:t>
      </w:r>
      <w:r w:rsidRPr="00E41316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Pr="00E41316">
        <w:rPr>
          <w:rFonts w:ascii="Times New Roman" w:hAnsi="Times New Roman" w:cs="Times New Roman"/>
          <w:i/>
          <w:sz w:val="24"/>
          <w:szCs w:val="24"/>
          <w:lang w:val="ru-RU"/>
        </w:rPr>
        <w:t>575/2013</w:t>
      </w:r>
      <w:r w:rsidRPr="00E413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(относно ликвидността), </w:t>
      </w:r>
      <w:proofErr w:type="gramStart"/>
      <w:r w:rsidRPr="00E413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освен ако</w:t>
      </w:r>
      <w:proofErr w:type="gramEnd"/>
      <w:r w:rsidRPr="00E4131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върху тях не се осъществява надзор на консолидирана основа</w:t>
      </w:r>
      <w:r w:rsidRPr="00BA0B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="00BA0B53" w:rsidRPr="00BA0B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 случай, че </w:t>
      </w:r>
      <w:r w:rsidR="00BA0B53" w:rsidRPr="00BA0B53">
        <w:rPr>
          <w:rFonts w:ascii="Times New Roman" w:hAnsi="Times New Roman" w:cs="Times New Roman"/>
          <w:i/>
          <w:sz w:val="24"/>
          <w:szCs w:val="24"/>
        </w:rPr>
        <w:t>ИП</w:t>
      </w:r>
      <w:r w:rsidR="00BA0B53" w:rsidRPr="00BA0B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бъде определен като </w:t>
      </w:r>
      <w:r w:rsidR="00BA0B53" w:rsidRPr="00BA0B53">
        <w:rPr>
          <w:rFonts w:ascii="Times New Roman" w:hAnsi="Times New Roman" w:cs="Times New Roman"/>
          <w:i/>
          <w:sz w:val="24"/>
          <w:szCs w:val="24"/>
        </w:rPr>
        <w:t xml:space="preserve">ИП, спрямо който се прилага надзор на консолидирана основа, то същият ще трябва да прилага изискванията относно ликвидността по </w:t>
      </w:r>
      <w:r w:rsidR="00BA0B53" w:rsidRPr="00BA0B5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част шеста </w:t>
      </w:r>
      <w:r w:rsidR="00BA0B53" w:rsidRPr="00BA0B5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BA0B53" w:rsidRPr="00BA0B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Регламент </w:t>
      </w:r>
      <w:r w:rsidR="00BA0B53" w:rsidRPr="00BA0B53">
        <w:rPr>
          <w:rFonts w:ascii="Times New Roman" w:hAnsi="Times New Roman" w:cs="Times New Roman"/>
          <w:i/>
          <w:sz w:val="24"/>
          <w:szCs w:val="24"/>
        </w:rPr>
        <w:t xml:space="preserve">№ </w:t>
      </w:r>
      <w:r w:rsidR="00BA0B53" w:rsidRPr="00BA0B53">
        <w:rPr>
          <w:rFonts w:ascii="Times New Roman" w:hAnsi="Times New Roman" w:cs="Times New Roman"/>
          <w:i/>
          <w:sz w:val="24"/>
          <w:szCs w:val="24"/>
          <w:lang w:val="ru-RU"/>
        </w:rPr>
        <w:t>575/2013 на консолидирана основа</w:t>
      </w:r>
      <w:r w:rsidR="00BA0B53" w:rsidRPr="00BA0B53">
        <w:rPr>
          <w:rFonts w:ascii="Times New Roman" w:hAnsi="Times New Roman" w:cs="Times New Roman"/>
          <w:i/>
          <w:sz w:val="24"/>
          <w:szCs w:val="24"/>
        </w:rPr>
        <w:t>.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sz w:val="24"/>
          <w:szCs w:val="24"/>
        </w:rPr>
        <w:t>3. Инвестиционни посредници, притежаващи капитал в размер на 100 000 лв. и които имат право да извършват дейности по чл. 5, ал. 2, т. 1, 2, 4 и 5 от ЗПФИ и нямат право да държат активи на клиенти (по чл. 8, ал. 3 и 5 от ЗПФИ) представят в КФН следните отчетни форми:</w:t>
      </w:r>
    </w:p>
    <w:p w:rsidR="00E41316" w:rsidRPr="00E41316" w:rsidRDefault="00E41316" w:rsidP="002B441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316">
        <w:rPr>
          <w:rFonts w:ascii="Times New Roman" w:hAnsi="Times New Roman" w:cs="Times New Roman"/>
          <w:b/>
          <w:sz w:val="24"/>
          <w:szCs w:val="24"/>
        </w:rPr>
        <w:t>всяко</w:t>
      </w:r>
      <w:proofErr w:type="gramEnd"/>
      <w:r w:rsidRPr="00E41316">
        <w:rPr>
          <w:rFonts w:ascii="Times New Roman" w:hAnsi="Times New Roman" w:cs="Times New Roman"/>
          <w:b/>
          <w:sz w:val="24"/>
          <w:szCs w:val="24"/>
        </w:rPr>
        <w:t xml:space="preserve"> тримесечие</w:t>
      </w:r>
      <w:r w:rsidRPr="00E41316">
        <w:rPr>
          <w:rFonts w:ascii="Times New Roman" w:hAnsi="Times New Roman" w:cs="Times New Roman"/>
          <w:sz w:val="24"/>
          <w:szCs w:val="24"/>
        </w:rPr>
        <w:t xml:space="preserve"> (в срок до </w:t>
      </w:r>
      <w:r w:rsidRPr="00E41316">
        <w:rPr>
          <w:rFonts w:ascii="Times New Roman" w:hAnsi="Times New Roman" w:cs="Times New Roman"/>
          <w:sz w:val="24"/>
          <w:szCs w:val="24"/>
          <w:lang/>
        </w:rPr>
        <w:t>15-о число на следващия месец след изтичане на отчетния период</w:t>
      </w:r>
      <w:r w:rsidRPr="00E41316">
        <w:rPr>
          <w:rFonts w:ascii="Times New Roman" w:hAnsi="Times New Roman" w:cs="Times New Roman"/>
          <w:sz w:val="24"/>
          <w:szCs w:val="24"/>
        </w:rPr>
        <w:t>)</w:t>
      </w:r>
    </w:p>
    <w:p w:rsidR="00E41316" w:rsidRPr="00E41316" w:rsidRDefault="00E41316" w:rsidP="002B4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316">
        <w:rPr>
          <w:rFonts w:ascii="Times New Roman" w:hAnsi="Times New Roman" w:cs="Times New Roman"/>
          <w:sz w:val="24"/>
          <w:szCs w:val="24"/>
        </w:rPr>
        <w:lastRenderedPageBreak/>
        <w:t>- Допълнителни справки от № 1 до № 8, Справка към счетоводен баланс и Справка за приходите и разходите по одобрени образци от заместник-председателя на КФН, ръководещ управление „Надзор на инвестиционната дейност”.</w:t>
      </w:r>
    </w:p>
    <w:p w:rsidR="00394384" w:rsidRDefault="00394384" w:rsidP="002B44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413" w:rsidRPr="002B4413" w:rsidRDefault="002B4413" w:rsidP="002B44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4413">
        <w:rPr>
          <w:rFonts w:ascii="Times New Roman" w:hAnsi="Times New Roman" w:cs="Times New Roman"/>
          <w:b/>
          <w:sz w:val="24"/>
          <w:szCs w:val="24"/>
        </w:rPr>
        <w:t>Въпрос</w:t>
      </w:r>
      <w:r w:rsidRPr="002B4413">
        <w:rPr>
          <w:rFonts w:ascii="Times New Roman" w:hAnsi="Times New Roman" w:cs="Times New Roman"/>
          <w:sz w:val="24"/>
          <w:szCs w:val="24"/>
        </w:rPr>
        <w:t>: За кои инвестиционни посредници се прилагат изискванията на част шеста от Регламент 575/2013 относно ликвидността?</w:t>
      </w:r>
    </w:p>
    <w:p w:rsidR="002B4413" w:rsidRPr="002B4413" w:rsidRDefault="002B4413" w:rsidP="002B4413">
      <w:pPr>
        <w:pStyle w:val="CM1"/>
        <w:tabs>
          <w:tab w:val="left" w:pos="709"/>
          <w:tab w:val="left" w:pos="1134"/>
        </w:tabs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</w:rPr>
        <w:tab/>
      </w:r>
      <w:r w:rsidRPr="002B4413">
        <w:rPr>
          <w:rFonts w:ascii="Times New Roman" w:hAnsi="Times New Roman"/>
          <w:b/>
        </w:rPr>
        <w:t>Отговор</w:t>
      </w:r>
      <w:r w:rsidRPr="002B4413">
        <w:rPr>
          <w:rFonts w:ascii="Times New Roman" w:hAnsi="Times New Roman"/>
        </w:rPr>
        <w:t xml:space="preserve">: Съгласно чл. 6, </w:t>
      </w:r>
      <w:proofErr w:type="spellStart"/>
      <w:r w:rsidRPr="002B4413">
        <w:rPr>
          <w:rFonts w:ascii="Times New Roman" w:hAnsi="Times New Roman"/>
        </w:rPr>
        <w:t>пар</w:t>
      </w:r>
      <w:proofErr w:type="spellEnd"/>
      <w:r w:rsidRPr="002B4413">
        <w:rPr>
          <w:rFonts w:ascii="Times New Roman" w:hAnsi="Times New Roman"/>
        </w:rPr>
        <w:t xml:space="preserve">. </w:t>
      </w:r>
      <w:proofErr w:type="gramStart"/>
      <w:r w:rsidRPr="002B4413">
        <w:rPr>
          <w:rFonts w:ascii="Times New Roman" w:hAnsi="Times New Roman"/>
        </w:rPr>
        <w:t>4 от</w:t>
      </w:r>
      <w:proofErr w:type="gramEnd"/>
      <w:r w:rsidRPr="002B4413">
        <w:rPr>
          <w:rFonts w:ascii="Times New Roman" w:hAnsi="Times New Roman"/>
        </w:rPr>
        <w:t xml:space="preserve"> Регламент № 575/2013 </w:t>
      </w:r>
      <w:r w:rsidRPr="002B4413">
        <w:rPr>
          <w:rFonts w:ascii="Times New Roman" w:hAnsi="Times New Roman"/>
          <w:color w:val="000000"/>
          <w:lang w:val="ru-RU"/>
        </w:rPr>
        <w:t xml:space="preserve">инвестиционните посредници, които са получили лиценз за предоставяне на инвестиционните услуги и дейностите, изброени в раздел А, точки 3 и 6 от приложение </w:t>
      </w:r>
      <w:r w:rsidRPr="002B4413">
        <w:rPr>
          <w:rFonts w:ascii="Times New Roman" w:hAnsi="Times New Roman"/>
          <w:color w:val="000000"/>
        </w:rPr>
        <w:t>I</w:t>
      </w:r>
      <w:r w:rsidRPr="002B4413">
        <w:rPr>
          <w:rFonts w:ascii="Times New Roman" w:hAnsi="Times New Roman"/>
          <w:color w:val="000000"/>
          <w:lang w:val="ru-RU"/>
        </w:rPr>
        <w:t xml:space="preserve"> към Директива 2004/39/ЕО (транспонирано в чл. 5, ал. 2, т. 3 и 6 от </w:t>
      </w:r>
      <w:r w:rsidR="0003372D">
        <w:rPr>
          <w:rFonts w:ascii="Times New Roman" w:hAnsi="Times New Roman"/>
          <w:color w:val="000000"/>
          <w:lang w:val="ru-RU"/>
        </w:rPr>
        <w:t>ЗПФИ</w:t>
      </w:r>
      <w:r w:rsidRPr="002B4413">
        <w:rPr>
          <w:rFonts w:ascii="Times New Roman" w:hAnsi="Times New Roman"/>
          <w:color w:val="000000"/>
          <w:lang w:val="ru-RU"/>
        </w:rPr>
        <w:t xml:space="preserve">), изпълняват посочените в шеста част задължения на индивидуална основа. Следователно инвестиционните посредници, които нямат издадено разрешение за предоставяне на гореописаните услуги и дейностите, не изпълняват тези изисквания, освен ако върху тях не се осъществява надзор на консолидирана основа. </w:t>
      </w:r>
      <w:r w:rsidRPr="002B4413">
        <w:rPr>
          <w:rFonts w:ascii="Times New Roman" w:hAnsi="Times New Roman"/>
          <w:lang w:val="ru-RU"/>
        </w:rPr>
        <w:t xml:space="preserve">В случай, че върху върху тях се осъществява надзор на консолидирана основа, то следва да се прилага чл. 11, параграф 3 </w:t>
      </w:r>
      <w:r w:rsidRPr="002B4413">
        <w:rPr>
          <w:rFonts w:ascii="Times New Roman" w:hAnsi="Times New Roman"/>
        </w:rPr>
        <w:t xml:space="preserve">от </w:t>
      </w:r>
      <w:r w:rsidRPr="002B4413">
        <w:rPr>
          <w:rFonts w:ascii="Times New Roman" w:hAnsi="Times New Roman"/>
          <w:lang w:val="ru-RU"/>
        </w:rPr>
        <w:t xml:space="preserve">Регламент </w:t>
      </w:r>
      <w:r w:rsidRPr="002B4413">
        <w:rPr>
          <w:rFonts w:ascii="Times New Roman" w:hAnsi="Times New Roman"/>
        </w:rPr>
        <w:t xml:space="preserve">№ </w:t>
      </w:r>
      <w:r w:rsidRPr="002B4413">
        <w:rPr>
          <w:rFonts w:ascii="Times New Roman" w:hAnsi="Times New Roman"/>
          <w:lang w:val="ru-RU"/>
        </w:rPr>
        <w:t>575/2013.</w:t>
      </w:r>
    </w:p>
    <w:p w:rsidR="002B4413" w:rsidRDefault="002B4413" w:rsidP="002B4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41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Следва да се има предвид, че съгласно чл. 508, параграф 2 от Регламент № 575/2013, </w:t>
      </w:r>
      <w:r w:rsidRPr="002B4413">
        <w:rPr>
          <w:rFonts w:ascii="Times New Roman" w:hAnsi="Times New Roman" w:cs="Times New Roman"/>
          <w:sz w:val="24"/>
          <w:szCs w:val="24"/>
          <w:lang w:eastAsia="bg-BG"/>
        </w:rPr>
        <w:t xml:space="preserve">се предвижда </w:t>
      </w:r>
      <w:r w:rsidRPr="002B441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да бъдат приети промени по отношение на прилагането на изискванията за ликвидно покритие по част шеста от </w:t>
      </w:r>
      <w:r w:rsidRPr="002B4413">
        <w:rPr>
          <w:rFonts w:ascii="Times New Roman" w:hAnsi="Times New Roman" w:cs="Times New Roman"/>
          <w:sz w:val="24"/>
          <w:szCs w:val="24"/>
          <w:lang w:val="ru-RU"/>
        </w:rPr>
        <w:t xml:space="preserve">Регламент </w:t>
      </w:r>
      <w:r w:rsidRPr="002B4413">
        <w:rPr>
          <w:rFonts w:ascii="Times New Roman" w:hAnsi="Times New Roman" w:cs="Times New Roman"/>
          <w:sz w:val="24"/>
          <w:szCs w:val="24"/>
        </w:rPr>
        <w:t xml:space="preserve">№ </w:t>
      </w:r>
      <w:r w:rsidRPr="002B4413">
        <w:rPr>
          <w:rFonts w:ascii="Times New Roman" w:hAnsi="Times New Roman" w:cs="Times New Roman"/>
          <w:sz w:val="24"/>
          <w:szCs w:val="24"/>
          <w:lang w:val="ru-RU"/>
        </w:rPr>
        <w:t>575/2013</w:t>
      </w:r>
    </w:p>
    <w:p w:rsidR="00690FB9" w:rsidRPr="00690FB9" w:rsidRDefault="00690FB9" w:rsidP="0069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0FB9" w:rsidRPr="00690FB9" w:rsidRDefault="00690FB9" w:rsidP="00690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B9">
        <w:rPr>
          <w:rFonts w:ascii="Times New Roman" w:hAnsi="Times New Roman" w:cs="Times New Roman"/>
          <w:b/>
          <w:sz w:val="24"/>
          <w:szCs w:val="24"/>
        </w:rPr>
        <w:t>Въпрос</w:t>
      </w:r>
      <w:r w:rsidRPr="00690FB9">
        <w:rPr>
          <w:rFonts w:ascii="Times New Roman" w:hAnsi="Times New Roman" w:cs="Times New Roman"/>
          <w:sz w:val="24"/>
          <w:szCs w:val="24"/>
        </w:rPr>
        <w:t>: За кои инвестиционни посредници се прилагат изискванията на част четвърта от Регламент № 575/2013 относно големите експозиции?</w:t>
      </w:r>
    </w:p>
    <w:p w:rsidR="00690FB9" w:rsidRPr="00690FB9" w:rsidRDefault="00690FB9" w:rsidP="00690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690FB9">
        <w:rPr>
          <w:rFonts w:ascii="Times New Roman" w:hAnsi="Times New Roman" w:cs="Times New Roman"/>
          <w:sz w:val="24"/>
          <w:szCs w:val="24"/>
        </w:rPr>
        <w:t xml:space="preserve">: В чл. </w:t>
      </w:r>
      <w:r w:rsidRPr="00690FB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388 от Регламент № 575/2013 са посочени и</w:t>
      </w:r>
      <w:r w:rsidRPr="00690FB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зключения от обхвата, а именно - </w:t>
      </w:r>
      <w:r w:rsidRPr="00690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инвестиционните посредници, които отговарят на критериите по член 95, параграф 1 или член 96, параграф 1 от същия регламент. Ч</w:t>
      </w:r>
      <w:proofErr w:type="spellStart"/>
      <w:r w:rsidRPr="00690FB9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690FB9">
        <w:rPr>
          <w:rFonts w:ascii="Times New Roman" w:hAnsi="Times New Roman" w:cs="Times New Roman"/>
          <w:sz w:val="24"/>
          <w:szCs w:val="24"/>
        </w:rPr>
        <w:t xml:space="preserve"> четвърта от Регламент № 575/2013 </w:t>
      </w:r>
      <w:r w:rsidRPr="00690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се прилага по отношение на консолидирана група, ако тази група включва единствено инвестиционни посредници, посочени в член 95, параграф 1 или член 96, параграф 1 от същия регламент, и спомагателни дружества и която не включва кредитни институции.</w:t>
      </w:r>
    </w:p>
    <w:p w:rsidR="00690FB9" w:rsidRPr="00690FB9" w:rsidRDefault="00690FB9" w:rsidP="00690FB9">
      <w:pPr>
        <w:pStyle w:val="CM11"/>
        <w:ind w:firstLine="709"/>
        <w:jc w:val="both"/>
        <w:rPr>
          <w:rFonts w:ascii="Times New Roman" w:hAnsi="Times New Roman"/>
        </w:rPr>
      </w:pPr>
      <w:r w:rsidRPr="00690FB9">
        <w:rPr>
          <w:rFonts w:ascii="Times New Roman" w:hAnsi="Times New Roman"/>
          <w:color w:val="000000"/>
          <w:lang w:val="ru-RU"/>
        </w:rPr>
        <w:t xml:space="preserve">Предвид разпоредбата на член 95, параграф 1 или член 96, параграф 1 от </w:t>
      </w:r>
      <w:r w:rsidRPr="00690FB9">
        <w:rPr>
          <w:rFonts w:ascii="Times New Roman" w:hAnsi="Times New Roman"/>
        </w:rPr>
        <w:t xml:space="preserve">Регламент № 575/2013, става ясно, че част четвърта от същия регламент </w:t>
      </w:r>
      <w:r w:rsidRPr="00690FB9">
        <w:rPr>
          <w:rFonts w:ascii="Times New Roman" w:hAnsi="Times New Roman"/>
          <w:b/>
          <w:color w:val="000000"/>
        </w:rPr>
        <w:t>не</w:t>
      </w:r>
      <w:r w:rsidRPr="00690FB9">
        <w:rPr>
          <w:rFonts w:ascii="Times New Roman" w:hAnsi="Times New Roman"/>
          <w:color w:val="000000"/>
        </w:rPr>
        <w:t xml:space="preserve"> се прилага по отношение на </w:t>
      </w:r>
      <w:r w:rsidRPr="00690FB9">
        <w:rPr>
          <w:rFonts w:ascii="Times New Roman" w:hAnsi="Times New Roman"/>
        </w:rPr>
        <w:t>следните дружества:</w:t>
      </w:r>
    </w:p>
    <w:p w:rsidR="00690FB9" w:rsidRPr="00690FB9" w:rsidRDefault="00690FB9" w:rsidP="00690FB9">
      <w:pPr>
        <w:pStyle w:val="CM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</w:rPr>
      </w:pPr>
      <w:proofErr w:type="gramStart"/>
      <w:r w:rsidRPr="00690FB9">
        <w:rPr>
          <w:rFonts w:ascii="Times New Roman" w:hAnsi="Times New Roman"/>
          <w:color w:val="000000"/>
        </w:rPr>
        <w:t>инвестиционните</w:t>
      </w:r>
      <w:proofErr w:type="gramEnd"/>
      <w:r w:rsidRPr="00690FB9">
        <w:rPr>
          <w:rFonts w:ascii="Times New Roman" w:hAnsi="Times New Roman"/>
          <w:color w:val="000000"/>
        </w:rPr>
        <w:t xml:space="preserve"> посредници, които </w:t>
      </w:r>
      <w:r w:rsidRPr="00690FB9">
        <w:rPr>
          <w:rFonts w:ascii="Times New Roman" w:hAnsi="Times New Roman"/>
          <w:b/>
          <w:color w:val="000000"/>
        </w:rPr>
        <w:t>не са лицензирани</w:t>
      </w:r>
      <w:r w:rsidRPr="00690FB9">
        <w:rPr>
          <w:rFonts w:ascii="Times New Roman" w:hAnsi="Times New Roman"/>
          <w:color w:val="000000"/>
        </w:rPr>
        <w:t xml:space="preserve"> да предоставят инвестиционните услуги и дейности, изброени в раздел А, точки 3 и 6 от приложение I към Директива 2004/39/ЕО </w:t>
      </w:r>
      <w:r w:rsidRPr="00690FB9">
        <w:rPr>
          <w:rFonts w:ascii="Times New Roman" w:hAnsi="Times New Roman"/>
          <w:color w:val="000000"/>
          <w:lang w:val="ru-RU"/>
        </w:rPr>
        <w:t xml:space="preserve">(транспонирано в чл. 5, ал. 2, т. 3 и 6 от ЗПФИ). </w:t>
      </w:r>
    </w:p>
    <w:p w:rsidR="00690FB9" w:rsidRPr="00690FB9" w:rsidRDefault="00690FB9" w:rsidP="00690FB9">
      <w:pPr>
        <w:pStyle w:val="CM41"/>
        <w:ind w:firstLine="709"/>
        <w:jc w:val="both"/>
        <w:rPr>
          <w:rFonts w:ascii="Times New Roman" w:hAnsi="Times New Roman"/>
          <w:color w:val="000000"/>
        </w:rPr>
      </w:pPr>
      <w:r w:rsidRPr="00690FB9">
        <w:rPr>
          <w:rFonts w:ascii="Times New Roman" w:hAnsi="Times New Roman"/>
          <w:iCs/>
          <w:color w:val="000000"/>
        </w:rPr>
        <w:t>2.</w:t>
      </w:r>
      <w:r w:rsidRPr="00690FB9">
        <w:rPr>
          <w:rFonts w:ascii="Times New Roman" w:hAnsi="Times New Roman"/>
          <w:bCs/>
          <w:color w:val="000000"/>
        </w:rPr>
        <w:t xml:space="preserve"> </w:t>
      </w:r>
      <w:proofErr w:type="gramStart"/>
      <w:r w:rsidRPr="00690FB9">
        <w:rPr>
          <w:rFonts w:ascii="Times New Roman" w:hAnsi="Times New Roman"/>
          <w:bCs/>
          <w:color w:val="000000"/>
        </w:rPr>
        <w:t>инвестиционните</w:t>
      </w:r>
      <w:proofErr w:type="gramEnd"/>
      <w:r w:rsidRPr="00690FB9">
        <w:rPr>
          <w:rFonts w:ascii="Times New Roman" w:hAnsi="Times New Roman"/>
          <w:bCs/>
          <w:color w:val="000000"/>
        </w:rPr>
        <w:t xml:space="preserve"> посредници, които имат начален капитал, предвиден в член 28, параграф 2 от Директива 2013/36/ЕС (т.е 730 000 евро) и са: </w:t>
      </w:r>
    </w:p>
    <w:p w:rsidR="00690FB9" w:rsidRPr="00690FB9" w:rsidRDefault="00690FB9" w:rsidP="00690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а) инвестиционни посредници, които извършват сделки за своя сметка само с цел изпълнение на поръчка на клиент или за целите на получаване на достъп до система за клиринг и сетълмент или до призната борса, когато действат в качеството на посредник или изпълняват поръчка на клиент; </w:t>
      </w:r>
    </w:p>
    <w:p w:rsidR="00690FB9" w:rsidRPr="00690FB9" w:rsidRDefault="00690FB9" w:rsidP="00690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90F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</w:t>
      </w:r>
    </w:p>
    <w:p w:rsidR="00690FB9" w:rsidRPr="00690FB9" w:rsidRDefault="00690FB9" w:rsidP="00690FB9">
      <w:pPr>
        <w:pStyle w:val="CM41"/>
        <w:ind w:firstLine="709"/>
        <w:jc w:val="both"/>
        <w:rPr>
          <w:rFonts w:ascii="Times New Roman" w:hAnsi="Times New Roman"/>
          <w:color w:val="000000"/>
        </w:rPr>
      </w:pPr>
      <w:proofErr w:type="gramStart"/>
      <w:r w:rsidRPr="00690FB9">
        <w:rPr>
          <w:rFonts w:ascii="Times New Roman" w:hAnsi="Times New Roman"/>
          <w:color w:val="000000"/>
        </w:rPr>
        <w:t>б</w:t>
      </w:r>
      <w:proofErr w:type="gramEnd"/>
      <w:r w:rsidRPr="00690FB9">
        <w:rPr>
          <w:rFonts w:ascii="Times New Roman" w:hAnsi="Times New Roman"/>
          <w:color w:val="000000"/>
        </w:rPr>
        <w:t xml:space="preserve">) инвестиционните посредници, които отговарят на всички условия по-долу: </w:t>
      </w:r>
    </w:p>
    <w:p w:rsidR="00690FB9" w:rsidRPr="00690FB9" w:rsidRDefault="00690FB9" w:rsidP="00690FB9">
      <w:pPr>
        <w:pStyle w:val="CM41"/>
        <w:numPr>
          <w:ilvl w:val="0"/>
          <w:numId w:val="3"/>
        </w:numPr>
        <w:ind w:left="993" w:firstLine="0"/>
        <w:jc w:val="both"/>
        <w:rPr>
          <w:rFonts w:ascii="Times New Roman" w:hAnsi="Times New Roman"/>
          <w:color w:val="000000"/>
        </w:rPr>
      </w:pPr>
      <w:proofErr w:type="gramStart"/>
      <w:r w:rsidRPr="00690FB9">
        <w:rPr>
          <w:rFonts w:ascii="Times New Roman" w:hAnsi="Times New Roman"/>
          <w:color w:val="000000"/>
        </w:rPr>
        <w:t>не</w:t>
      </w:r>
      <w:proofErr w:type="gramEnd"/>
      <w:r w:rsidRPr="00690FB9">
        <w:rPr>
          <w:rFonts w:ascii="Times New Roman" w:hAnsi="Times New Roman"/>
          <w:color w:val="000000"/>
        </w:rPr>
        <w:t xml:space="preserve"> държат парични средства или ценни книжа на клиенти; </w:t>
      </w:r>
    </w:p>
    <w:p w:rsidR="00690FB9" w:rsidRPr="00690FB9" w:rsidRDefault="00690FB9" w:rsidP="00690FB9">
      <w:pPr>
        <w:pStyle w:val="CM41"/>
        <w:numPr>
          <w:ilvl w:val="0"/>
          <w:numId w:val="3"/>
        </w:numPr>
        <w:ind w:left="993" w:firstLine="0"/>
        <w:jc w:val="both"/>
        <w:rPr>
          <w:rFonts w:ascii="Times New Roman" w:hAnsi="Times New Roman"/>
          <w:color w:val="000000"/>
        </w:rPr>
      </w:pPr>
      <w:proofErr w:type="gramStart"/>
      <w:r w:rsidRPr="00690FB9">
        <w:rPr>
          <w:rFonts w:ascii="Times New Roman" w:hAnsi="Times New Roman"/>
          <w:color w:val="000000"/>
        </w:rPr>
        <w:t>извършват</w:t>
      </w:r>
      <w:proofErr w:type="gramEnd"/>
      <w:r w:rsidRPr="00690FB9">
        <w:rPr>
          <w:rFonts w:ascii="Times New Roman" w:hAnsi="Times New Roman"/>
          <w:color w:val="000000"/>
        </w:rPr>
        <w:t xml:space="preserve"> само сделки за своя сметка; </w:t>
      </w:r>
    </w:p>
    <w:p w:rsidR="00690FB9" w:rsidRPr="00690FB9" w:rsidRDefault="00690FB9" w:rsidP="00690FB9">
      <w:pPr>
        <w:pStyle w:val="CM41"/>
        <w:numPr>
          <w:ilvl w:val="0"/>
          <w:numId w:val="3"/>
        </w:numPr>
        <w:ind w:left="993" w:firstLine="0"/>
        <w:jc w:val="both"/>
        <w:rPr>
          <w:rFonts w:ascii="Times New Roman" w:hAnsi="Times New Roman"/>
          <w:color w:val="000000"/>
        </w:rPr>
      </w:pPr>
      <w:proofErr w:type="gramStart"/>
      <w:r w:rsidRPr="00690FB9">
        <w:rPr>
          <w:rFonts w:ascii="Times New Roman" w:hAnsi="Times New Roman"/>
          <w:color w:val="000000"/>
        </w:rPr>
        <w:t>нямат</w:t>
      </w:r>
      <w:proofErr w:type="gramEnd"/>
      <w:r w:rsidRPr="00690FB9">
        <w:rPr>
          <w:rFonts w:ascii="Times New Roman" w:hAnsi="Times New Roman"/>
          <w:color w:val="000000"/>
        </w:rPr>
        <w:t xml:space="preserve"> външни клиенти; </w:t>
      </w:r>
    </w:p>
    <w:p w:rsidR="00690FB9" w:rsidRPr="00690FB9" w:rsidRDefault="00690FB9" w:rsidP="00690FB9">
      <w:pPr>
        <w:widowControl w:val="0"/>
        <w:numPr>
          <w:ilvl w:val="0"/>
          <w:numId w:val="3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690F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изпълнението и сетълмента на сделките им отговаря клирингова институция и те са гарантирани от нея.</w:t>
      </w:r>
    </w:p>
    <w:p w:rsidR="00690FB9" w:rsidRPr="00690FB9" w:rsidRDefault="00690FB9" w:rsidP="00690F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690FB9" w:rsidRDefault="00690FB9" w:rsidP="0069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F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Следователно част </w:t>
      </w:r>
      <w:r w:rsidRPr="00690FB9">
        <w:rPr>
          <w:rFonts w:ascii="Times New Roman" w:hAnsi="Times New Roman" w:cs="Times New Roman"/>
          <w:sz w:val="24"/>
          <w:szCs w:val="24"/>
        </w:rPr>
        <w:t xml:space="preserve">четвърта от  Регламент № 575/2013 се прилага за инвестиционните посредници с начален капитал 1 500 000 лв., </w:t>
      </w:r>
      <w:proofErr w:type="gramStart"/>
      <w:r w:rsidRPr="00690FB9">
        <w:rPr>
          <w:rFonts w:ascii="Times New Roman" w:hAnsi="Times New Roman" w:cs="Times New Roman"/>
          <w:sz w:val="24"/>
          <w:szCs w:val="24"/>
        </w:rPr>
        <w:t>които</w:t>
      </w:r>
      <w:proofErr w:type="gramEnd"/>
      <w:r w:rsidRPr="00690FB9">
        <w:rPr>
          <w:rFonts w:ascii="Times New Roman" w:hAnsi="Times New Roman" w:cs="Times New Roman"/>
          <w:sz w:val="24"/>
          <w:szCs w:val="24"/>
        </w:rPr>
        <w:t xml:space="preserve"> са получили </w:t>
      </w:r>
      <w:r w:rsidRPr="00690FB9">
        <w:rPr>
          <w:rFonts w:ascii="Times New Roman" w:hAnsi="Times New Roman" w:cs="Times New Roman"/>
          <w:sz w:val="24"/>
          <w:szCs w:val="24"/>
        </w:rPr>
        <w:lastRenderedPageBreak/>
        <w:t xml:space="preserve">лиценз да извършват всички инвестиционни дейности и да предоставят всички инвестиционни услуги, посочени в чл. 5, ал. 2  </w:t>
      </w:r>
      <w:proofErr w:type="gramStart"/>
      <w:r w:rsidRPr="00690F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0FB9">
        <w:rPr>
          <w:rFonts w:ascii="Times New Roman" w:hAnsi="Times New Roman" w:cs="Times New Roman"/>
          <w:sz w:val="24"/>
          <w:szCs w:val="24"/>
        </w:rPr>
        <w:t xml:space="preserve"> ЗПФИ и допълнителните услуги по чл. 5, ал. 3, </w:t>
      </w:r>
      <w:proofErr w:type="gramStart"/>
      <w:r w:rsidRPr="00690FB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90FB9">
        <w:rPr>
          <w:rFonts w:ascii="Times New Roman" w:hAnsi="Times New Roman" w:cs="Times New Roman"/>
          <w:sz w:val="24"/>
          <w:szCs w:val="24"/>
        </w:rPr>
        <w:t>. 1 от ЗПФИ.</w:t>
      </w:r>
    </w:p>
    <w:p w:rsidR="00E54262" w:rsidRDefault="00E54262" w:rsidP="0069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262" w:rsidRPr="0003372D" w:rsidRDefault="00E54262" w:rsidP="00E5426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>: В какъв срок и с какви документи се уведомява за нововъзникнала голяма експозиция?</w:t>
      </w:r>
    </w:p>
    <w:p w:rsidR="00E54262" w:rsidRPr="0003372D" w:rsidRDefault="00E54262" w:rsidP="00E5426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03372D">
        <w:rPr>
          <w:rFonts w:ascii="Times New Roman" w:hAnsi="Times New Roman" w:cs="Times New Roman"/>
          <w:sz w:val="24"/>
          <w:szCs w:val="24"/>
        </w:rPr>
        <w:t xml:space="preserve">: Член 393 от Регламент № 575/2013 въвежда изискване инвестиционния посредник да разполага с надеждни административни и счетоводни процедури и подходящи механизми за вътрешен контрол, за да установява, управлява, следи, отчита и регистрира всички големи експозиции и последващите изменения в тях съгласно този регламент. В чл. 394 от Регламент № 575/2013 е въведено задължение за представяне на компетентните органи на определена в същия член информация за всяка голяма експозиция. Тази информация, съгласно чл. 394, </w:t>
      </w:r>
      <w:proofErr w:type="spellStart"/>
      <w:r w:rsidRPr="0003372D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03372D">
        <w:rPr>
          <w:rFonts w:ascii="Times New Roman" w:hAnsi="Times New Roman" w:cs="Times New Roman"/>
          <w:sz w:val="24"/>
          <w:szCs w:val="24"/>
        </w:rPr>
        <w:t xml:space="preserve">. 3 от Регламент № 575/2013 се представя поне два пъти годишно. </w:t>
      </w:r>
    </w:p>
    <w:p w:rsidR="00E54262" w:rsidRPr="0003372D" w:rsidRDefault="00E54262" w:rsidP="00E542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sz w:val="24"/>
          <w:szCs w:val="24"/>
        </w:rPr>
        <w:t xml:space="preserve">Сроковете за предоставяне на информацията са регламентирани в чл. 13 от  Регламент № 680/2014. Информация за експозициите по чл. 394, </w:t>
      </w:r>
      <w:proofErr w:type="spellStart"/>
      <w:r w:rsidRPr="0003372D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03372D">
        <w:rPr>
          <w:rFonts w:ascii="Times New Roman" w:hAnsi="Times New Roman" w:cs="Times New Roman"/>
          <w:sz w:val="24"/>
          <w:szCs w:val="24"/>
        </w:rPr>
        <w:t xml:space="preserve">. 1 и </w:t>
      </w:r>
      <w:proofErr w:type="spellStart"/>
      <w:r w:rsidRPr="0003372D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03372D">
        <w:rPr>
          <w:rFonts w:ascii="Times New Roman" w:hAnsi="Times New Roman" w:cs="Times New Roman"/>
          <w:sz w:val="24"/>
          <w:szCs w:val="24"/>
        </w:rPr>
        <w:t xml:space="preserve">. 2 от Регламент № 575/2013 се представя всяко тримесечие. </w:t>
      </w:r>
    </w:p>
    <w:p w:rsidR="00E54262" w:rsidRPr="0003372D" w:rsidRDefault="00E54262" w:rsidP="00E542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sz w:val="24"/>
          <w:szCs w:val="24"/>
        </w:rPr>
        <w:t xml:space="preserve">Не е предвидено незабавно уведомяване на компетентния орган при възникване на голяма експозиция, превишаваща прага от 10% от приемливия капитал на инвестиционния посредник. </w:t>
      </w:r>
    </w:p>
    <w:p w:rsidR="00E54262" w:rsidRPr="0003372D" w:rsidRDefault="00E54262" w:rsidP="00E54262">
      <w:pPr>
        <w:pStyle w:val="CM44"/>
        <w:tabs>
          <w:tab w:val="left" w:pos="284"/>
          <w:tab w:val="left" w:pos="709"/>
          <w:tab w:val="left" w:pos="1134"/>
        </w:tabs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03372D">
        <w:rPr>
          <w:rFonts w:ascii="Times New Roman" w:hAnsi="Times New Roman"/>
        </w:rPr>
        <w:t xml:space="preserve">Съгласно чл. 396 от Регламент № 575/2013, в случай на превишаване на максималния размер на експозицията, посочен в чл. 395, </w:t>
      </w:r>
      <w:proofErr w:type="spellStart"/>
      <w:r w:rsidRPr="0003372D">
        <w:rPr>
          <w:rFonts w:ascii="Times New Roman" w:hAnsi="Times New Roman"/>
        </w:rPr>
        <w:t>пар</w:t>
      </w:r>
      <w:proofErr w:type="spellEnd"/>
      <w:r w:rsidRPr="0003372D">
        <w:rPr>
          <w:rFonts w:ascii="Times New Roman" w:hAnsi="Times New Roman"/>
        </w:rPr>
        <w:t xml:space="preserve">. </w:t>
      </w:r>
      <w:proofErr w:type="gramStart"/>
      <w:r w:rsidRPr="0003372D">
        <w:rPr>
          <w:rFonts w:ascii="Times New Roman" w:hAnsi="Times New Roman"/>
        </w:rPr>
        <w:t>1 от</w:t>
      </w:r>
      <w:proofErr w:type="gramEnd"/>
      <w:r w:rsidRPr="0003372D">
        <w:rPr>
          <w:rFonts w:ascii="Times New Roman" w:hAnsi="Times New Roman"/>
        </w:rPr>
        <w:t xml:space="preserve"> Регламент № 575/2013 инвестиционният посредник своевременно докладва стойността на експозицията на компетентния орган, който разполага с правомощия, </w:t>
      </w:r>
      <w:r w:rsidRPr="0003372D">
        <w:rPr>
          <w:rFonts w:ascii="Times New Roman" w:hAnsi="Times New Roman"/>
          <w:color w:val="000000"/>
          <w:lang w:val="ru-RU"/>
        </w:rPr>
        <w:t>когато обстоятелствата го изискват,</w:t>
      </w:r>
      <w:r w:rsidRPr="0003372D">
        <w:rPr>
          <w:rFonts w:ascii="Times New Roman" w:hAnsi="Times New Roman"/>
        </w:rPr>
        <w:t xml:space="preserve"> </w:t>
      </w:r>
      <w:r w:rsidRPr="0003372D">
        <w:rPr>
          <w:rFonts w:ascii="Times New Roman" w:hAnsi="Times New Roman"/>
          <w:color w:val="000000"/>
          <w:lang w:val="ru-RU"/>
        </w:rPr>
        <w:t xml:space="preserve">да определи срок,  в който инвестиционният посредник </w:t>
      </w:r>
      <w:r w:rsidRPr="0003372D">
        <w:rPr>
          <w:rFonts w:ascii="Times New Roman" w:hAnsi="Times New Roman"/>
        </w:rPr>
        <w:t>да приведе размера на експозицията в допустимите размери.</w:t>
      </w:r>
      <w:r w:rsidRPr="0003372D">
        <w:rPr>
          <w:rFonts w:ascii="Times New Roman" w:hAnsi="Times New Roman"/>
          <w:color w:val="000000"/>
          <w:lang w:val="ru-RU"/>
        </w:rPr>
        <w:t xml:space="preserve"> </w:t>
      </w:r>
    </w:p>
    <w:p w:rsidR="00E54262" w:rsidRDefault="00E54262" w:rsidP="00E54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sz w:val="24"/>
          <w:szCs w:val="24"/>
        </w:rPr>
        <w:t>Във връзка с въвеждането на новите регулаторни изисквания към капиталовата адекватност и ликвидността на инвестиционните посредници, Комисията за финансов надзор планира провеждане на семинар с участие на служители на КФН и представители на инвестиционните посредници. В тази връзка, в срок до 31.12.2015 г., може да депозирате в Комисията своите предложения за конкретни области от новата регулаторна рамка, които да бъдат разгледани и обсъдени на семинара, както и всякакви въпроси по прилагане на нормативната уредба.</w:t>
      </w:r>
    </w:p>
    <w:p w:rsidR="007C1E21" w:rsidRDefault="007C1E21" w:rsidP="0069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E21" w:rsidRPr="007C1E21" w:rsidRDefault="007C1E21" w:rsidP="007C1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21">
        <w:rPr>
          <w:rFonts w:ascii="Times New Roman" w:hAnsi="Times New Roman" w:cs="Times New Roman"/>
          <w:b/>
          <w:sz w:val="24"/>
          <w:szCs w:val="24"/>
        </w:rPr>
        <w:t>Въпрос</w:t>
      </w:r>
      <w:r w:rsidRPr="007C1E21">
        <w:rPr>
          <w:rFonts w:ascii="Times New Roman" w:hAnsi="Times New Roman" w:cs="Times New Roman"/>
          <w:sz w:val="24"/>
          <w:szCs w:val="24"/>
        </w:rPr>
        <w:t>: Начислява ли се валутен риск за позициите в евро?</w:t>
      </w:r>
    </w:p>
    <w:p w:rsidR="007C1E21" w:rsidRPr="007C1E21" w:rsidRDefault="007C1E21" w:rsidP="007C1E21">
      <w:pPr>
        <w:pStyle w:val="Pa11"/>
        <w:spacing w:line="240" w:lineRule="auto"/>
        <w:ind w:right="-22" w:firstLine="709"/>
        <w:jc w:val="both"/>
        <w:rPr>
          <w:rFonts w:ascii="Times New Roman" w:hAnsi="Times New Roman"/>
        </w:rPr>
      </w:pPr>
      <w:r w:rsidRPr="007C1E21">
        <w:rPr>
          <w:rFonts w:ascii="Times New Roman" w:hAnsi="Times New Roman"/>
          <w:b/>
        </w:rPr>
        <w:t>Отговор</w:t>
      </w:r>
      <w:r w:rsidRPr="007C1E21">
        <w:rPr>
          <w:rFonts w:ascii="Times New Roman" w:hAnsi="Times New Roman"/>
        </w:rPr>
        <w:t xml:space="preserve">: За позициите в евро може да не се начислява валутен риск. В чл. 354, параграф 1 от Регламент № 575/2013 е предвидено по-ниски капиталови изисквания за покриване на позициите във валути с висока </w:t>
      </w:r>
      <w:proofErr w:type="spellStart"/>
      <w:r w:rsidRPr="007C1E21">
        <w:rPr>
          <w:rFonts w:ascii="Times New Roman" w:hAnsi="Times New Roman"/>
        </w:rPr>
        <w:t>взаимосвързаност</w:t>
      </w:r>
      <w:proofErr w:type="spellEnd"/>
      <w:r w:rsidRPr="007C1E21">
        <w:rPr>
          <w:rFonts w:ascii="Times New Roman" w:hAnsi="Times New Roman"/>
        </w:rPr>
        <w:t>. В Регламент за изпълнение № 2015/2197 са посочени валутите, които се считат за взаимосвързани за целите на Регламент № 575/2013.</w:t>
      </w:r>
    </w:p>
    <w:p w:rsidR="007C1E21" w:rsidRDefault="007C1E21" w:rsidP="007C1E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 разпоредбата на чл. 354, параграф 6 от Регламент № 575/2013, капи</w:t>
      </w:r>
      <w:r w:rsidRPr="007C1E21">
        <w:rPr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 xml:space="preserve">таловото изискване за валутен риск за валутната двойка </w:t>
      </w:r>
      <w:r w:rsidRPr="007C1E21">
        <w:rPr>
          <w:rFonts w:ascii="Times New Roman" w:hAnsi="Times New Roman" w:cs="Times New Roman"/>
          <w:color w:val="000000"/>
          <w:sz w:val="24"/>
          <w:szCs w:val="24"/>
        </w:rPr>
        <w:t>BGN</w:t>
      </w:r>
      <w:r w:rsidRPr="007C1E21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C1E21">
        <w:rPr>
          <w:rFonts w:ascii="Times New Roman" w:hAnsi="Times New Roman" w:cs="Times New Roman"/>
          <w:color w:val="000000"/>
          <w:sz w:val="24"/>
          <w:szCs w:val="24"/>
        </w:rPr>
        <w:t>EUR</w:t>
      </w:r>
      <w:r w:rsidRPr="007C1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 0%, в срок до 31 декември 2017 г.</w:t>
      </w:r>
    </w:p>
    <w:p w:rsidR="007C1E21" w:rsidRDefault="007C1E21" w:rsidP="007C1E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C1E21" w:rsidRPr="007C1E21" w:rsidRDefault="007C1E21" w:rsidP="007C1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21">
        <w:rPr>
          <w:rFonts w:ascii="Times New Roman" w:hAnsi="Times New Roman" w:cs="Times New Roman"/>
          <w:b/>
          <w:sz w:val="24"/>
          <w:szCs w:val="24"/>
        </w:rPr>
        <w:t>Въпрос</w:t>
      </w:r>
      <w:r w:rsidRPr="007C1E21">
        <w:rPr>
          <w:rFonts w:ascii="Times New Roman" w:hAnsi="Times New Roman" w:cs="Times New Roman"/>
          <w:sz w:val="24"/>
          <w:szCs w:val="24"/>
        </w:rPr>
        <w:t>: Къде следва да се посочват клиентските парични средства в Анекс 3?</w:t>
      </w:r>
    </w:p>
    <w:p w:rsidR="007C1E21" w:rsidRPr="007C1E21" w:rsidRDefault="007C1E21" w:rsidP="007C1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21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7C1E21">
        <w:rPr>
          <w:rFonts w:ascii="Times New Roman" w:hAnsi="Times New Roman" w:cs="Times New Roman"/>
          <w:sz w:val="24"/>
          <w:szCs w:val="24"/>
        </w:rPr>
        <w:t>: Активите на клиенти на инвестиционния посредник, включващи както финансови инструменти, така и парични средства, се отразяват в Приложение III „Отчитане на финансова информация, съгласно МСФО”</w:t>
      </w:r>
      <w:r w:rsidRPr="007C1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1E21">
        <w:rPr>
          <w:rFonts w:ascii="Times New Roman" w:hAnsi="Times New Roman" w:cs="Times New Roman"/>
          <w:sz w:val="24"/>
          <w:szCs w:val="24"/>
        </w:rPr>
        <w:t xml:space="preserve">(FINREP), група „Управление на активи, попечителство и други обслужващи функции”, форма F22.2. „Активи, включени в предоставените услуги”. Във форма F22.2 се отчитат всички активи на </w:t>
      </w:r>
      <w:r w:rsidRPr="007C1E21">
        <w:rPr>
          <w:rFonts w:ascii="Times New Roman" w:hAnsi="Times New Roman" w:cs="Times New Roman"/>
          <w:sz w:val="24"/>
          <w:szCs w:val="24"/>
        </w:rPr>
        <w:lastRenderedPageBreak/>
        <w:t xml:space="preserve">клиентите, включително паричните средства, като активите се разпределят по видове услуги. </w:t>
      </w:r>
    </w:p>
    <w:p w:rsidR="007C1E21" w:rsidRDefault="007C1E21" w:rsidP="007C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21">
        <w:rPr>
          <w:rFonts w:ascii="Times New Roman" w:hAnsi="Times New Roman" w:cs="Times New Roman"/>
          <w:sz w:val="24"/>
          <w:szCs w:val="24"/>
        </w:rPr>
        <w:t>Допълнителни указания относно отчитането на активите на клиентите могат да бъдат намерени в Приложение V</w:t>
      </w:r>
      <w:r w:rsidRPr="007C1E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1E21">
        <w:rPr>
          <w:rFonts w:ascii="Times New Roman" w:hAnsi="Times New Roman" w:cs="Times New Roman"/>
          <w:sz w:val="24"/>
          <w:szCs w:val="24"/>
        </w:rPr>
        <w:t>към Регламент за изпълнение 2015/1278.</w:t>
      </w:r>
    </w:p>
    <w:p w:rsidR="007C1E21" w:rsidRDefault="007C1E21" w:rsidP="007C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E21" w:rsidRPr="007C1E21" w:rsidRDefault="007C1E21" w:rsidP="007C1E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21">
        <w:rPr>
          <w:rFonts w:ascii="Times New Roman" w:hAnsi="Times New Roman" w:cs="Times New Roman"/>
          <w:b/>
          <w:sz w:val="24"/>
          <w:szCs w:val="24"/>
        </w:rPr>
        <w:t>Въпрос</w:t>
      </w:r>
      <w:r w:rsidRPr="007C1E21">
        <w:rPr>
          <w:rFonts w:ascii="Times New Roman" w:hAnsi="Times New Roman" w:cs="Times New Roman"/>
          <w:sz w:val="24"/>
          <w:szCs w:val="24"/>
        </w:rPr>
        <w:t xml:space="preserve">: Къде следва в счетоводния баланс да се посочват </w:t>
      </w:r>
      <w:proofErr w:type="gramStart"/>
      <w:r w:rsidRPr="007C1E21">
        <w:rPr>
          <w:rFonts w:ascii="Times New Roman" w:hAnsi="Times New Roman" w:cs="Times New Roman"/>
          <w:sz w:val="24"/>
          <w:szCs w:val="24"/>
        </w:rPr>
        <w:t>ценните книжа</w:t>
      </w:r>
      <w:proofErr w:type="gramEnd"/>
      <w:r w:rsidRPr="007C1E21">
        <w:rPr>
          <w:rFonts w:ascii="Times New Roman" w:hAnsi="Times New Roman" w:cs="Times New Roman"/>
          <w:sz w:val="24"/>
          <w:szCs w:val="24"/>
        </w:rPr>
        <w:t xml:space="preserve"> от търговския портфейл – в „Финансови инструменти, държани за търгуване” или „Финансови активи, отчитани по справедлива стойност в печалба или загуба”?</w:t>
      </w:r>
    </w:p>
    <w:p w:rsidR="007C1E21" w:rsidRPr="007C1E21" w:rsidRDefault="007C1E21" w:rsidP="007C1E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E21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7C1E21">
        <w:rPr>
          <w:rFonts w:ascii="Times New Roman" w:hAnsi="Times New Roman" w:cs="Times New Roman"/>
          <w:sz w:val="24"/>
          <w:szCs w:val="24"/>
        </w:rPr>
        <w:t xml:space="preserve">: В Приложение V към </w:t>
      </w:r>
      <w:r w:rsidRPr="0003372D">
        <w:rPr>
          <w:rFonts w:ascii="Times New Roman" w:hAnsi="Times New Roman" w:cs="Times New Roman"/>
          <w:bCs/>
          <w:sz w:val="24"/>
          <w:szCs w:val="24"/>
          <w:lang w:val="ru-RU"/>
        </w:rPr>
        <w:t>Регламент № 680/2014</w:t>
      </w:r>
      <w:r w:rsidRPr="007C1E2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Pr="007C1E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 </w:t>
      </w:r>
      <w:r w:rsidRPr="007C1E21">
        <w:rPr>
          <w:rFonts w:ascii="Times New Roman" w:hAnsi="Times New Roman" w:cs="Times New Roman"/>
          <w:bCs/>
          <w:sz w:val="24"/>
          <w:szCs w:val="24"/>
        </w:rPr>
        <w:t>съдържат указания за отчитане на финансовата информация съгласно Приложение III</w:t>
      </w:r>
      <w:r w:rsidRPr="007C1E2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Приложение </w:t>
      </w:r>
      <w:r w:rsidRPr="007C1E21">
        <w:rPr>
          <w:rFonts w:ascii="Times New Roman" w:hAnsi="Times New Roman" w:cs="Times New Roman"/>
          <w:bCs/>
          <w:sz w:val="24"/>
          <w:szCs w:val="24"/>
        </w:rPr>
        <w:t xml:space="preserve">IV. В Част 1, т. 4 „Отчетни портфейли” е посочено, че финансовите инструменти се сумират по правила за оценка. Също така е отбелязано, че отчетните портфейли са на база МСФО. Аналогични указания за дадени в </w:t>
      </w:r>
      <w:r w:rsidRPr="0003372D">
        <w:rPr>
          <w:rFonts w:ascii="Times New Roman" w:hAnsi="Times New Roman" w:cs="Times New Roman"/>
          <w:sz w:val="24"/>
          <w:szCs w:val="24"/>
        </w:rPr>
        <w:t>Регламент № 2015/1278</w:t>
      </w:r>
      <w:r w:rsidRPr="007C1E21">
        <w:rPr>
          <w:rFonts w:ascii="Times New Roman" w:hAnsi="Times New Roman" w:cs="Times New Roman"/>
          <w:i/>
          <w:sz w:val="24"/>
          <w:szCs w:val="24"/>
        </w:rPr>
        <w:t>.</w:t>
      </w:r>
    </w:p>
    <w:p w:rsidR="007C1E21" w:rsidRPr="007C1E21" w:rsidRDefault="007C1E21" w:rsidP="007C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E21">
        <w:rPr>
          <w:rFonts w:ascii="Times New Roman" w:hAnsi="Times New Roman" w:cs="Times New Roman"/>
          <w:bCs/>
          <w:sz w:val="24"/>
          <w:szCs w:val="24"/>
        </w:rPr>
        <w:t xml:space="preserve">Следователно инвестиционният посредник следва да разработи в счетоводната си политика правила, по които определя кои финансови инструменти към кой отчетен портфейл следва да бъдат включени. Основателно може да се предположи, че ценните книжа, държани в търговския портфейл се отчитат като „Финансови инструменти, държани за търгуване”, тъй като характерът и предназначението на инструментите от този портфейл, за разлика от тези в инвестиционния, е да бъдат предмет на </w:t>
      </w:r>
      <w:r w:rsidRPr="007C1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препродажба в краткосрочен план</w:t>
      </w:r>
      <w:r w:rsidRPr="007C1E21">
        <w:rPr>
          <w:rFonts w:ascii="Times New Roman" w:hAnsi="Times New Roman" w:cs="Times New Roman"/>
          <w:bCs/>
          <w:sz w:val="24"/>
          <w:szCs w:val="24"/>
        </w:rPr>
        <w:t xml:space="preserve"> с оглед реализиране на спекулативни печалби.</w:t>
      </w:r>
    </w:p>
    <w:p w:rsidR="007C1E21" w:rsidRPr="007C1E21" w:rsidRDefault="007C1E21" w:rsidP="007C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E21">
        <w:rPr>
          <w:rFonts w:ascii="Times New Roman" w:hAnsi="Times New Roman" w:cs="Times New Roman"/>
          <w:bCs/>
          <w:sz w:val="24"/>
          <w:szCs w:val="24"/>
        </w:rPr>
        <w:t xml:space="preserve">Следва да се имат предвид и определението на „позиции, държани с намерение за търгуване”, дадено в чл. 4, т. 85 от Регламент № 575/2013 - </w:t>
      </w:r>
      <w:r w:rsidRPr="007C1E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„позиции, държани с намерение за търгуване“ означава всяко едно от следното: </w:t>
      </w:r>
    </w:p>
    <w:p w:rsidR="007C1E21" w:rsidRPr="007C1E21" w:rsidRDefault="007C1E21" w:rsidP="007C1E21">
      <w:pPr>
        <w:pStyle w:val="CM4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7C1E21">
        <w:rPr>
          <w:rFonts w:ascii="Times New Roman" w:hAnsi="Times New Roman"/>
          <w:color w:val="000000"/>
        </w:rPr>
        <w:t>а</w:t>
      </w:r>
      <w:proofErr w:type="gramEnd"/>
      <w:r w:rsidRPr="007C1E21">
        <w:rPr>
          <w:rFonts w:ascii="Times New Roman" w:hAnsi="Times New Roman"/>
          <w:color w:val="000000"/>
        </w:rPr>
        <w:t xml:space="preserve">) собствените позиции и позициите, произтичащи от обслужване на клиенти или активно участие на пазара; </w:t>
      </w:r>
    </w:p>
    <w:p w:rsidR="007C1E21" w:rsidRPr="007C1E21" w:rsidRDefault="007C1E21" w:rsidP="007C1E21">
      <w:pPr>
        <w:pStyle w:val="CM4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7C1E21">
        <w:rPr>
          <w:rFonts w:ascii="Times New Roman" w:hAnsi="Times New Roman"/>
          <w:color w:val="000000"/>
        </w:rPr>
        <w:t>б</w:t>
      </w:r>
      <w:proofErr w:type="gramEnd"/>
      <w:r w:rsidRPr="007C1E21">
        <w:rPr>
          <w:rFonts w:ascii="Times New Roman" w:hAnsi="Times New Roman"/>
          <w:color w:val="000000"/>
        </w:rPr>
        <w:t xml:space="preserve">) позициите, предназначени за препродажба в краткосрочен план; </w:t>
      </w:r>
    </w:p>
    <w:p w:rsidR="007C1E21" w:rsidRPr="007C1E21" w:rsidRDefault="007C1E21" w:rsidP="007C1E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E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позициите с цел възползване от действителните или очакваните краткосрочни разлики между цени „купува“ и „продава“ или от други колебания на цените или лихвените проценти</w:t>
      </w:r>
      <w:r w:rsidRPr="007C1E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E21" w:rsidRDefault="007C1E21" w:rsidP="007C1E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E21">
        <w:rPr>
          <w:rFonts w:ascii="Times New Roman" w:hAnsi="Times New Roman" w:cs="Times New Roman"/>
          <w:bCs/>
          <w:sz w:val="24"/>
          <w:szCs w:val="24"/>
        </w:rPr>
        <w:t xml:space="preserve">Също така и определението за „търговски портфейл”, дадено в чл. 4, т. 86 от Регламент № 575/2013: </w:t>
      </w:r>
      <w:r w:rsidRPr="007C1E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„търговски портфейл“ означава всички позиции във финансови инструменти и стоки, които дадена институция държи с намерение за търгуване или за хеджиране на позиции.</w:t>
      </w:r>
    </w:p>
    <w:p w:rsidR="0003372D" w:rsidRDefault="0003372D" w:rsidP="007C1E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3372D" w:rsidRPr="0003372D" w:rsidRDefault="0003372D" w:rsidP="00033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 xml:space="preserve">: Какво е съдържанието и обемът на понятието „Вътрешен капитал” и как то </w:t>
      </w:r>
      <w:proofErr w:type="spellStart"/>
      <w:r w:rsidRPr="0003372D">
        <w:rPr>
          <w:rFonts w:ascii="Times New Roman" w:hAnsi="Times New Roman" w:cs="Times New Roman"/>
          <w:sz w:val="24"/>
          <w:szCs w:val="24"/>
        </w:rPr>
        <w:t>корелира</w:t>
      </w:r>
      <w:proofErr w:type="spellEnd"/>
      <w:r w:rsidRPr="0003372D">
        <w:rPr>
          <w:rFonts w:ascii="Times New Roman" w:hAnsi="Times New Roman" w:cs="Times New Roman"/>
          <w:sz w:val="24"/>
          <w:szCs w:val="24"/>
        </w:rPr>
        <w:t xml:space="preserve"> с останалите видове/форми на капитал?</w:t>
      </w:r>
    </w:p>
    <w:p w:rsidR="0003372D" w:rsidRPr="0003372D" w:rsidRDefault="0003372D" w:rsidP="00033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03372D">
        <w:rPr>
          <w:rFonts w:ascii="Times New Roman" w:hAnsi="Times New Roman" w:cs="Times New Roman"/>
          <w:sz w:val="24"/>
          <w:szCs w:val="24"/>
        </w:rPr>
        <w:t xml:space="preserve">: В </w:t>
      </w:r>
      <w:r w:rsidRPr="0003372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Регламент </w:t>
      </w:r>
      <w:r w:rsidRPr="000337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Pr="0003372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575/2013</w:t>
      </w:r>
      <w:r w:rsidRPr="0003372D">
        <w:rPr>
          <w:rFonts w:ascii="Times New Roman" w:hAnsi="Times New Roman" w:cs="Times New Roman"/>
          <w:sz w:val="24"/>
          <w:szCs w:val="24"/>
        </w:rPr>
        <w:t xml:space="preserve"> не е дадено определение на понятието „вътрешен </w:t>
      </w:r>
      <w:proofErr w:type="gramStart"/>
      <w:r w:rsidRPr="0003372D">
        <w:rPr>
          <w:rFonts w:ascii="Times New Roman" w:hAnsi="Times New Roman" w:cs="Times New Roman"/>
          <w:sz w:val="24"/>
          <w:szCs w:val="24"/>
        </w:rPr>
        <w:t xml:space="preserve">капитал”. </w:t>
      </w:r>
      <w:proofErr w:type="gramEnd"/>
    </w:p>
    <w:p w:rsidR="0003372D" w:rsidRPr="0003372D" w:rsidRDefault="0003372D" w:rsidP="00033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372D">
        <w:rPr>
          <w:rFonts w:ascii="Times New Roman" w:hAnsi="Times New Roman" w:cs="Times New Roman"/>
          <w:sz w:val="24"/>
          <w:szCs w:val="24"/>
          <w:lang w:val="ru-RU"/>
        </w:rPr>
        <w:t xml:space="preserve">Съгласно разпоредбата на чл. 9 от Наредба № 50 </w:t>
      </w:r>
      <w:r w:rsidRPr="0003372D">
        <w:rPr>
          <w:rFonts w:ascii="Times New Roman" w:hAnsi="Times New Roman" w:cs="Times New Roman"/>
          <w:sz w:val="24"/>
          <w:szCs w:val="24"/>
        </w:rPr>
        <w:t>в</w:t>
      </w:r>
      <w:r w:rsidRPr="0003372D">
        <w:rPr>
          <w:rFonts w:ascii="Times New Roman" w:hAnsi="Times New Roman" w:cs="Times New Roman"/>
          <w:sz w:val="24"/>
          <w:szCs w:val="24"/>
          <w:lang w:eastAsia="bg-BG"/>
        </w:rPr>
        <w:t>секи инвестиционен посредник разработва и прилага надеждни, ефективни и изчерпателни стратегии и процеси, които му позволяват да оценява и поддържа постоянно вътрешен капитал в размер, вид и разпределение така, че да е адекватен за покриване на рисковете, на които е или може да бъде изложен, в зависимост от степента и характера на рисковете.</w:t>
      </w:r>
    </w:p>
    <w:p w:rsidR="0003372D" w:rsidRDefault="0003372D" w:rsidP="00033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03372D">
        <w:rPr>
          <w:rFonts w:ascii="Times New Roman" w:hAnsi="Times New Roman" w:cs="Times New Roman"/>
          <w:sz w:val="24"/>
          <w:szCs w:val="24"/>
          <w:lang w:val="ru-RU"/>
        </w:rPr>
        <w:t xml:space="preserve">Следователно вътрешният капитал на инвестиционния посредник е този капитал, който е необходим за покриване на рисковете, съпътстващи неговата дейност. За целта </w:t>
      </w:r>
      <w:r w:rsidRPr="0003372D">
        <w:rPr>
          <w:rFonts w:ascii="Times New Roman" w:hAnsi="Times New Roman" w:cs="Times New Roman"/>
          <w:sz w:val="24"/>
          <w:szCs w:val="24"/>
          <w:lang w:eastAsia="bg-BG"/>
        </w:rPr>
        <w:t>наличните капиталови ресурси се сравняват с капиталовите изисквания за покриване на рисковете с цел да се гарантира, че във всеки един момент наличните капиталови ресурси са достатъчни.</w:t>
      </w:r>
    </w:p>
    <w:p w:rsidR="0003372D" w:rsidRPr="0003372D" w:rsidRDefault="0003372D" w:rsidP="0003372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372D" w:rsidRPr="0003372D" w:rsidRDefault="0003372D" w:rsidP="00033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>: Следва ли, освен позиционен, да се начислява и кредитен риск на експозиция в капиталови инструменти?</w:t>
      </w:r>
    </w:p>
    <w:p w:rsidR="0003372D" w:rsidRPr="0003372D" w:rsidRDefault="0003372D" w:rsidP="00033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lastRenderedPageBreak/>
        <w:t>Отговор</w:t>
      </w:r>
      <w:r w:rsidRPr="0003372D">
        <w:rPr>
          <w:rFonts w:ascii="Times New Roman" w:hAnsi="Times New Roman" w:cs="Times New Roman"/>
          <w:sz w:val="24"/>
          <w:szCs w:val="24"/>
        </w:rPr>
        <w:t xml:space="preserve">: Предвид разпоредбата на чл. 92, </w:t>
      </w:r>
      <w:proofErr w:type="spellStart"/>
      <w:r w:rsidRPr="0003372D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0337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372D">
        <w:rPr>
          <w:rFonts w:ascii="Times New Roman" w:hAnsi="Times New Roman" w:cs="Times New Roman"/>
          <w:sz w:val="24"/>
          <w:szCs w:val="24"/>
        </w:rPr>
        <w:t>3 от</w:t>
      </w:r>
      <w:proofErr w:type="gramEnd"/>
      <w:r w:rsidRPr="0003372D">
        <w:rPr>
          <w:rFonts w:ascii="Times New Roman" w:hAnsi="Times New Roman" w:cs="Times New Roman"/>
          <w:sz w:val="24"/>
          <w:szCs w:val="24"/>
        </w:rPr>
        <w:t xml:space="preserve"> Регламент 575/2013, по отношение на експозициите в капиталови инструменти, включени в </w:t>
      </w:r>
      <w:r w:rsidRPr="0003372D">
        <w:rPr>
          <w:rFonts w:ascii="Times New Roman" w:hAnsi="Times New Roman" w:cs="Times New Roman"/>
          <w:b/>
          <w:sz w:val="24"/>
          <w:szCs w:val="24"/>
        </w:rPr>
        <w:t>търговския портфейл</w:t>
      </w:r>
      <w:r w:rsidRPr="0003372D">
        <w:rPr>
          <w:rFonts w:ascii="Times New Roman" w:hAnsi="Times New Roman" w:cs="Times New Roman"/>
          <w:sz w:val="24"/>
          <w:szCs w:val="24"/>
        </w:rPr>
        <w:t xml:space="preserve"> на инвестиционния посредник, дружеството начислява капиталово изискване за позиционен риск, което се отразява в Приложение I „Отчитане на собствените средства и капиталови изисквания”</w:t>
      </w:r>
      <w:r w:rsidRPr="000337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372D">
        <w:rPr>
          <w:rFonts w:ascii="Times New Roman" w:hAnsi="Times New Roman" w:cs="Times New Roman"/>
          <w:sz w:val="24"/>
          <w:szCs w:val="24"/>
        </w:rPr>
        <w:t>(СОREP), образец С</w:t>
      </w:r>
      <w:r w:rsidRPr="000337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372D">
        <w:rPr>
          <w:rFonts w:ascii="Times New Roman" w:hAnsi="Times New Roman" w:cs="Times New Roman"/>
          <w:sz w:val="24"/>
          <w:szCs w:val="24"/>
        </w:rPr>
        <w:t xml:space="preserve">21. „Пазарен риск: Стандартизиран подход за риск във връзка с позициите в капиталови инструменти” или образец С 24. „Вътрешни модели за пазарен риск” (ако дружеството използва вътрешни модели). </w:t>
      </w:r>
    </w:p>
    <w:p w:rsidR="0003372D" w:rsidRPr="0003372D" w:rsidRDefault="0003372D" w:rsidP="000337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sz w:val="24"/>
          <w:szCs w:val="24"/>
        </w:rPr>
        <w:t xml:space="preserve">Инвестиционният посредник за експозициите в капиталови инструменти, включени в </w:t>
      </w:r>
      <w:r w:rsidRPr="0003372D">
        <w:rPr>
          <w:rFonts w:ascii="Times New Roman" w:hAnsi="Times New Roman" w:cs="Times New Roman"/>
          <w:b/>
          <w:sz w:val="24"/>
          <w:szCs w:val="24"/>
        </w:rPr>
        <w:t>инвестиционния му портфейл</w:t>
      </w:r>
      <w:r w:rsidRPr="0003372D">
        <w:rPr>
          <w:rFonts w:ascii="Times New Roman" w:hAnsi="Times New Roman" w:cs="Times New Roman"/>
          <w:sz w:val="24"/>
          <w:szCs w:val="24"/>
        </w:rPr>
        <w:t xml:space="preserve">, начислява капиталово изискване за кредитен риск. </w:t>
      </w:r>
    </w:p>
    <w:p w:rsidR="0003372D" w:rsidRPr="0003372D" w:rsidRDefault="0003372D" w:rsidP="0003372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3372D" w:rsidRPr="0003372D" w:rsidRDefault="0003372D" w:rsidP="000337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>: Какво следва да се посочи в С60.00 – Стабилно финансиране – елементи изискващи стабилно финансиране на Анекс 12?</w:t>
      </w:r>
    </w:p>
    <w:p w:rsidR="0003372D" w:rsidRPr="0003372D" w:rsidRDefault="0003372D" w:rsidP="000337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Отговор:</w:t>
      </w:r>
      <w:r w:rsidRPr="0003372D">
        <w:rPr>
          <w:rFonts w:ascii="Times New Roman" w:hAnsi="Times New Roman" w:cs="Times New Roman"/>
          <w:sz w:val="24"/>
          <w:szCs w:val="24"/>
        </w:rPr>
        <w:t xml:space="preserve"> В чл. 428 от Регламент № 575/2013 са изброени елементите, изискващи стабилно финансиране. В Приложение XIII към Регламент № 680/2014 Отчитане на ликвидност (част 5 от 5: Стабилно финансиране) са дадени указания относно отчитане на елементите, осигуряващи стабилно финансиране и на елементите, изискващи стабилно финансиране. От представеното в тези указания е видно, че всички собствени средства и задължения, отчетени в баланса на инвестиционния посредник, се отчитат във формата за отчитане на елементите, осигуряващи стабилно финансиране. Общата стойност на тези две категории отразява общия размер на активите на институциите. </w:t>
      </w:r>
    </w:p>
    <w:p w:rsidR="0003372D" w:rsidRPr="00F92AA3" w:rsidRDefault="0003372D" w:rsidP="000337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r w:rsidRPr="0003372D">
        <w:rPr>
          <w:rFonts w:ascii="Times New Roman" w:hAnsi="Times New Roman" w:cs="Times New Roman"/>
          <w:sz w:val="24"/>
          <w:szCs w:val="24"/>
        </w:rPr>
        <w:t xml:space="preserve">От друга страна всички активи, отчетени в баланса на инвестиционния посредник, се отчитат във формата за отчитане на елементите, изискващи стабилно финансиране. Общият отчетен размер отразява общия размер на собствените средства и задължения едновременно. Съгласно чл. 427, </w:t>
      </w:r>
      <w:proofErr w:type="spellStart"/>
      <w:r w:rsidRPr="0003372D">
        <w:rPr>
          <w:rFonts w:ascii="Times New Roman" w:hAnsi="Times New Roman" w:cs="Times New Roman"/>
          <w:sz w:val="24"/>
          <w:szCs w:val="24"/>
        </w:rPr>
        <w:t>пар</w:t>
      </w:r>
      <w:proofErr w:type="spellEnd"/>
      <w:r w:rsidRPr="0003372D">
        <w:rPr>
          <w:rFonts w:ascii="Times New Roman" w:hAnsi="Times New Roman" w:cs="Times New Roman"/>
          <w:sz w:val="24"/>
          <w:szCs w:val="24"/>
        </w:rPr>
        <w:t>. 2 от Регламент № 575/2013, когато е приложимо, всички елементи се разпределят в пет групи.</w:t>
      </w:r>
    </w:p>
    <w:p w:rsidR="0003372D" w:rsidRDefault="0003372D" w:rsidP="000337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262" w:rsidRPr="00D46CF4" w:rsidRDefault="00E54262" w:rsidP="00E5426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Предвид текста на чл. 8, ал. </w:t>
      </w:r>
      <w:proofErr w:type="gramStart"/>
      <w:r>
        <w:rPr>
          <w:rFonts w:ascii="Times New Roman" w:hAnsi="Times New Roman" w:cs="Times New Roman"/>
          <w:sz w:val="24"/>
          <w:szCs w:val="24"/>
        </w:rPr>
        <w:t>1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Наредба № 50, ИП, който не притежава пълен лиценз за осъществяване на инвестиционни услуги и дейности по смисъла на ЗПФИ, необходимо ли е да изготвя план за възстановяване по смисъла на същата разпоредба?</w:t>
      </w:r>
    </w:p>
    <w:p w:rsidR="00E54262" w:rsidRPr="00E54262" w:rsidRDefault="00E54262" w:rsidP="00E5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384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3943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62">
        <w:rPr>
          <w:rFonts w:ascii="Times New Roman" w:hAnsi="Times New Roman" w:cs="Times New Roman"/>
          <w:sz w:val="24"/>
          <w:szCs w:val="24"/>
        </w:rPr>
        <w:t xml:space="preserve">В чл. 8, ал. </w:t>
      </w:r>
      <w:proofErr w:type="gramStart"/>
      <w:r w:rsidRPr="00E54262">
        <w:rPr>
          <w:rFonts w:ascii="Times New Roman" w:hAnsi="Times New Roman" w:cs="Times New Roman"/>
          <w:sz w:val="24"/>
          <w:szCs w:val="24"/>
        </w:rPr>
        <w:t>1 от</w:t>
      </w:r>
      <w:proofErr w:type="gramEnd"/>
      <w:r w:rsidRPr="00E54262">
        <w:rPr>
          <w:rFonts w:ascii="Times New Roman" w:hAnsi="Times New Roman" w:cs="Times New Roman"/>
          <w:sz w:val="24"/>
          <w:szCs w:val="24"/>
        </w:rPr>
        <w:t xml:space="preserve"> Наредба № 50 е посочено, че </w:t>
      </w:r>
      <w:r w:rsidRPr="00E54262">
        <w:rPr>
          <w:rFonts w:ascii="Times New Roman" w:hAnsi="Times New Roman" w:cs="Times New Roman"/>
          <w:i/>
          <w:sz w:val="24"/>
          <w:szCs w:val="24"/>
        </w:rPr>
        <w:t>„</w:t>
      </w:r>
      <w:r w:rsidRPr="00E54262">
        <w:rPr>
          <w:rFonts w:ascii="Times New Roman" w:hAnsi="Times New Roman" w:cs="Times New Roman"/>
          <w:i/>
          <w:sz w:val="24"/>
          <w:szCs w:val="24"/>
          <w:lang/>
        </w:rPr>
        <w:t>Инвестиционният посредник, извършващ дейност по чл. 5, ал. 2, т. 3 и 6 и ал. 3, т. 1 ЗПФИ, разработва вътрешни планове за възстановяване при ситуация на значително влошаване на финансовото му състояние с минимално съдържание съгласно приложението</w:t>
      </w:r>
      <w:r w:rsidRPr="00E54262">
        <w:rPr>
          <w:rFonts w:ascii="Times New Roman" w:hAnsi="Times New Roman" w:cs="Times New Roman"/>
          <w:i/>
          <w:sz w:val="24"/>
          <w:szCs w:val="24"/>
        </w:rPr>
        <w:t xml:space="preserve">”. </w:t>
      </w:r>
      <w:r w:rsidRPr="00E54262">
        <w:rPr>
          <w:rFonts w:ascii="Times New Roman" w:hAnsi="Times New Roman" w:cs="Times New Roman"/>
          <w:sz w:val="24"/>
          <w:szCs w:val="24"/>
        </w:rPr>
        <w:t xml:space="preserve">Съгласно цитираната разпоредба, планове за възстановяване по чл. 8, ал. </w:t>
      </w:r>
      <w:proofErr w:type="gramStart"/>
      <w:r w:rsidRPr="00E54262">
        <w:rPr>
          <w:rFonts w:ascii="Times New Roman" w:hAnsi="Times New Roman" w:cs="Times New Roman"/>
          <w:sz w:val="24"/>
          <w:szCs w:val="24"/>
        </w:rPr>
        <w:t>1 от</w:t>
      </w:r>
      <w:proofErr w:type="gramEnd"/>
      <w:r w:rsidRPr="00E54262">
        <w:rPr>
          <w:rFonts w:ascii="Times New Roman" w:hAnsi="Times New Roman" w:cs="Times New Roman"/>
          <w:sz w:val="24"/>
          <w:szCs w:val="24"/>
        </w:rPr>
        <w:t xml:space="preserve"> Наредба № 50 се изготвят само от ИП, които имат право, съгласно издадения от КФН лиценз, да извършват инвестиционни услуги и дейности по чл. 5, ал. 2, </w:t>
      </w:r>
      <w:proofErr w:type="gramStart"/>
      <w:r w:rsidRPr="00E5426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54262">
        <w:rPr>
          <w:rFonts w:ascii="Times New Roman" w:hAnsi="Times New Roman" w:cs="Times New Roman"/>
          <w:sz w:val="24"/>
          <w:szCs w:val="24"/>
        </w:rPr>
        <w:t xml:space="preserve">. 3 и 6 </w:t>
      </w:r>
      <w:r w:rsidR="00BA0B53">
        <w:rPr>
          <w:rFonts w:ascii="Times New Roman" w:hAnsi="Times New Roman" w:cs="Times New Roman"/>
          <w:sz w:val="24"/>
          <w:szCs w:val="24"/>
        </w:rPr>
        <w:t xml:space="preserve">от </w:t>
      </w:r>
      <w:r w:rsidRPr="00E54262">
        <w:rPr>
          <w:rFonts w:ascii="Times New Roman" w:hAnsi="Times New Roman" w:cs="Times New Roman"/>
          <w:sz w:val="24"/>
          <w:szCs w:val="24"/>
        </w:rPr>
        <w:t xml:space="preserve">ЗПФИ и които едновременно с това имат право да предоставят и допълнителната услуга по чл. 5, ал. 3, </w:t>
      </w:r>
      <w:proofErr w:type="gramStart"/>
      <w:r w:rsidRPr="00E5426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54262">
        <w:rPr>
          <w:rFonts w:ascii="Times New Roman" w:hAnsi="Times New Roman" w:cs="Times New Roman"/>
          <w:sz w:val="24"/>
          <w:szCs w:val="24"/>
        </w:rPr>
        <w:t>. 1 от ЗПФИ.</w:t>
      </w:r>
    </w:p>
    <w:p w:rsidR="00E54262" w:rsidRPr="00E54262" w:rsidRDefault="00E54262" w:rsidP="00E5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262">
        <w:rPr>
          <w:rFonts w:ascii="Times New Roman" w:hAnsi="Times New Roman" w:cs="Times New Roman"/>
          <w:sz w:val="24"/>
          <w:szCs w:val="24"/>
        </w:rPr>
        <w:t xml:space="preserve">ИП, които нямат право да извършват инвестиционни услуги и дейности по </w:t>
      </w:r>
      <w:r w:rsidR="00BA0B53">
        <w:rPr>
          <w:rFonts w:ascii="Times New Roman" w:hAnsi="Times New Roman" w:cs="Times New Roman"/>
          <w:sz w:val="24"/>
          <w:szCs w:val="24"/>
        </w:rPr>
        <w:t xml:space="preserve">чл. 5, ал. </w:t>
      </w:r>
      <w:proofErr w:type="gramStart"/>
      <w:r w:rsidR="00BA0B53">
        <w:rPr>
          <w:rFonts w:ascii="Times New Roman" w:hAnsi="Times New Roman" w:cs="Times New Roman"/>
          <w:sz w:val="24"/>
          <w:szCs w:val="24"/>
        </w:rPr>
        <w:t>2, т</w:t>
      </w:r>
      <w:proofErr w:type="gramEnd"/>
      <w:r w:rsidR="00BA0B53">
        <w:rPr>
          <w:rFonts w:ascii="Times New Roman" w:hAnsi="Times New Roman" w:cs="Times New Roman"/>
          <w:sz w:val="24"/>
          <w:szCs w:val="24"/>
        </w:rPr>
        <w:t xml:space="preserve">. 3 и 6 от ЗПФИ </w:t>
      </w:r>
      <w:r w:rsidRPr="00E54262">
        <w:rPr>
          <w:rFonts w:ascii="Times New Roman" w:hAnsi="Times New Roman" w:cs="Times New Roman"/>
          <w:sz w:val="24"/>
          <w:szCs w:val="24"/>
        </w:rPr>
        <w:t>не е необходимо да разработват планове за възстановяване по чл. 8, ал. 1 от Наредба № 50.</w:t>
      </w:r>
    </w:p>
    <w:p w:rsidR="00D46CF4" w:rsidRDefault="00D46CF4" w:rsidP="0003372D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4384" w:rsidRPr="00394384" w:rsidRDefault="00394384" w:rsidP="00D46C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384">
        <w:rPr>
          <w:rFonts w:ascii="Times New Roman" w:hAnsi="Times New Roman" w:cs="Times New Roman"/>
          <w:b/>
          <w:sz w:val="24"/>
          <w:szCs w:val="24"/>
          <w:u w:val="single"/>
        </w:rPr>
        <w:t>По Справка № 7: Справка за сключените сделки през платформи за търговия:</w:t>
      </w:r>
    </w:p>
    <w:p w:rsidR="00D46CF4" w:rsidRPr="00D46CF4" w:rsidRDefault="00D46CF4" w:rsidP="00D46C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Във връзка със Справка 7 за сключените сделки през платформи за търговия, какво се визира с уточнението, че не се включват сключените сделки през „БФБ - София” АД</w:t>
      </w:r>
      <w:r w:rsidRPr="0003372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Извън обхвата на справката остават само сделките, сключени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посредством търговската платформа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Xetra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се изключват и сделките, сключени през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COBOS </w:t>
      </w:r>
      <w:r>
        <w:rPr>
          <w:rFonts w:ascii="Times New Roman" w:hAnsi="Times New Roman" w:cs="Times New Roman"/>
          <w:sz w:val="24"/>
          <w:szCs w:val="24"/>
        </w:rPr>
        <w:t>приложението, което също се поддържа от „БФБ - София” АД?</w:t>
      </w:r>
    </w:p>
    <w:p w:rsidR="00D46CF4" w:rsidRDefault="00D46CF4" w:rsidP="00D46CF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6CF4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D46CF4">
        <w:rPr>
          <w:rFonts w:ascii="Times New Roman" w:hAnsi="Times New Roman" w:cs="Times New Roman"/>
          <w:sz w:val="24"/>
          <w:szCs w:val="24"/>
        </w:rPr>
        <w:t>: При попълването на данните в Справка № 7: Справка за сключените сделки през платформи за търговия, инвестиционните посредници не следва да включват информация за сделките, сключени на „Българска фондова борса - София” АД. Това включва информация както за сделки, сключени посредством търговската платформа XETRA, COBOS приложението на „Българска фондова борса - София” АД, така и през собствени платформи на инвестиционните посредници, даващи възможност за сключване на сделки с финансови инструменти на „Българска фондова борса - София” АД.</w:t>
      </w:r>
    </w:p>
    <w:p w:rsidR="00D46CF4" w:rsidRDefault="00D46CF4" w:rsidP="00D46CF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4384" w:rsidRPr="00D46CF4" w:rsidRDefault="00394384" w:rsidP="0039438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Ако ИП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мейкър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предоставя търговия с валутни двойки за клиентите си през собствена платформа, сделката на клиента следва ли да се счита като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т.е. продажбата от страна на клиента за 100 000 </w:t>
      </w:r>
      <w:r>
        <w:rPr>
          <w:rFonts w:ascii="Times New Roman" w:hAnsi="Times New Roman" w:cs="Times New Roman"/>
          <w:sz w:val="24"/>
          <w:szCs w:val="24"/>
          <w:lang w:val="en-US"/>
        </w:rPr>
        <w:t>EUR/USD</w:t>
      </w:r>
      <w:r>
        <w:rPr>
          <w:rFonts w:ascii="Times New Roman" w:hAnsi="Times New Roman" w:cs="Times New Roman"/>
          <w:sz w:val="24"/>
          <w:szCs w:val="24"/>
        </w:rPr>
        <w:t xml:space="preserve"> явява ли се и покупка за ИП?</w:t>
      </w:r>
    </w:p>
    <w:p w:rsidR="00394384" w:rsidRDefault="00394384" w:rsidP="0039438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384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394384">
        <w:rPr>
          <w:rFonts w:ascii="Times New Roman" w:hAnsi="Times New Roman" w:cs="Times New Roman"/>
          <w:sz w:val="24"/>
          <w:szCs w:val="24"/>
        </w:rPr>
        <w:t xml:space="preserve">: В случаите, когато инвестиционният посредник, който предоставя търговия с валутни двойки през собствена платформа, действа като </w:t>
      </w:r>
      <w:proofErr w:type="spellStart"/>
      <w:r w:rsidRPr="00394384"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 w:rsidRPr="0039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384">
        <w:rPr>
          <w:rFonts w:ascii="Times New Roman" w:hAnsi="Times New Roman" w:cs="Times New Roman"/>
          <w:sz w:val="24"/>
          <w:szCs w:val="24"/>
        </w:rPr>
        <w:t>мейкър</w:t>
      </w:r>
      <w:proofErr w:type="spellEnd"/>
      <w:r w:rsidRPr="00394384">
        <w:rPr>
          <w:rFonts w:ascii="Times New Roman" w:hAnsi="Times New Roman" w:cs="Times New Roman"/>
          <w:sz w:val="24"/>
          <w:szCs w:val="24"/>
        </w:rPr>
        <w:t xml:space="preserve">, то сключената сделка, по която инвестиционният посредник е насрещна страна на клиента следва да се счита за </w:t>
      </w:r>
      <w:proofErr w:type="spellStart"/>
      <w:r w:rsidRPr="00394384">
        <w:rPr>
          <w:rFonts w:ascii="Times New Roman" w:hAnsi="Times New Roman" w:cs="Times New Roman"/>
          <w:sz w:val="24"/>
          <w:szCs w:val="24"/>
        </w:rPr>
        <w:t>кросова</w:t>
      </w:r>
      <w:proofErr w:type="spellEnd"/>
      <w:r w:rsidRPr="00394384">
        <w:rPr>
          <w:rFonts w:ascii="Times New Roman" w:hAnsi="Times New Roman" w:cs="Times New Roman"/>
          <w:sz w:val="24"/>
          <w:szCs w:val="24"/>
        </w:rPr>
        <w:t xml:space="preserve"> сделка. При попълването на данните в Справка № 7: Справка за сключените сделки през платформи за търговия, инвестиционният посредник отразява сделките както за сметка на клиент, така и за собствена сметка на дружеството. При отразяване на сделките за собствена сметка на инвестиционния посредник в Колона 5 Бележки, дружеството отразява и броя и стойността на сключените </w:t>
      </w:r>
      <w:proofErr w:type="spellStart"/>
      <w:r w:rsidRPr="00394384">
        <w:rPr>
          <w:rFonts w:ascii="Times New Roman" w:hAnsi="Times New Roman" w:cs="Times New Roman"/>
          <w:sz w:val="24"/>
          <w:szCs w:val="24"/>
        </w:rPr>
        <w:t>кросови</w:t>
      </w:r>
      <w:proofErr w:type="spellEnd"/>
      <w:r w:rsidRPr="00394384">
        <w:rPr>
          <w:rFonts w:ascii="Times New Roman" w:hAnsi="Times New Roman" w:cs="Times New Roman"/>
          <w:sz w:val="24"/>
          <w:szCs w:val="24"/>
        </w:rPr>
        <w:t xml:space="preserve"> сделки.</w:t>
      </w:r>
    </w:p>
    <w:p w:rsidR="00394384" w:rsidRDefault="00394384" w:rsidP="0039438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384" w:rsidRPr="00D46CF4" w:rsidRDefault="00394384" w:rsidP="0039438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Каква стойност се отчита за равностойност на подобна сделка – 100 000 </w:t>
      </w:r>
      <w:r>
        <w:rPr>
          <w:rFonts w:ascii="Times New Roman" w:hAnsi="Times New Roman" w:cs="Times New Roman"/>
          <w:sz w:val="24"/>
          <w:szCs w:val="24"/>
          <w:lang w:val="en-US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* 1,95583 или ангажираната гаранционна сума от сметката на клиента /примерно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ливъридж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1:100 реално ще се ангажират 1 000 </w:t>
      </w:r>
      <w:r>
        <w:rPr>
          <w:rFonts w:ascii="Times New Roman" w:hAnsi="Times New Roman" w:cs="Times New Roman"/>
          <w:sz w:val="24"/>
          <w:szCs w:val="24"/>
          <w:lang w:val="en-US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от сметката на клиента/?</w:t>
      </w:r>
    </w:p>
    <w:p w:rsidR="00394384" w:rsidRPr="00394384" w:rsidRDefault="00394384" w:rsidP="0039438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384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394384">
        <w:rPr>
          <w:rFonts w:ascii="Times New Roman" w:hAnsi="Times New Roman" w:cs="Times New Roman"/>
          <w:sz w:val="24"/>
          <w:szCs w:val="24"/>
        </w:rPr>
        <w:t xml:space="preserve">: При отразяване на сключени сделки с валутни двойки, в Справка № 7: Справка за сключените сделки през платформи за търговия се отразява пълната равностойност на сключената сделка (т.е. 100 000 евро * 1,95583), а не ангажираната гаранционна сума по тази сделка. В Колона 5 Бележки може да бъде отразено съотношението за </w:t>
      </w:r>
      <w:proofErr w:type="spellStart"/>
      <w:r w:rsidRPr="00394384">
        <w:rPr>
          <w:rFonts w:ascii="Times New Roman" w:hAnsi="Times New Roman" w:cs="Times New Roman"/>
          <w:sz w:val="24"/>
          <w:szCs w:val="24"/>
        </w:rPr>
        <w:t>ливъридж</w:t>
      </w:r>
      <w:proofErr w:type="spellEnd"/>
      <w:r w:rsidRPr="00394384">
        <w:rPr>
          <w:rFonts w:ascii="Times New Roman" w:hAnsi="Times New Roman" w:cs="Times New Roman"/>
          <w:sz w:val="24"/>
          <w:szCs w:val="24"/>
        </w:rPr>
        <w:t>.</w:t>
      </w:r>
    </w:p>
    <w:p w:rsidR="00394384" w:rsidRPr="00394384" w:rsidRDefault="00394384" w:rsidP="00D46C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384" w:rsidRPr="00394384" w:rsidRDefault="00394384" w:rsidP="00D46C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384">
        <w:rPr>
          <w:rFonts w:ascii="Times New Roman" w:hAnsi="Times New Roman" w:cs="Times New Roman"/>
          <w:b/>
          <w:sz w:val="24"/>
          <w:szCs w:val="24"/>
          <w:u w:val="single"/>
        </w:rPr>
        <w:t>По Справка № 8: Платформи за търговия:</w:t>
      </w:r>
    </w:p>
    <w:p w:rsidR="00D46CF4" w:rsidRPr="00D46CF4" w:rsidRDefault="00D46CF4" w:rsidP="00D46CF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Във връзка със Справка № 8 Платформи за търговия, в колона 2 Организатор/Ползвател, каква информация следва да бъде попълвана – за компанията разработила платформата за търговия или за инвестиционния посредник, който я предоставя за използване на своите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клиенти? </w:t>
      </w:r>
      <w:proofErr w:type="gramEnd"/>
    </w:p>
    <w:p w:rsidR="00D46CF4" w:rsidRDefault="00D46CF4" w:rsidP="00D46CF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384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394384">
        <w:rPr>
          <w:rFonts w:ascii="Times New Roman" w:hAnsi="Times New Roman" w:cs="Times New Roman"/>
          <w:sz w:val="24"/>
          <w:szCs w:val="24"/>
        </w:rPr>
        <w:t>:</w:t>
      </w:r>
      <w:r w:rsidR="00394384" w:rsidRPr="00394384">
        <w:rPr>
          <w:rFonts w:ascii="Times New Roman" w:hAnsi="Times New Roman" w:cs="Times New Roman"/>
          <w:sz w:val="24"/>
          <w:szCs w:val="24"/>
        </w:rPr>
        <w:t xml:space="preserve"> При попълването на данните в Справка № 8: Платформи за търговия, в колона „Организатор/Ползвател” се посочва компанията, която организира търговията, т.е. определя котировките и затваря позициите и ползвателя на платформата, когато двата </w:t>
      </w:r>
      <w:proofErr w:type="gramStart"/>
      <w:r w:rsidR="00394384" w:rsidRPr="00394384">
        <w:rPr>
          <w:rFonts w:ascii="Times New Roman" w:hAnsi="Times New Roman" w:cs="Times New Roman"/>
          <w:sz w:val="24"/>
          <w:szCs w:val="24"/>
        </w:rPr>
        <w:t>субекта са</w:t>
      </w:r>
      <w:proofErr w:type="gramEnd"/>
      <w:r w:rsidR="00394384" w:rsidRPr="00394384">
        <w:rPr>
          <w:rFonts w:ascii="Times New Roman" w:hAnsi="Times New Roman" w:cs="Times New Roman"/>
          <w:sz w:val="24"/>
          <w:szCs w:val="24"/>
        </w:rPr>
        <w:t xml:space="preserve"> различни лица. Информация за дружеството, което е предоставило платформата за търговия на инвестиционния посредник, се посочва в колона „Доставчик” (това дружество може да бъде едно и също лице с организатора на </w:t>
      </w:r>
      <w:proofErr w:type="gramStart"/>
      <w:r w:rsidR="00394384" w:rsidRPr="00394384">
        <w:rPr>
          <w:rFonts w:ascii="Times New Roman" w:hAnsi="Times New Roman" w:cs="Times New Roman"/>
          <w:sz w:val="24"/>
          <w:szCs w:val="24"/>
        </w:rPr>
        <w:t xml:space="preserve">платформата). </w:t>
      </w:r>
      <w:proofErr w:type="gramEnd"/>
    </w:p>
    <w:p w:rsidR="003950F9" w:rsidRDefault="003950F9" w:rsidP="00D46CF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50F9" w:rsidRPr="00D46CF4" w:rsidRDefault="003950F9" w:rsidP="003950F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Във връзка със Справка № 8 Платформи за търговия, колона 6 визира броя клиенти, които са търгували през отчетния период посредством платформи за търговия или общ брой клиенти, които към съответния период използват платформи за </w:t>
      </w:r>
      <w:r>
        <w:rPr>
          <w:rFonts w:ascii="Times New Roman" w:hAnsi="Times New Roman" w:cs="Times New Roman"/>
          <w:sz w:val="24"/>
          <w:szCs w:val="24"/>
        </w:rPr>
        <w:lastRenderedPageBreak/>
        <w:t>търговия, предоставени от инвестиционния посредник? Какви данни следва да съдържа колона 7 Бележки?</w:t>
      </w:r>
    </w:p>
    <w:p w:rsidR="003950F9" w:rsidRDefault="003950F9" w:rsidP="003950F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384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394384">
        <w:rPr>
          <w:rFonts w:ascii="Times New Roman" w:hAnsi="Times New Roman" w:cs="Times New Roman"/>
          <w:sz w:val="24"/>
          <w:szCs w:val="24"/>
        </w:rPr>
        <w:t xml:space="preserve">: В колона „Клиенти” се посочва общия брой на клиентите, които към отчетния период използват съответната платформа за търговия, а не само броя на клиентите, които са сключвали сделки през платформата за съответния период. В Колона 7 инвестиционния посредник може да предостави допълнителна информация относно платформата, която счита, че е важна и </w:t>
      </w:r>
      <w:proofErr w:type="spellStart"/>
      <w:r w:rsidRPr="00394384">
        <w:rPr>
          <w:rFonts w:ascii="Times New Roman" w:hAnsi="Times New Roman" w:cs="Times New Roman"/>
          <w:sz w:val="24"/>
          <w:szCs w:val="24"/>
        </w:rPr>
        <w:t>относима</w:t>
      </w:r>
      <w:proofErr w:type="spellEnd"/>
      <w:r w:rsidRPr="00394384">
        <w:rPr>
          <w:rFonts w:ascii="Times New Roman" w:hAnsi="Times New Roman" w:cs="Times New Roman"/>
          <w:sz w:val="24"/>
          <w:szCs w:val="24"/>
        </w:rPr>
        <w:t xml:space="preserve"> за съответния отчетен период.</w:t>
      </w:r>
    </w:p>
    <w:p w:rsidR="003950F9" w:rsidRDefault="003950F9" w:rsidP="003950F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50F9" w:rsidRPr="00D46CF4" w:rsidRDefault="003950F9" w:rsidP="003950F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72D">
        <w:rPr>
          <w:rFonts w:ascii="Times New Roman" w:hAnsi="Times New Roman" w:cs="Times New Roman"/>
          <w:b/>
          <w:sz w:val="24"/>
          <w:szCs w:val="24"/>
        </w:rPr>
        <w:t>Въпрос</w:t>
      </w:r>
      <w:r w:rsidRPr="0003372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Какви данни следва да съдържа колона 7 Бележки?</w:t>
      </w:r>
    </w:p>
    <w:p w:rsidR="003950F9" w:rsidRPr="00394384" w:rsidRDefault="003950F9" w:rsidP="003950F9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384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394384">
        <w:rPr>
          <w:rFonts w:ascii="Times New Roman" w:hAnsi="Times New Roman" w:cs="Times New Roman"/>
          <w:sz w:val="24"/>
          <w:szCs w:val="24"/>
        </w:rPr>
        <w:t xml:space="preserve">: В Колона 7 инвестиционния посредник може да предостави допълнителна информация относно платформата, която счита, че е важна и </w:t>
      </w:r>
      <w:proofErr w:type="spellStart"/>
      <w:r w:rsidRPr="00394384">
        <w:rPr>
          <w:rFonts w:ascii="Times New Roman" w:hAnsi="Times New Roman" w:cs="Times New Roman"/>
          <w:sz w:val="24"/>
          <w:szCs w:val="24"/>
        </w:rPr>
        <w:t>относима</w:t>
      </w:r>
      <w:proofErr w:type="spellEnd"/>
      <w:r w:rsidRPr="00394384">
        <w:rPr>
          <w:rFonts w:ascii="Times New Roman" w:hAnsi="Times New Roman" w:cs="Times New Roman"/>
          <w:sz w:val="24"/>
          <w:szCs w:val="24"/>
        </w:rPr>
        <w:t xml:space="preserve"> за съответния отчетен период.</w:t>
      </w:r>
    </w:p>
    <w:sectPr w:rsidR="003950F9" w:rsidRPr="00394384" w:rsidSect="003950F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P_Tim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4AE"/>
    <w:multiLevelType w:val="hybridMultilevel"/>
    <w:tmpl w:val="8C3EB74A"/>
    <w:lvl w:ilvl="0" w:tplc="63124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A85CFA"/>
    <w:multiLevelType w:val="hybridMultilevel"/>
    <w:tmpl w:val="ED9E7A4E"/>
    <w:lvl w:ilvl="0" w:tplc="745A1EB6">
      <w:start w:val="1"/>
      <w:numFmt w:val="decimal"/>
      <w:lvlText w:val="%1."/>
      <w:lvlJc w:val="left"/>
      <w:pPr>
        <w:ind w:left="3552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4272" w:hanging="360"/>
      </w:pPr>
    </w:lvl>
    <w:lvl w:ilvl="2" w:tplc="0402001B" w:tentative="1">
      <w:start w:val="1"/>
      <w:numFmt w:val="lowerRoman"/>
      <w:lvlText w:val="%3."/>
      <w:lvlJc w:val="right"/>
      <w:pPr>
        <w:ind w:left="4992" w:hanging="180"/>
      </w:pPr>
    </w:lvl>
    <w:lvl w:ilvl="3" w:tplc="0402000F" w:tentative="1">
      <w:start w:val="1"/>
      <w:numFmt w:val="decimal"/>
      <w:lvlText w:val="%4."/>
      <w:lvlJc w:val="left"/>
      <w:pPr>
        <w:ind w:left="5712" w:hanging="360"/>
      </w:pPr>
    </w:lvl>
    <w:lvl w:ilvl="4" w:tplc="04020019" w:tentative="1">
      <w:start w:val="1"/>
      <w:numFmt w:val="lowerLetter"/>
      <w:lvlText w:val="%5."/>
      <w:lvlJc w:val="left"/>
      <w:pPr>
        <w:ind w:left="6432" w:hanging="360"/>
      </w:pPr>
    </w:lvl>
    <w:lvl w:ilvl="5" w:tplc="0402001B" w:tentative="1">
      <w:start w:val="1"/>
      <w:numFmt w:val="lowerRoman"/>
      <w:lvlText w:val="%6."/>
      <w:lvlJc w:val="right"/>
      <w:pPr>
        <w:ind w:left="7152" w:hanging="180"/>
      </w:pPr>
    </w:lvl>
    <w:lvl w:ilvl="6" w:tplc="0402000F" w:tentative="1">
      <w:start w:val="1"/>
      <w:numFmt w:val="decimal"/>
      <w:lvlText w:val="%7."/>
      <w:lvlJc w:val="left"/>
      <w:pPr>
        <w:ind w:left="7872" w:hanging="360"/>
      </w:pPr>
    </w:lvl>
    <w:lvl w:ilvl="7" w:tplc="04020019" w:tentative="1">
      <w:start w:val="1"/>
      <w:numFmt w:val="lowerLetter"/>
      <w:lvlText w:val="%8."/>
      <w:lvlJc w:val="left"/>
      <w:pPr>
        <w:ind w:left="8592" w:hanging="360"/>
      </w:pPr>
    </w:lvl>
    <w:lvl w:ilvl="8" w:tplc="0402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301D162D"/>
    <w:multiLevelType w:val="hybridMultilevel"/>
    <w:tmpl w:val="AA30A4D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9B621A"/>
    <w:multiLevelType w:val="hybridMultilevel"/>
    <w:tmpl w:val="911205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1316"/>
    <w:rsid w:val="0003372D"/>
    <w:rsid w:val="00103665"/>
    <w:rsid w:val="002B4413"/>
    <w:rsid w:val="00394384"/>
    <w:rsid w:val="003950F9"/>
    <w:rsid w:val="00690FB9"/>
    <w:rsid w:val="006A3B67"/>
    <w:rsid w:val="006F0929"/>
    <w:rsid w:val="007C1E21"/>
    <w:rsid w:val="007F5A47"/>
    <w:rsid w:val="009E5C6D"/>
    <w:rsid w:val="00AD4F13"/>
    <w:rsid w:val="00B278C1"/>
    <w:rsid w:val="00B359B1"/>
    <w:rsid w:val="00BA0B53"/>
    <w:rsid w:val="00D46CF4"/>
    <w:rsid w:val="00E25063"/>
    <w:rsid w:val="00E37DA9"/>
    <w:rsid w:val="00E41316"/>
    <w:rsid w:val="00E5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13"/>
    <w:pPr>
      <w:ind w:left="720"/>
      <w:contextualSpacing/>
    </w:pPr>
  </w:style>
  <w:style w:type="paragraph" w:customStyle="1" w:styleId="Default">
    <w:name w:val="Default"/>
    <w:rsid w:val="002B4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B4413"/>
    <w:rPr>
      <w:rFonts w:ascii="EUAlbertina" w:hAnsi="EUAlbertina"/>
      <w:color w:val="auto"/>
      <w:lang w:eastAsia="bg-BG"/>
    </w:rPr>
  </w:style>
  <w:style w:type="paragraph" w:customStyle="1" w:styleId="CM11">
    <w:name w:val="CM1+1"/>
    <w:basedOn w:val="Default"/>
    <w:next w:val="Default"/>
    <w:uiPriority w:val="99"/>
    <w:rsid w:val="00690FB9"/>
    <w:rPr>
      <w:rFonts w:ascii="EUAlbertina" w:eastAsia="Calibri" w:hAnsi="EUAlbertina"/>
      <w:color w:val="auto"/>
    </w:rPr>
  </w:style>
  <w:style w:type="paragraph" w:customStyle="1" w:styleId="CM41">
    <w:name w:val="CM4+1"/>
    <w:basedOn w:val="Default"/>
    <w:next w:val="Default"/>
    <w:uiPriority w:val="99"/>
    <w:rsid w:val="00690FB9"/>
    <w:rPr>
      <w:rFonts w:ascii="EUAlbertina" w:eastAsia="Calibri" w:hAnsi="EUAlbertina"/>
      <w:color w:val="auto"/>
    </w:rPr>
  </w:style>
  <w:style w:type="paragraph" w:customStyle="1" w:styleId="Pa11">
    <w:name w:val="Pa11"/>
    <w:basedOn w:val="Default"/>
    <w:next w:val="Default"/>
    <w:uiPriority w:val="99"/>
    <w:rsid w:val="007C1E21"/>
    <w:pPr>
      <w:spacing w:line="241" w:lineRule="atLeast"/>
    </w:pPr>
    <w:rPr>
      <w:rFonts w:ascii="SP_Time" w:hAnsi="SP_Time"/>
      <w:color w:val="auto"/>
      <w:lang w:eastAsia="bg-BG"/>
    </w:rPr>
  </w:style>
  <w:style w:type="paragraph" w:customStyle="1" w:styleId="CM4">
    <w:name w:val="CM4"/>
    <w:basedOn w:val="Default"/>
    <w:next w:val="Default"/>
    <w:uiPriority w:val="99"/>
    <w:rsid w:val="007C1E21"/>
    <w:rPr>
      <w:rFonts w:ascii="EUAlbertina" w:hAnsi="EUAlbertina"/>
      <w:color w:val="auto"/>
      <w:lang w:eastAsia="bg-BG"/>
    </w:rPr>
  </w:style>
  <w:style w:type="paragraph" w:customStyle="1" w:styleId="CM44">
    <w:name w:val="CM4+4"/>
    <w:basedOn w:val="Default"/>
    <w:next w:val="Default"/>
    <w:uiPriority w:val="99"/>
    <w:rsid w:val="0003372D"/>
    <w:rPr>
      <w:rFonts w:ascii="EUAlbertina" w:eastAsia="Calibri" w:hAnsi="EUAlbertina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kioseva_s</dc:creator>
  <cp:lastModifiedBy>kioseva_s</cp:lastModifiedBy>
  <cp:revision>5</cp:revision>
  <dcterms:created xsi:type="dcterms:W3CDTF">2015-12-09T07:44:00Z</dcterms:created>
  <dcterms:modified xsi:type="dcterms:W3CDTF">2015-12-09T09:37:00Z</dcterms:modified>
</cp:coreProperties>
</file>